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691316.xml.htm"/>
      <w:bookmarkStart w:id="1" w:name="kswkform4_17806913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Golumbeski George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ACUMEN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1210-1220 WASHINGTON STREET,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Acumen Pharmaceuticals, Inc.</w:t>
              </w:r>
            </w:hyperlink>
            <w:r>
              <w:rPr/>
              <w:t xml:space="preserve"> [ </w:t>
            </w:r>
            <w:r>
              <w:rPr>
                <w:rFonts w:ascii="Times;serif" w:hAnsi="Times;serif"/>
                <w:color w:val="0000FF"/>
                <w:sz w:val="24"/>
                <w:shd w:fill="FFFFFF" w:val="clear"/>
              </w:rPr>
              <w:t>ABOS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35,500</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35,500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53,250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53,250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restricted stock unit ("RSU") award. Each RSU represents a contingent right to receive one share of the Issuer's Common Stock. The RSUs will vest in full on the earlier of the first anniversary of the date of grant or the 2027 annual stockholder meeting, subject to the Reporting Person's continuous service through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the option will vest in full on the earlier of the first anniversary of the date of grant or the 2027 annual stockholder meeting, subject to the Reporting Person's continuous service through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Derek Meisner,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6660" TargetMode="External"/><Relationship Id="rId5" Type="http://schemas.openxmlformats.org/officeDocument/2006/relationships/hyperlink" Target="http://www.sec.gov/cgi-bin/browse-edgar?action=getcompany&amp;CIK=00015768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677</Words>
  <Characters>3662</Characters>
  <CharactersWithSpaces>4269</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