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403.xml.htm"/>
      <w:bookmarkStart w:id="1" w:name="kswkform4_17806914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Porter Derrell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ACUMEN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1210-1220 WASHINGTON STREET,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Acumen Pharmaceuticals, Inc.</w:t>
              </w:r>
            </w:hyperlink>
            <w:r>
              <w:rPr/>
              <w:t xml:space="preserve"> [ </w:t>
            </w:r>
            <w:r>
              <w:rPr>
                <w:rFonts w:ascii="Times;serif" w:hAnsi="Times;serif"/>
                <w:color w:val="0000FF"/>
                <w:sz w:val="24"/>
                <w:shd w:fill="FFFFFF" w:val="clear"/>
              </w:rPr>
              <w:t>ABOS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Each RSU represents a contingent right to receive one share of the Issuer's Common Stock. The RSUs will vest in full on the earlier of the first anniversary of the date of grant or the 2027 annual stockholder meeting, subject to the Reporting Person's continuous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will vest in full on the earlier of the first anniversary of the date of grant or the 2027 annual stockholder meeting, subject to the Reporting Person's continuous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Meisner,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6400" TargetMode="External"/><Relationship Id="rId5" Type="http://schemas.openxmlformats.org/officeDocument/2006/relationships/hyperlink" Target="http://www.sec.gov/cgi-bin/browse-edgar?action=getcompany&amp;CIK=0001576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3659</Characters>
  <CharactersWithSpaces>4266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