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6248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624840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755"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gridSpan w:val="3"/>
            <w:vMerge w:val="restart"/>
          </w:tcPr>
          <w:p>
            <w:pPr>
              <w:ind w:left="20"/>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Porter Derrell</w:t>
              </w:r>
            </w:hyperlink>
          </w:p>
        </w:tc>
        <w:tc>
          <w:tcPr>
            <w:tcW w:w="1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Acumen Pharmaceuticals,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ABOS</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2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12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ACUMEN PHARMACEUTICALS, INC.</w:t>
            </w:r>
          </w:p>
        </w:tc>
        <w:tc>
          <w:tcPr>
            <w:tcW w:w="2680" w:type="dxa"/>
            <w:vAlign w:val="bottom"/>
            <w:gridSpan w:val="3"/>
            <w:vMerge w:val="continue"/>
          </w:tcPr>
          <w:p>
            <w:pPr>
              <w:spacing w:after="0"/>
              <w:rPr>
                <w:sz w:val="10"/>
                <w:szCs w:val="10"/>
                <w:color w:val="auto"/>
              </w:rPr>
            </w:pPr>
          </w:p>
        </w:tc>
        <w:tc>
          <w:tcPr>
            <w:tcW w:w="12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1210-1220 WASHINGTON STREET, SUITE 210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52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755"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NEWTON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02465</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755"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60" w:type="dxa"/>
            <w:vAlign w:val="bottom"/>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06/15/2026</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9"/>
              </w:rPr>
              <w:t>6,460</w:t>
            </w: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4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54,760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60" w:type="dxa"/>
            <w:vAlign w:val="bottom"/>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06/15/2026</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9"/>
              </w:rPr>
              <w:t>6,460</w:t>
            </w: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ind w:left="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2.345</w:t>
            </w: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48,300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06/16/2026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90"/>
              <w:spacing w:after="0"/>
              <w:rPr>
                <w:sz w:val="20"/>
                <w:szCs w:val="20"/>
                <w:color w:val="auto"/>
              </w:rPr>
            </w:pPr>
            <w:r>
              <w:rPr>
                <w:rFonts w:ascii="Times New Roman" w:cs="Times New Roman" w:eastAsia="Times New Roman" w:hAnsi="Times New Roman"/>
                <w:sz w:val="17"/>
                <w:szCs w:val="17"/>
                <w:color w:val="0000FF"/>
                <w:w w:val="98"/>
              </w:rPr>
              <w:t>12,800</w:t>
            </w:r>
          </w:p>
        </w:tc>
        <w:tc>
          <w:tcPr>
            <w:tcW w:w="660" w:type="dxa"/>
            <w:vAlign w:val="bottom"/>
            <w:tcBorders>
              <w:bottom w:val="single" w:sz="8" w:color="2C2C2C"/>
            </w:tcBorders>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2.326</w:t>
            </w:r>
            <w:r>
              <w:rPr>
                <w:rFonts w:ascii="Times New Roman" w:cs="Times New Roman" w:eastAsia="Times New Roman" w:hAnsi="Times New Roman"/>
                <w:sz w:val="21"/>
                <w:szCs w:val="21"/>
                <w:color w:val="008000"/>
                <w:w w:val="93"/>
                <w:vertAlign w:val="superscript"/>
              </w:rPr>
              <w:t>(1)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35,500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60" w:type="dxa"/>
            <w:vAlign w:val="bottom"/>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06/17/2026</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8"/>
              </w:rPr>
              <w:t>13,040</w:t>
            </w: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center"/>
              <w:ind w:left="4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48,540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2"/>
                <w:szCs w:val="22"/>
                <w:color w:val="auto"/>
              </w:rPr>
            </w:pPr>
          </w:p>
        </w:tc>
        <w:tc>
          <w:tcPr>
            <w:tcW w:w="1760" w:type="dxa"/>
            <w:vAlign w:val="bottom"/>
            <w:gridSpan w:val="2"/>
          </w:tcPr>
          <w:p>
            <w:pPr>
              <w:jc w:val="center"/>
              <w:ind w:left="569"/>
              <w:spacing w:after="0"/>
              <w:rPr>
                <w:sz w:val="20"/>
                <w:szCs w:val="20"/>
                <w:color w:val="auto"/>
              </w:rPr>
            </w:pPr>
            <w:r>
              <w:rPr>
                <w:rFonts w:ascii="Times New Roman" w:cs="Times New Roman" w:eastAsia="Times New Roman" w:hAnsi="Times New Roman"/>
                <w:sz w:val="17"/>
                <w:szCs w:val="17"/>
                <w:color w:val="0000FF"/>
                <w:w w:val="98"/>
              </w:rPr>
              <w:t>06/17/2026</w:t>
            </w: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8"/>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center"/>
              <w:ind w:left="90"/>
              <w:spacing w:after="0"/>
              <w:rPr>
                <w:sz w:val="20"/>
                <w:szCs w:val="20"/>
                <w:color w:val="auto"/>
              </w:rPr>
            </w:pPr>
            <w:r>
              <w:rPr>
                <w:rFonts w:ascii="Times New Roman" w:cs="Times New Roman" w:eastAsia="Times New Roman" w:hAnsi="Times New Roman"/>
                <w:sz w:val="17"/>
                <w:szCs w:val="17"/>
                <w:color w:val="0000FF"/>
                <w:w w:val="98"/>
              </w:rPr>
              <w:t>13,040</w:t>
            </w: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ind w:left="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2.325</w:t>
            </w: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35,500</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820" w:type="dxa"/>
            <w:vAlign w:val="bottom"/>
            <w:tcBorders>
              <w:bottom w:val="single" w:sz="8" w:color="2C2C2C"/>
            </w:tcBorders>
            <w:gridSpan w:val="5"/>
          </w:tcPr>
          <w:p>
            <w:pPr>
              <w:spacing w:after="0"/>
              <w:rPr>
                <w:sz w:val="8"/>
                <w:szCs w:val="8"/>
                <w:color w:val="auto"/>
              </w:rPr>
            </w:pPr>
          </w:p>
        </w:tc>
        <w:tc>
          <w:tcPr>
            <w:tcW w:w="2640" w:type="dxa"/>
            <w:vAlign w:val="bottom"/>
            <w:tcBorders>
              <w:bottom w:val="single" w:sz="8" w:color="2C2C2C"/>
            </w:tcBorders>
            <w:gridSpan w:val="4"/>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8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1.07</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06/15/2026</w:t>
            </w:r>
          </w:p>
        </w:tc>
        <w:tc>
          <w:tcPr>
            <w:tcW w:w="1140" w:type="dxa"/>
            <w:vAlign w:val="bottom"/>
          </w:tcPr>
          <w:p>
            <w:pPr>
              <w:spacing w:after="0"/>
              <w:rPr>
                <w:sz w:val="12"/>
                <w:szCs w:val="12"/>
                <w:color w:val="auto"/>
              </w:rPr>
            </w:pPr>
          </w:p>
        </w:tc>
        <w:tc>
          <w:tcPr>
            <w:tcW w:w="62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60" w:type="dxa"/>
            <w:vAlign w:val="bottom"/>
            <w:vMerge w:val="restart"/>
          </w:tcPr>
          <w:p>
            <w:pPr>
              <w:jc w:val="right"/>
              <w:ind w:right="81"/>
              <w:spacing w:after="0"/>
              <w:rPr>
                <w:sz w:val="20"/>
                <w:szCs w:val="20"/>
                <w:color w:val="auto"/>
              </w:rPr>
            </w:pPr>
            <w:r>
              <w:rPr>
                <w:rFonts w:ascii="Times New Roman" w:cs="Times New Roman" w:eastAsia="Times New Roman" w:hAnsi="Times New Roman"/>
                <w:sz w:val="13"/>
                <w:szCs w:val="13"/>
                <w:color w:val="0000FF"/>
              </w:rPr>
              <w:t>6,460</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06/04/2035</w:t>
            </w:r>
          </w:p>
        </w:tc>
        <w:tc>
          <w:tcPr>
            <w:tcW w:w="6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48"/>
              <w:spacing w:after="0"/>
              <w:rPr>
                <w:sz w:val="20"/>
                <w:szCs w:val="20"/>
                <w:color w:val="auto"/>
              </w:rPr>
            </w:pPr>
            <w:r>
              <w:rPr>
                <w:rFonts w:ascii="Times New Roman" w:cs="Times New Roman" w:eastAsia="Times New Roman" w:hAnsi="Times New Roman"/>
                <w:sz w:val="17"/>
                <w:szCs w:val="17"/>
                <w:color w:val="0000FF"/>
              </w:rPr>
              <w:t>6,460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13,040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60" w:type="dxa"/>
            <w:vAlign w:val="bottom"/>
            <w:vMerge w:val="restart"/>
          </w:tcPr>
          <w:p>
            <w:pPr>
              <w:jc w:val="right"/>
              <w:ind w:right="153"/>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1.07</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06/17/2026</w:t>
            </w:r>
          </w:p>
        </w:tc>
        <w:tc>
          <w:tcPr>
            <w:tcW w:w="1140" w:type="dxa"/>
            <w:vAlign w:val="bottom"/>
          </w:tcPr>
          <w:p>
            <w:pPr>
              <w:spacing w:after="0"/>
              <w:rPr>
                <w:sz w:val="16"/>
                <w:szCs w:val="16"/>
                <w:color w:val="auto"/>
              </w:rPr>
            </w:pPr>
          </w:p>
        </w:tc>
        <w:tc>
          <w:tcPr>
            <w:tcW w:w="62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0000FF"/>
              </w:rPr>
              <w:t>13,040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06/04/2035</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8"/>
              <w:spacing w:after="0" w:line="194" w:lineRule="exact"/>
              <w:rPr>
                <w:sz w:val="20"/>
                <w:szCs w:val="20"/>
                <w:color w:val="auto"/>
              </w:rPr>
            </w:pPr>
            <w:r>
              <w:rPr>
                <w:rFonts w:ascii="Times New Roman" w:cs="Times New Roman" w:eastAsia="Times New Roman" w:hAnsi="Times New Roman"/>
                <w:sz w:val="17"/>
                <w:szCs w:val="17"/>
                <w:color w:val="0000FF"/>
                <w:w w:val="94"/>
              </w:rPr>
              <w:t>13,040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ind w:right="101"/>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3"/>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sales price. The shares were sold in multiple transactions at prices ranging from $2.305 to $2.345. Upon request, the Reporting Person will provide to the staff of the Securities and Exchange Commission, the Issuer, or any security holder of the Issuer, full information regarding the number of shares sold at each separate price within the range set forth in this footnote.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vested in full on the date of the 2026 annual stockholder meeting.</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Derek Meisner, Attorney-in- </w:t>
      </w:r>
      <w:r>
        <w:rPr>
          <w:rFonts w:ascii="Times New Roman" w:cs="Times New Roman" w:eastAsia="Times New Roman" w:hAnsi="Times New Roman"/>
          <w:sz w:val="33"/>
          <w:szCs w:val="33"/>
          <w:color w:val="0000FF"/>
          <w:vertAlign w:val="subscript"/>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36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36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75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06400" TargetMode="External"/><Relationship Id="rId14" Type="http://schemas.openxmlformats.org/officeDocument/2006/relationships/hyperlink" Target="http://www.sec.gov/cgi-bin/browse-edgar?action=getcompany&amp;CIK=00015768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2026-06-17T16:22:25Z</dcterms:created>
  <dcterms:modified xsi:type="dcterms:W3CDTF">2026-06-17T16:22:25Z</dcterms:modified>
</cp:coreProperties>
</file>