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As filed with the Securities and Exchange Commission on August 12, 2026 </w: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Registration No. 333-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S-8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REGISTRATION STATEMENT </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 xml:space="preserve">UNDER </w:t>
      </w:r>
    </w:p>
    <w:p>
      <w:pPr>
        <w:pStyle w:val="TextBody"/>
        <w:bidi w:val="0"/>
        <w:spacing w:lineRule="auto" w:line="288" w:before="0" w:after="180"/>
        <w:jc w:val="center"/>
        <w:rPr>
          <w:rFonts w:ascii="Times New Roman;serif" w:hAnsi="Times New Roman;serif"/>
          <w:b/>
          <w:i/>
          <w:color w:val="000000"/>
          <w:sz w:val="24"/>
        </w:rPr>
      </w:pPr>
      <w:r>
        <w:rPr>
          <w:rFonts w:ascii="Times New Roman;serif" w:hAnsi="Times New Roman;serif"/>
          <w:b/>
          <w:i/>
          <w:color w:val="000000"/>
          <w:sz w:val="24"/>
        </w:rPr>
        <w:t xml:space="preserve">THE SECURITIES ACT OF 1933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Acumen Pharmaceuticals, Inc.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54" w:type="dxa"/>
        <w:jc w:val="left"/>
        <w:tblInd w:w="0" w:type="dxa"/>
        <w:tblLayout w:type="fixed"/>
        <w:tblCellMar>
          <w:top w:w="28" w:type="dxa"/>
          <w:left w:w="28" w:type="dxa"/>
          <w:bottom w:w="28" w:type="dxa"/>
          <w:right w:w="28" w:type="dxa"/>
        </w:tblCellMar>
      </w:tblPr>
      <w:tblGrid>
        <w:gridCol w:w="857"/>
        <w:gridCol w:w="751"/>
        <w:gridCol w:w="762"/>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36-4108129</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1210-1220 Washington St., Suite 210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Newton, MA 02465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(617) 344-4190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including zip code)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Acumen Pharmaceuticals, Inc. Amended and Restated 2021 Equity Incentive Plan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 xml:space="preserve">(Full titles of the plans)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Daniel O’Connell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Chief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Acumen Pharmaceuticals,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1210-1220 Washington St., Suite 210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Newton, MA 02465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(617) 344-4190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 xml:space="preserve">(Name, address and telephone number, including area code, of agent for service) </w:t>
      </w:r>
    </w:p>
    <w:p>
      <w:pPr>
        <w:pStyle w:val="TextBody"/>
        <w:bidi w:val="0"/>
        <w:spacing w:lineRule="auto" w:line="288" w:before="0" w:after="120"/>
        <w:jc w:val="center"/>
        <w:rPr>
          <w:rFonts w:ascii="Times New Roman;serif" w:hAnsi="Times New Roman;serif"/>
          <w:b/>
          <w:i/>
          <w:color w:val="000000"/>
          <w:sz w:val="20"/>
        </w:rPr>
      </w:pPr>
      <w:r>
        <w:rPr>
          <w:rFonts w:ascii="Times New Roman;serif" w:hAnsi="Times New Roman;serif"/>
          <w:b/>
          <w:i/>
          <w:color w:val="000000"/>
          <w:sz w:val="20"/>
        </w:rPr>
        <w:t xml:space="preserve">Copies to: </w:t>
      </w:r>
    </w:p>
    <w:tbl>
      <w:tblPr>
        <w:tblW w:w="5128" w:type="dxa"/>
        <w:jc w:val="center"/>
        <w:tblInd w:w="0" w:type="dxa"/>
        <w:tblLayout w:type="fixed"/>
        <w:tblCellMar>
          <w:top w:w="28" w:type="dxa"/>
          <w:left w:w="28" w:type="dxa"/>
          <w:bottom w:w="28" w:type="dxa"/>
          <w:right w:w="28" w:type="dxa"/>
        </w:tblCellMar>
      </w:tblPr>
      <w:tblGrid>
        <w:gridCol w:w="685"/>
        <w:gridCol w:w="600"/>
        <w:gridCol w:w="604"/>
        <w:gridCol w:w="947"/>
        <w:gridCol w:w="947"/>
        <w:gridCol w:w="1345"/>
      </w:tblGrid>
      <w:tr>
        <w:trPr/>
        <w:tc>
          <w:tcPr>
            <w:tcW w:w="68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Thomas J. Danielski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Derek Meisner</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Ropes &amp; Gray LLP</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Legal Officer</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800 Boylston Street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Acumen Pharmaceuticals, Inc.</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Boston, MA 02199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1210-1220 Washington St., Suite 210</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(617) 951-7000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Newton, MA 02465</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(617) 344-4190 </w:t>
            </w:r>
          </w:p>
        </w:tc>
      </w:tr>
    </w:tbl>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EXPLANATORY NOTE </w:t>
      </w:r>
    </w:p>
    <w:p>
      <w:pPr>
        <w:pStyle w:val="TextBody"/>
        <w:bidi w:val="0"/>
        <w:spacing w:before="0" w:after="0"/>
        <w:jc w:val="center"/>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Acumen Pharmaceuticals, Inc. (the “</w:t>
      </w:r>
      <w:r>
        <w:rPr>
          <w:rFonts w:ascii="Times New Roman;serif" w:hAnsi="Times New Roman;serif"/>
          <w:b/>
          <w:i/>
          <w:color w:val="000000"/>
          <w:sz w:val="20"/>
        </w:rPr>
        <w:t>Registrant</w:t>
      </w:r>
      <w:r>
        <w:rPr>
          <w:color w:val="000000"/>
        </w:rPr>
        <w:t>”</w:t>
      </w:r>
      <w:r>
        <w:rPr>
          <w:rFonts w:ascii="Times New Roman;serif" w:hAnsi="Times New Roman;serif"/>
          <w:b w:val="false"/>
          <w:color w:val="000000"/>
          <w:sz w:val="20"/>
        </w:rPr>
        <w:t>) is filing this Registration Statement on Form S-8 (this “</w:t>
      </w:r>
      <w:r>
        <w:rPr>
          <w:rFonts w:ascii="Times New Roman;serif" w:hAnsi="Times New Roman;serif"/>
          <w:b/>
          <w:i/>
          <w:color w:val="000000"/>
          <w:sz w:val="20"/>
        </w:rPr>
        <w:t>Registration Statement</w:t>
      </w:r>
      <w:r>
        <w:rPr>
          <w:color w:val="000000"/>
        </w:rPr>
        <w:t>”</w:t>
      </w:r>
      <w:r>
        <w:rPr>
          <w:rFonts w:ascii="Times New Roman;serif" w:hAnsi="Times New Roman;serif"/>
          <w:b w:val="false"/>
          <w:color w:val="000000"/>
          <w:sz w:val="20"/>
        </w:rPr>
        <w:t>) with the Securities and Exchange Commission (the “</w:t>
      </w:r>
      <w:r>
        <w:rPr>
          <w:rFonts w:ascii="Times New Roman;serif" w:hAnsi="Times New Roman;serif"/>
          <w:b/>
          <w:i/>
          <w:color w:val="000000"/>
          <w:sz w:val="20"/>
        </w:rPr>
        <w:t>Commission</w:t>
      </w:r>
      <w:r>
        <w:rPr>
          <w:color w:val="000000"/>
        </w:rPr>
        <w:t>”</w:t>
      </w:r>
      <w:r>
        <w:rPr>
          <w:rFonts w:ascii="Times New Roman;serif" w:hAnsi="Times New Roman;serif"/>
          <w:b w:val="false"/>
          <w:color w:val="000000"/>
          <w:sz w:val="20"/>
        </w:rPr>
        <w:t>) for the purpose of registering an additional 10,000,000 shares (the “</w:t>
      </w:r>
      <w:r>
        <w:rPr>
          <w:rFonts w:ascii="Times New Roman;serif" w:hAnsi="Times New Roman;serif"/>
          <w:b/>
          <w:i/>
          <w:color w:val="000000"/>
          <w:sz w:val="20"/>
        </w:rPr>
        <w:t>Additional Shares</w:t>
      </w:r>
      <w:r>
        <w:rPr>
          <w:color w:val="000000"/>
        </w:rPr>
        <w:t>”</w:t>
      </w:r>
      <w:r>
        <w:rPr>
          <w:rFonts w:ascii="Times New Roman;serif" w:hAnsi="Times New Roman;serif"/>
          <w:b w:val="false"/>
          <w:color w:val="000000"/>
          <w:sz w:val="20"/>
        </w:rPr>
        <w:t>) of the Registrant’s common stock, par value $0.0001 per share (the “</w:t>
      </w:r>
      <w:r>
        <w:rPr>
          <w:rFonts w:ascii="Times New Roman;serif" w:hAnsi="Times New Roman;serif"/>
          <w:b/>
          <w:i/>
          <w:color w:val="000000"/>
          <w:sz w:val="20"/>
        </w:rPr>
        <w:t>Common Stock</w:t>
      </w:r>
      <w:r>
        <w:rPr>
          <w:color w:val="000000"/>
        </w:rPr>
        <w:t>”</w:t>
      </w:r>
      <w:r>
        <w:rPr>
          <w:rFonts w:ascii="Times New Roman;serif" w:hAnsi="Times New Roman;serif"/>
          <w:b w:val="false"/>
          <w:color w:val="000000"/>
          <w:sz w:val="20"/>
        </w:rPr>
        <w:t>), that may be issued pursuant to the Registrant’s Amended and Restated 2021 Equity Incentive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xml:space="preserve">), which was adopted by the Registrant’s Board of Directors on April 21, 2026 and approved by the Registrant’s stockholders at the Registrant’s 2026 Annual Meeting of Stockholders held on June 3, 2026.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The Registrant previously registered an aggregate of 19,040,630 shares of its Common Stock for issuance under the Plan under Registration Statements on Form S-8 (File Nos. 333-257666, 333-263947, 333-270902, 333-278267, 333-286176, and 333-294641) filed with the Commission on July 2, 2021, March 29, 2022, March 28, 2023, March 27, 2024, March 27, 2025, and March 26, 2026, respectively (collectively, the “</w:t>
      </w:r>
      <w:r>
        <w:rPr>
          <w:rFonts w:ascii="Times New Roman;serif" w:hAnsi="Times New Roman;serif"/>
          <w:b/>
          <w:i/>
          <w:color w:val="000000"/>
          <w:sz w:val="20"/>
        </w:rPr>
        <w:t>Prior Registration Statements</w:t>
      </w:r>
      <w:r>
        <w:rPr>
          <w:color w:val="000000"/>
        </w:rPr>
        <w:t>”</w:t>
      </w:r>
      <w:r>
        <w:rPr>
          <w:rFonts w:ascii="Times New Roman;serif" w:hAnsi="Times New Roman;serif"/>
          <w:b w:val="false"/>
          <w:color w:val="000000"/>
          <w:sz w:val="20"/>
        </w:rPr>
        <w:t>). With the filing of this Registration Statement, the total number of shares of the Registrant’s Common Stock registered under the Plan is 29,040,630, inclusive of the Additional Shares, which is equal to the total number of shares authorized for issuance under the Plan.</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General Instruction E to Form S-8, the contents of the Prior Registration Statements are incorporated herein by reference, except to the extent supplemented, amended or superseded by the information set forth 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PART II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INFORMATION REQUIRED IN REGISTRATION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8. EXHIBITS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741"/>
        <w:gridCol w:w="1541"/>
        <w:gridCol w:w="1556"/>
        <w:gridCol w:w="109"/>
        <w:gridCol w:w="109"/>
        <w:gridCol w:w="109"/>
        <w:gridCol w:w="245"/>
        <w:gridCol w:w="245"/>
        <w:gridCol w:w="246"/>
        <w:gridCol w:w="109"/>
        <w:gridCol w:w="109"/>
        <w:gridCol w:w="109"/>
        <w:gridCol w:w="252"/>
        <w:gridCol w:w="252"/>
        <w:gridCol w:w="253"/>
        <w:gridCol w:w="109"/>
        <w:gridCol w:w="109"/>
        <w:gridCol w:w="109"/>
        <w:gridCol w:w="210"/>
        <w:gridCol w:w="210"/>
        <w:gridCol w:w="211"/>
        <w:gridCol w:w="109"/>
        <w:gridCol w:w="109"/>
        <w:gridCol w:w="109"/>
        <w:gridCol w:w="354"/>
        <w:gridCol w:w="225"/>
        <w:gridCol w:w="323"/>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Schedule</w:t>
              <w:b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001-40551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8, 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EE"/>
                  <w:sz w:val="20"/>
                  <w:u w:val="single"/>
                </w:rPr>
                <w:t xml:space="preserve">Amended and Restated Bylaws of the Registrant.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001-40551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15, 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Acumen Pharmaceuticals, Inc. Amended and Restated 2021 Equity Incentive Plan and Forms of Stock Option Grant Notice, Award Agreement and Notice of Exercise and RSU Grant Notice and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001-40551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51s-82026x08x12.htm">
              <w:r>
                <w:rPr>
                  <w:rStyle w:val="InternetLink"/>
                  <w:rFonts w:ascii="Times New Roman;serif" w:hAnsi="Times New Roman;serif"/>
                  <w:b w:val="false"/>
                  <w:color w:val="0000FF"/>
                  <w:sz w:val="20"/>
                  <w:u w:val="single"/>
                </w:rPr>
                <w:t>Opinion of Ropes &amp; Gray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51s-82026x08x12.htm">
              <w:r>
                <w:rPr>
                  <w:rStyle w:val="InternetLink"/>
                  <w:rFonts w:ascii="Times New Roman;serif" w:hAnsi="Times New Roman;serif"/>
                  <w:b w:val="false"/>
                  <w:color w:val="0000FF"/>
                  <w:sz w:val="20"/>
                  <w:u w:val="single"/>
                </w:rPr>
                <w:t>Consent of Ropes &amp; Gray LLP (included in Exhibit 5.1)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2s-82026x08x12.htm">
              <w:r>
                <w:rPr>
                  <w:rStyle w:val="InternetLink"/>
                  <w:rFonts w:ascii="Times New Roman;serif" w:hAnsi="Times New Roman;serif"/>
                  <w:b w:val="false"/>
                  <w:color w:val="0000FF"/>
                  <w:sz w:val="20"/>
                  <w:u w:val="single"/>
                </w:rPr>
                <w:t xml:space="preserve">Consent of Ernst &amp; Young, LLP, independent registered public accounting firm.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fd1f0dee61423681da10e1113c6f60_13">
              <w:r>
                <w:rPr>
                  <w:rStyle w:val="InternetLink"/>
                  <w:rFonts w:ascii="Times New Roman;serif" w:hAnsi="Times New Roman;serif"/>
                  <w:b w:val="false"/>
                  <w:color w:val="0000EE"/>
                  <w:sz w:val="20"/>
                  <w:u w:val="single"/>
                </w:rPr>
                <w:t>Power of Attorney (included on the signature page of this Form S-8).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bos20260812filingfees812.htm">
              <w:r>
                <w:rPr>
                  <w:rStyle w:val="InternetLink"/>
                  <w:rFonts w:ascii="Times New Roman;serif" w:hAnsi="Times New Roman;serif"/>
                  <w:b w:val="false"/>
                  <w:color w:val="0000FF"/>
                  <w:sz w:val="20"/>
                  <w:u w:val="single"/>
                </w:rPr>
                <w:t>Filing fee 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6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40"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Newton, Commonwealth of Massachusetts, on August 12, 2026. </w:t>
      </w:r>
    </w:p>
    <w:tbl>
      <w:tblPr>
        <w:tblW w:w="3739" w:type="dxa"/>
        <w:jc w:val="right"/>
        <w:tblInd w:w="0" w:type="dxa"/>
        <w:tblLayout w:type="fixed"/>
        <w:tblCellMar>
          <w:top w:w="28" w:type="dxa"/>
          <w:left w:w="28" w:type="dxa"/>
          <w:bottom w:w="28" w:type="dxa"/>
          <w:right w:w="28" w:type="dxa"/>
        </w:tblCellMar>
      </w:tblPr>
      <w:tblGrid>
        <w:gridCol w:w="611"/>
        <w:gridCol w:w="537"/>
        <w:gridCol w:w="537"/>
        <w:gridCol w:w="600"/>
        <w:gridCol w:w="600"/>
        <w:gridCol w:w="854"/>
      </w:tblGrid>
      <w:tr>
        <w:trPr/>
        <w:tc>
          <w:tcPr>
            <w:tcW w:w="6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37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ACUMEN PHARMACEUTICALS, INC.</w:t>
            </w:r>
          </w:p>
        </w:tc>
      </w:tr>
      <w:tr>
        <w:trP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O’Connell</w:t>
            </w:r>
          </w:p>
        </w:tc>
      </w:tr>
      <w:tr>
        <w:trP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O’Connell</w:t>
            </w:r>
          </w:p>
        </w:tc>
      </w:tr>
      <w:tr>
        <w:trP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 xml:space="preserve">POWER OF ATTORNEY </w:t>
      </w:r>
    </w:p>
    <w:p>
      <w:pPr>
        <w:pStyle w:val="TextBody"/>
        <w:bidi w:val="0"/>
        <w:spacing w:lineRule="auto" w:line="240" w:before="0" w:after="240"/>
        <w:ind w:left="0" w:right="0" w:firstLine="490"/>
        <w:jc w:val="left"/>
        <w:rPr/>
      </w:pPr>
      <w:r>
        <w:rPr>
          <w:rFonts w:ascii="Times New Roman;serif" w:hAnsi="Times New Roman;serif"/>
          <w:b/>
          <w:color w:val="000000"/>
          <w:sz w:val="20"/>
        </w:rPr>
        <w:t>KNOW ALL PERSONS BY THESE PRESENTS</w:t>
      </w:r>
      <w:r>
        <w:rPr>
          <w:rFonts w:ascii="Times New Roman;serif" w:hAnsi="Times New Roman;serif"/>
          <w:b w:val="false"/>
          <w:color w:val="000000"/>
          <w:sz w:val="20"/>
        </w:rPr>
        <w:t xml:space="preserve">, that each person whose signature appears below constitutes and appoints Daniel O’Connell, William Matthew Zuga and Derek Meisner, and each one of them, as his or her true and lawful attorneys-in-fact and agents, with full power of substitution and resubstitution, for him or her and in their name, place or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 </w:t>
      </w:r>
    </w:p>
    <w:p>
      <w:pPr>
        <w:pStyle w:val="TextBody"/>
        <w:bidi w:val="0"/>
        <w:spacing w:lineRule="auto" w:line="240"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this Registration Statement has been signed by the following persons in the capacities and on the dates indicated. </w:t>
      </w:r>
    </w:p>
    <w:tbl>
      <w:tblPr>
        <w:tblW w:w="8589" w:type="dxa"/>
        <w:jc w:val="left"/>
        <w:tblInd w:w="0" w:type="dxa"/>
        <w:tblLayout w:type="fixed"/>
        <w:tblCellMar>
          <w:top w:w="28" w:type="dxa"/>
          <w:left w:w="28" w:type="dxa"/>
          <w:bottom w:w="28" w:type="dxa"/>
          <w:right w:w="28" w:type="dxa"/>
        </w:tblCellMar>
      </w:tblPr>
      <w:tblGrid>
        <w:gridCol w:w="819"/>
        <w:gridCol w:w="720"/>
        <w:gridCol w:w="726"/>
        <w:gridCol w:w="109"/>
        <w:gridCol w:w="109"/>
        <w:gridCol w:w="109"/>
        <w:gridCol w:w="1384"/>
        <w:gridCol w:w="1384"/>
        <w:gridCol w:w="1402"/>
        <w:gridCol w:w="109"/>
        <w:gridCol w:w="109"/>
        <w:gridCol w:w="109"/>
        <w:gridCol w:w="438"/>
        <w:gridCol w:w="438"/>
        <w:gridCol w:w="62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Daniel O’Connell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and 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O’Connell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Matthew Zuga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Business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Matthew Zuga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Kimberlee C. Drapkin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Kimberlee C. Drapkin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Nathan B. Fountain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Nathan B. Fountain,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George Golumbeski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George Golumbeski,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L. 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L. Ives,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Derrell D. Porter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Derrell D. Porter, M.D.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Sean Stalfort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Sean Stalfort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Laura Stoppel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Laura Stoppel,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Normal"/>
        <w:bidi w:val="0"/>
        <w:spacing w:before="0" w:after="0"/>
        <w:jc w:val="left"/>
        <w:rPr>
          <w:sz w:val="4"/>
          <w:szCs w:val="4"/>
        </w:rPr>
      </w:pPr>
      <w:r>
        <w:rPr>
          <w:sz w:val="4"/>
          <w:szCs w:val="4"/>
        </w:rPr>
      </w:r>
      <w:bookmarkStart w:id="0" w:name="abos20260812filingfees812.htm"/>
      <w:bookmarkStart w:id="1" w:name="ksabos20260812filingfees812"/>
      <w:bookmarkStart w:id="2" w:name="abos20260812filingfees812.htm"/>
      <w:bookmarkStart w:id="3" w:name="ksabos20260812filingfees812"/>
      <w:bookmarkEnd w:id="2"/>
      <w:bookmarkEnd w:id="3"/>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581" w:type="dxa"/>
        <w:jc w:val="left"/>
        <w:tblInd w:w="0" w:type="dxa"/>
        <w:tblLayout w:type="fixed"/>
        <w:tblCellMar>
          <w:top w:w="28" w:type="dxa"/>
          <w:left w:w="28" w:type="dxa"/>
          <w:bottom w:w="28" w:type="dxa"/>
          <w:right w:w="28" w:type="dxa"/>
        </w:tblCellMar>
      </w:tblPr>
      <w:tblGrid>
        <w:gridCol w:w="3427"/>
        <w:gridCol w:w="154"/>
      </w:tblGrid>
      <w:tr>
        <w:trPr/>
        <w:tc>
          <w:tcPr>
            <w:tcW w:w="358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7"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7" w:type="dxa"/>
            <w:tcBorders/>
            <w:vAlign w:val="center"/>
          </w:tcPr>
          <w:p>
            <w:pPr>
              <w:pStyle w:val="TableContents"/>
              <w:bidi w:val="0"/>
              <w:spacing w:before="0" w:after="283"/>
              <w:jc w:val="left"/>
              <w:rPr>
                <w:b/>
              </w:rPr>
            </w:pPr>
            <w:r>
              <w:rPr>
                <w:b/>
              </w:rPr>
              <w:t xml:space="preserve">Acumen Pharmaceuticals,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6"/>
        <w:gridCol w:w="1046"/>
        <w:gridCol w:w="1292"/>
        <w:gridCol w:w="1201"/>
        <w:gridCol w:w="1213"/>
        <w:gridCol w:w="1701"/>
        <w:gridCol w:w="1126"/>
        <w:gridCol w:w="1429"/>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2"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1"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3"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6" w:type="dxa"/>
            <w:tcBorders/>
            <w:shd w:fill="E7E7E2" w:val="clear"/>
            <w:vAlign w:val="center"/>
          </w:tcPr>
          <w:p>
            <w:pPr>
              <w:pStyle w:val="TableContents"/>
              <w:bidi w:val="0"/>
              <w:spacing w:before="0" w:after="283"/>
              <w:jc w:val="left"/>
              <w:rPr/>
            </w:pPr>
            <w:r>
              <w:rPr/>
              <w:t xml:space="preserve">Equity </w:t>
            </w:r>
          </w:p>
        </w:tc>
        <w:tc>
          <w:tcPr>
            <w:tcW w:w="1046" w:type="dxa"/>
            <w:tcBorders/>
            <w:shd w:fill="E7E7E2" w:val="clear"/>
            <w:vAlign w:val="center"/>
          </w:tcPr>
          <w:p>
            <w:pPr>
              <w:pStyle w:val="TableContents"/>
              <w:bidi w:val="0"/>
              <w:spacing w:before="0" w:after="283"/>
              <w:jc w:val="left"/>
              <w:rPr/>
            </w:pPr>
            <w:r>
              <w:rPr/>
              <w:t xml:space="preserve">Common stock, $0.0001 par value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10,000,000 </w:t>
            </w:r>
          </w:p>
        </w:tc>
        <w:tc>
          <w:tcPr>
            <w:tcW w:w="1213" w:type="dxa"/>
            <w:tcBorders/>
            <w:shd w:fill="E7E7E2" w:val="clear"/>
            <w:vAlign w:val="center"/>
          </w:tcPr>
          <w:p>
            <w:pPr>
              <w:pStyle w:val="TableContents"/>
              <w:bidi w:val="0"/>
              <w:spacing w:before="0" w:after="283"/>
              <w:jc w:val="right"/>
              <w:rPr/>
            </w:pPr>
            <w:r>
              <w:rPr/>
              <w:t xml:space="preserve">$ 2.29 </w:t>
            </w:r>
          </w:p>
        </w:tc>
        <w:tc>
          <w:tcPr>
            <w:tcW w:w="1701" w:type="dxa"/>
            <w:tcBorders/>
            <w:shd w:fill="E7E7E2" w:val="clear"/>
            <w:vAlign w:val="center"/>
          </w:tcPr>
          <w:p>
            <w:pPr>
              <w:pStyle w:val="TableContents"/>
              <w:bidi w:val="0"/>
              <w:spacing w:before="0" w:after="283"/>
              <w:jc w:val="right"/>
              <w:rPr/>
            </w:pPr>
            <w:r>
              <w:rPr/>
              <w:t xml:space="preserve">$ 22,900,000.00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$ 3,162.49 </w:t>
            </w:r>
          </w:p>
        </w:tc>
      </w:tr>
      <w:tr>
        <w:trPr/>
        <w:tc>
          <w:tcPr>
            <w:tcW w:w="4736" w:type="dxa"/>
            <w:gridSpan w:val="5"/>
            <w:tcBorders/>
            <w:vAlign w:val="center"/>
          </w:tcPr>
          <w:p>
            <w:pPr>
              <w:pStyle w:val="TableContents"/>
              <w:bidi w:val="0"/>
              <w:spacing w:before="0" w:after="0"/>
              <w:ind w:left="0" w:right="0" w:hanging="0"/>
              <w:jc w:val="right"/>
              <w:rPr/>
            </w:pPr>
            <w:r>
              <w:rPr/>
              <w:t>Total Offering Amounts:</w:t>
            </w:r>
          </w:p>
        </w:tc>
        <w:tc>
          <w:tcPr>
            <w:tcW w:w="121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0"/>
              <w:ind w:left="0" w:right="0" w:hanging="0"/>
              <w:jc w:val="right"/>
              <w:rPr/>
            </w:pPr>
            <w:bookmarkStart w:id="4" w:name="MaxAggtOfferingPrice"/>
            <w:bookmarkEnd w:id="4"/>
            <w:r>
              <w:rPr/>
              <w:t xml:space="preserve">$ 22,900,000.00 </w:t>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$ 3,162.49 </w:t>
            </w:r>
          </w:p>
        </w:tc>
      </w:tr>
      <w:tr>
        <w:trPr/>
        <w:tc>
          <w:tcPr>
            <w:tcW w:w="4736" w:type="dxa"/>
            <w:gridSpan w:val="5"/>
            <w:tcBorders/>
            <w:vAlign w:val="center"/>
          </w:tcPr>
          <w:p>
            <w:pPr>
              <w:pStyle w:val="TableContents"/>
              <w:bidi w:val="0"/>
              <w:spacing w:before="0" w:after="0"/>
              <w:ind w:left="0" w:right="0" w:hanging="0"/>
              <w:jc w:val="right"/>
              <w:rPr/>
            </w:pPr>
            <w:r>
              <w:rPr/>
              <w:t xml:space="preserve">Total Fee Offsets: </w:t>
            </w:r>
          </w:p>
        </w:tc>
        <w:tc>
          <w:tcPr>
            <w:tcW w:w="121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736" w:type="dxa"/>
            <w:gridSpan w:val="5"/>
            <w:tcBorders/>
            <w:vAlign w:val="center"/>
          </w:tcPr>
          <w:p>
            <w:pPr>
              <w:pStyle w:val="TableContents"/>
              <w:bidi w:val="0"/>
              <w:spacing w:before="0" w:after="0"/>
              <w:ind w:left="0" w:right="0" w:hanging="0"/>
              <w:jc w:val="right"/>
              <w:rPr/>
            </w:pPr>
            <w:r>
              <w:rPr/>
              <w:t xml:space="preserve">Net Fee Due: </w:t>
            </w:r>
          </w:p>
        </w:tc>
        <w:tc>
          <w:tcPr>
            <w:tcW w:w="121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7" w:name="NetFeeAmt"/>
            <w:bookmarkEnd w:id="7"/>
            <w:r>
              <w:rPr/>
              <w:t xml:space="preserve">$ 3,162.49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8"/>
        <w:gridCol w:w="8707"/>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1a. Pursuant to Rule 416(a) promulgated under the Securities Act of 1933, as amended (the "Securities Act"), this Registration Statement on Form S-8 shall also cover any additional shares of common stock of Acumen Pharmaceuticals, Inc. (the "Registrant") that may become issuable under the Registrant's Amended and Restated 2021 Equity Incentive Plan (the "Plan") by reason of any stock dividend, stock split, recapitalization, or other similar transaction effected that results in an increase to the number of outstanding shares of the Registrant's common stock, as applicable. 1b. Estimated solely for purposes of calculating the registration fee pursuant to Rule 457(c) and Rule 457(h) based on the average of the high and low prices of Registrant's Common Stock as reported on the Nasdaq Global Select Market on August 6, 2026. 1c. Represents 10,000,000 shares of Common Stock added to the shares available for issuance pursuant to the Plan, which was adopted by the Registrant's Board of Directors on April 21, 2026 and approved by the Registrant's stockholders at the Registrant's 2026 Annual Meeting of Stockholders held on June 3, 2026.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5" w:before="0" w:after="0"/>
        <w:jc w:val="right"/>
        <w:rPr>
          <w:rFonts w:ascii="Times New Roman;serif" w:hAnsi="Times New Roman;serif"/>
          <w:b/>
          <w:color w:val="000000"/>
          <w:sz w:val="20"/>
        </w:rPr>
      </w:pPr>
      <w:r>
        <w:rPr>
          <w:rFonts w:ascii="Times New Roman;serif" w:hAnsi="Times New Roman;serif"/>
          <w:b/>
          <w:color w:val="000000"/>
          <w:sz w:val="20"/>
        </w:rPr>
        <w:t>Exhibit 5.1</w:t>
      </w:r>
    </w:p>
    <w:tbl>
      <w:tblPr>
        <w:tblW w:w="3879" w:type="dxa"/>
        <w:jc w:val="left"/>
        <w:tblInd w:w="0" w:type="dxa"/>
        <w:tblLayout w:type="fixed"/>
        <w:tblCellMar>
          <w:top w:w="28" w:type="dxa"/>
          <w:left w:w="28" w:type="dxa"/>
          <w:bottom w:w="28" w:type="dxa"/>
          <w:right w:w="28" w:type="dxa"/>
        </w:tblCellMar>
      </w:tblPr>
      <w:tblGrid>
        <w:gridCol w:w="471"/>
        <w:gridCol w:w="414"/>
        <w:gridCol w:w="416"/>
        <w:gridCol w:w="735"/>
        <w:gridCol w:w="735"/>
        <w:gridCol w:w="736"/>
        <w:gridCol w:w="109"/>
        <w:gridCol w:w="109"/>
        <w:gridCol w:w="154"/>
      </w:tblGrid>
      <w:tr>
        <w:trPr/>
        <w:tc>
          <w:tcPr>
            <w:tcW w:w="4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before="43" w:after="20"/>
              <w:jc w:val="left"/>
              <w:rPr/>
            </w:pPr>
            <w:r>
              <w:rPr/>
              <w:drawing>
                <wp:inline distT="0" distB="0" distL="0" distR="0">
                  <wp:extent cx="762000" cy="9715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5"/>
                          <a:stretch>
                            <a:fillRect/>
                          </a:stretch>
                        </pic:blipFill>
                        <pic:spPr bwMode="auto">
                          <a:xfrm>
                            <a:off x="0" y="0"/>
                            <a:ext cx="762000" cy="971550"/>
                          </a:xfrm>
                          <a:prstGeom prst="rect">
                            <a:avLst/>
                          </a:prstGeom>
                        </pic:spPr>
                      </pic:pic>
                    </a:graphicData>
                  </a:graphic>
                </wp:inline>
              </w:drawing>
            </w:r>
          </w:p>
        </w:tc>
        <w:tc>
          <w:tcPr>
            <w:tcW w:w="2206" w:type="dxa"/>
            <w:gridSpan w:val="3"/>
            <w:tcBorders/>
            <w:tcMar>
              <w:top w:w="0" w:type="dxa"/>
              <w:left w:w="0" w:type="dxa"/>
              <w:bottom w:w="0" w:type="dxa"/>
              <w:right w:w="0" w:type="dxa"/>
            </w:tcMar>
            <w:vAlign w:val="center"/>
          </w:tcPr>
          <w:p>
            <w:pPr>
              <w:pStyle w:val="TableContents"/>
              <w:bidi w:val="0"/>
              <w:spacing w:lineRule="auto" w:line="333" w:before="43" w:after="283"/>
              <w:jc w:val="left"/>
              <w:rPr>
                <w:rFonts w:ascii="Times New Roman;serif" w:hAnsi="Times New Roman;serif"/>
                <w:b w:val="false"/>
                <w:color w:val="000000"/>
                <w:sz w:val="18"/>
              </w:rPr>
            </w:pPr>
            <w:r>
              <w:rPr>
                <w:rFonts w:ascii="Times New Roman;serif" w:hAnsi="Times New Roman;serif"/>
                <w:b w:val="false"/>
                <w:color w:val="000000"/>
                <w:sz w:val="18"/>
              </w:rPr>
              <w:t>ROPES &amp; GRAY LLP</w:t>
            </w:r>
          </w:p>
          <w:p>
            <w:pPr>
              <w:pStyle w:val="TableContents"/>
              <w:bidi w:val="0"/>
              <w:spacing w:lineRule="auto" w:line="333" w:before="0" w:after="0"/>
              <w:jc w:val="left"/>
              <w:rPr>
                <w:rFonts w:ascii="Times New Roman;serif" w:hAnsi="Times New Roman;serif"/>
                <w:b w:val="false"/>
                <w:color w:val="000000"/>
                <w:sz w:val="18"/>
              </w:rPr>
            </w:pPr>
            <w:r>
              <w:rPr>
                <w:rFonts w:ascii="Times New Roman;serif" w:hAnsi="Times New Roman;serif"/>
                <w:b w:val="false"/>
                <w:color w:val="000000"/>
                <w:sz w:val="18"/>
              </w:rPr>
              <w:t>PRUDENTIAL TOWER</w:t>
            </w:r>
          </w:p>
          <w:p>
            <w:pPr>
              <w:pStyle w:val="TableContents"/>
              <w:bidi w:val="0"/>
              <w:spacing w:lineRule="auto" w:line="333" w:before="0" w:after="0"/>
              <w:jc w:val="left"/>
              <w:rPr>
                <w:rFonts w:ascii="Times New Roman;serif" w:hAnsi="Times New Roman;serif"/>
                <w:b w:val="false"/>
                <w:color w:val="000000"/>
                <w:sz w:val="18"/>
              </w:rPr>
            </w:pPr>
            <w:r>
              <w:rPr>
                <w:rFonts w:ascii="Times New Roman;serif" w:hAnsi="Times New Roman;serif"/>
                <w:b w:val="false"/>
                <w:color w:val="000000"/>
                <w:sz w:val="18"/>
              </w:rPr>
              <w:t>800 BOYLSTON STREET</w:t>
            </w:r>
          </w:p>
          <w:p>
            <w:pPr>
              <w:pStyle w:val="TableContents"/>
              <w:bidi w:val="0"/>
              <w:spacing w:lineRule="auto" w:line="333" w:before="0" w:after="0"/>
              <w:jc w:val="left"/>
              <w:rPr>
                <w:rFonts w:ascii="Times New Roman;serif" w:hAnsi="Times New Roman;serif"/>
                <w:b w:val="false"/>
                <w:color w:val="000000"/>
                <w:sz w:val="18"/>
              </w:rPr>
            </w:pPr>
            <w:r>
              <w:rPr>
                <w:rFonts w:ascii="Times New Roman;serif" w:hAnsi="Times New Roman;serif"/>
                <w:b w:val="false"/>
                <w:color w:val="000000"/>
                <w:sz w:val="18"/>
              </w:rPr>
              <w:t>BOSTON, MA 02199-3600</w:t>
            </w:r>
          </w:p>
          <w:p>
            <w:pPr>
              <w:pStyle w:val="TableContents"/>
              <w:bidi w:val="0"/>
              <w:spacing w:lineRule="auto" w:line="333" w:before="0" w:after="20"/>
              <w:jc w:val="left"/>
              <w:rPr>
                <w:rFonts w:ascii="Times New Roman;serif" w:hAnsi="Times New Roman;serif"/>
                <w:b w:val="false"/>
                <w:color w:val="000000"/>
                <w:sz w:val="18"/>
              </w:rPr>
            </w:pPr>
            <w:r>
              <w:rPr>
                <w:rFonts w:ascii="Times New Roman;serif" w:hAnsi="Times New Roman;serif"/>
                <w:b w:val="false"/>
                <w:color w:val="000000"/>
                <w:sz w:val="18"/>
              </w:rPr>
              <w:t>WWW.ROPESGRAY.COM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00"/>
        <w:jc w:val="right"/>
        <w:rPr>
          <w:rFonts w:ascii="Times New Roman;serif" w:hAnsi="Times New Roman;serif"/>
          <w:b w:val="false"/>
          <w:color w:val="000000"/>
          <w:sz w:val="20"/>
        </w:rPr>
      </w:pPr>
      <w:r>
        <w:rPr>
          <w:rFonts w:ascii="Times New Roman;serif" w:hAnsi="Times New Roman;serif"/>
          <w:b w:val="false"/>
          <w:color w:val="000000"/>
          <w:sz w:val="20"/>
        </w:rPr>
        <w:t>August 12, 2026</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Acumen Pharmaceuticals, Inc.</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1210-1220 Washington St., Suite 210</w:t>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Newton, MA 02465</w:t>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lineRule="auto" w:line="333"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opinion is furnished to you in connection with the registration statement on Form S-8 (the “Registration Statement”) filed by Acumen Pharmaceuticals, Inc., a Delaware corporation (the “Company”), with the Securities and Exchange Commission under the Securities Act of 1933, as amended (the “Securities Act”), for the registration of 10,000,000 shares of the common stock, par value $0.0001 per share, of the Company (the “Shares”). The Shares are issuable under the Company’s Amended and Restated 2021 Equity Incentive Plan (the “Plan”).</w:t>
      </w:r>
    </w:p>
    <w:p>
      <w:pPr>
        <w:pStyle w:val="TextBody"/>
        <w:bidi w:val="0"/>
        <w:spacing w:lineRule="auto" w:line="333"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familiar with the actions taken by the Company in connection with the adoption of the Plan.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w:t>
      </w:r>
    </w:p>
    <w:p>
      <w:pPr>
        <w:pStyle w:val="TextBody"/>
        <w:bidi w:val="0"/>
        <w:spacing w:lineRule="auto" w:line="333"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opinions expressed below are limited to the Delaware General Corporation Law.</w:t>
      </w:r>
    </w:p>
    <w:p>
      <w:pPr>
        <w:pStyle w:val="TextBody"/>
        <w:bidi w:val="0"/>
        <w:spacing w:lineRule="auto" w:line="333"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upon and subject to the foregoing, we are of the opinion that the Shares have been duly authorized and, when the Shares have been issued and sold in accordance with the terms of the Plan, will be validly issued, fully paid and non-assessable.</w:t>
      </w:r>
    </w:p>
    <w:p>
      <w:pPr>
        <w:pStyle w:val="TextBody"/>
        <w:bidi w:val="0"/>
        <w:spacing w:lineRule="auto" w:line="333"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hereby consent to your filing this opinion as an exhibit to the Registration Statement. In giving such consent, we do not thereby admit that we are in the category of persons whose consent is required under Section 7 of the Securities Act or the rules and regulations thereunder.</w:t>
      </w:r>
    </w:p>
    <w:tbl>
      <w:tblPr>
        <w:tblW w:w="2262" w:type="dxa"/>
        <w:jc w:val="left"/>
        <w:tblInd w:w="0" w:type="dxa"/>
        <w:tblLayout w:type="fixed"/>
        <w:tblCellMar>
          <w:top w:w="28" w:type="dxa"/>
          <w:left w:w="28" w:type="dxa"/>
          <w:bottom w:w="28" w:type="dxa"/>
          <w:right w:w="28" w:type="dxa"/>
        </w:tblCellMar>
      </w:tblPr>
      <w:tblGrid>
        <w:gridCol w:w="124"/>
        <w:gridCol w:w="109"/>
        <w:gridCol w:w="109"/>
        <w:gridCol w:w="562"/>
        <w:gridCol w:w="562"/>
        <w:gridCol w:w="7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Very truly yours,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Ropes &amp; Gray LLP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Ropes &amp; Gray LLP</w:t>
            </w:r>
          </w:p>
        </w:tc>
      </w:tr>
    </w:tbl>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shd w:fill="FFFFFF" w:val="clear"/>
        </w:rPr>
      </w:pPr>
      <w:r>
        <w:rPr>
          <w:color w:val="000000"/>
          <w:shd w:fill="FFFFFF" w:val="clear"/>
        </w:rPr>
        <w:t>        </w:t>
      </w:r>
      <w:r>
        <w:rPr>
          <w:rFonts w:ascii="Times New Roman;serif" w:hAnsi="Times New Roman;serif"/>
          <w:b w:val="false"/>
          <w:color w:val="000000"/>
          <w:sz w:val="20"/>
          <w:shd w:fill="FFFFFF" w:val="clear"/>
        </w:rPr>
        <w:t>Exhibit 23.2</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8.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Consent of Independent Registered Public Accounting Firm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consent to the incorporation by reference in the Registration Statement (Form S-8) pertaining to the Acumen Pharmaceuticals, Inc. Amended and Restated 2021 Equity Incentive Plan of our report dated March 26, 2026, with respect to the financial statements of Acumen Pharmaceuticals, Inc. included in its Annual Report (Form 10-K) for the year ended December 31, 2025, filed with the Securities and Exchange Commission.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Ernst &amp; Young LLP</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Philadelphia, Pennsylvania</w:t>
      </w:r>
    </w:p>
    <w:p>
      <w:pPr>
        <w:pStyle w:val="TextBody"/>
        <w:bidi w:val="0"/>
        <w:spacing w:lineRule="auto" w:line="288"/>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August 12, 2026</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76885/000157688523000039/active_136401491x1xacume.htm" TargetMode="External"/><Relationship Id="rId3" Type="http://schemas.openxmlformats.org/officeDocument/2006/relationships/hyperlink" Target="https://www.sec.gov/Archives/edgar/data/1576885/000157688523000008/abos-20230309xexx31.htm" TargetMode="External"/><Relationship Id="rId4" Type="http://schemas.openxmlformats.org/officeDocument/2006/relationships/hyperlink" Target="https://www.sec.gov/Archives/edgar/data/1576885/000162828026056199/acumen-amendedandrestated2.htm"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1770</Words>
  <Characters>9785</Characters>
  <CharactersWithSpaces>11446</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