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October 26, 2026</w:t>
      </w:r>
    </w:p>
    <w:p>
      <w:pPr>
        <w:spacing w:after="0" w:line="2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Acumen Pharmaceuticals, Inc.</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94" w:lineRule="exact"/>
        <w:rPr>
          <w:sz w:val="24"/>
          <w:szCs w:val="24"/>
          <w:color w:val="auto"/>
        </w:rPr>
      </w:pPr>
    </w:p>
    <w:tbl>
      <w:tblPr>
        <w:tblLayout w:type="fixed"/>
        <w:tblInd w:w="1360" w:type="dxa"/>
        <w:tblCellMar>
          <w:top w:w="0" w:type="dxa"/>
          <w:left w:w="0" w:type="dxa"/>
          <w:bottom w:w="0" w:type="dxa"/>
          <w:right w:w="0" w:type="dxa"/>
        </w:tblCellMar>
      </w:tblPr>
      <w:tr>
        <w:trPr>
          <w:trHeight w:val="153"/>
        </w:trPr>
        <w:tc>
          <w:tcPr>
            <w:tcW w:w="2540" w:type="dxa"/>
            <w:vAlign w:val="bottom"/>
          </w:tcPr>
          <w:p>
            <w:pPr>
              <w:jc w:val="center"/>
              <w:ind w:right="144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580" w:type="dxa"/>
            <w:vAlign w:val="bottom"/>
          </w:tcPr>
          <w:p>
            <w:pPr>
              <w:ind w:left="1500"/>
              <w:spacing w:after="0"/>
              <w:rPr>
                <w:sz w:val="20"/>
                <w:szCs w:val="20"/>
                <w:color w:val="auto"/>
              </w:rPr>
            </w:pPr>
            <w:r>
              <w:rPr>
                <w:rFonts w:ascii="Times New Roman" w:cs="Times New Roman" w:eastAsia="Times New Roman" w:hAnsi="Times New Roman"/>
                <w:sz w:val="12"/>
                <w:szCs w:val="12"/>
                <w:b w:val="1"/>
                <w:bCs w:val="1"/>
                <w:color w:val="auto"/>
              </w:rPr>
              <w:t>001-40551</w:t>
            </w:r>
          </w:p>
        </w:tc>
        <w:tc>
          <w:tcPr>
            <w:tcW w:w="2300" w:type="dxa"/>
            <w:vAlign w:val="bottom"/>
          </w:tcPr>
          <w:p>
            <w:pPr>
              <w:jc w:val="center"/>
              <w:ind w:left="1508"/>
              <w:spacing w:after="0"/>
              <w:rPr>
                <w:sz w:val="20"/>
                <w:szCs w:val="20"/>
                <w:color w:val="auto"/>
              </w:rPr>
            </w:pPr>
            <w:r>
              <w:rPr>
                <w:rFonts w:ascii="Times New Roman" w:cs="Times New Roman" w:eastAsia="Times New Roman" w:hAnsi="Times New Roman"/>
                <w:sz w:val="12"/>
                <w:szCs w:val="12"/>
                <w:b w:val="1"/>
                <w:bCs w:val="1"/>
                <w:color w:val="auto"/>
                <w:w w:val="99"/>
              </w:rPr>
              <w:t>36-4108129</w:t>
            </w:r>
          </w:p>
        </w:tc>
      </w:tr>
      <w:tr>
        <w:trPr>
          <w:trHeight w:val="99"/>
        </w:trPr>
        <w:tc>
          <w:tcPr>
            <w:tcW w:w="2540" w:type="dxa"/>
            <w:vAlign w:val="bottom"/>
          </w:tcPr>
          <w:p>
            <w:pPr>
              <w:jc w:val="center"/>
              <w:ind w:right="1448"/>
              <w:spacing w:after="0" w:line="99" w:lineRule="exact"/>
              <w:rPr>
                <w:sz w:val="20"/>
                <w:szCs w:val="20"/>
                <w:color w:val="auto"/>
              </w:rPr>
            </w:pPr>
            <w:r>
              <w:rPr>
                <w:rFonts w:ascii="Times New Roman" w:cs="Times New Roman" w:eastAsia="Times New Roman" w:hAnsi="Times New Roman"/>
                <w:sz w:val="10"/>
                <w:szCs w:val="10"/>
                <w:color w:val="auto"/>
                <w:w w:val="95"/>
              </w:rPr>
              <w:t>(State or Other Jurisdiction</w:t>
            </w:r>
          </w:p>
        </w:tc>
        <w:tc>
          <w:tcPr>
            <w:tcW w:w="3580" w:type="dxa"/>
            <w:vAlign w:val="bottom"/>
          </w:tcPr>
          <w:p>
            <w:pPr>
              <w:ind w:left="1500"/>
              <w:spacing w:after="0" w:line="99" w:lineRule="exact"/>
              <w:rPr>
                <w:sz w:val="20"/>
                <w:szCs w:val="20"/>
                <w:color w:val="auto"/>
              </w:rPr>
            </w:pPr>
            <w:r>
              <w:rPr>
                <w:rFonts w:ascii="Times New Roman" w:cs="Times New Roman" w:eastAsia="Times New Roman" w:hAnsi="Times New Roman"/>
                <w:sz w:val="10"/>
                <w:szCs w:val="10"/>
                <w:color w:val="auto"/>
              </w:rPr>
              <w:t>(Commission</w:t>
            </w:r>
          </w:p>
        </w:tc>
        <w:tc>
          <w:tcPr>
            <w:tcW w:w="2300" w:type="dxa"/>
            <w:vAlign w:val="bottom"/>
          </w:tcPr>
          <w:p>
            <w:pPr>
              <w:jc w:val="center"/>
              <w:ind w:left="1508"/>
              <w:spacing w:after="0" w:line="99" w:lineRule="exact"/>
              <w:rPr>
                <w:sz w:val="20"/>
                <w:szCs w:val="20"/>
                <w:color w:val="auto"/>
              </w:rPr>
            </w:pPr>
            <w:r>
              <w:rPr>
                <w:rFonts w:ascii="Times New Roman" w:cs="Times New Roman" w:eastAsia="Times New Roman" w:hAnsi="Times New Roman"/>
                <w:sz w:val="10"/>
                <w:szCs w:val="10"/>
                <w:color w:val="auto"/>
                <w:w w:val="95"/>
              </w:rPr>
              <w:t>(IRS Employer</w:t>
            </w:r>
          </w:p>
        </w:tc>
      </w:tr>
      <w:tr>
        <w:trPr>
          <w:trHeight w:val="123"/>
        </w:trPr>
        <w:tc>
          <w:tcPr>
            <w:tcW w:w="2540" w:type="dxa"/>
            <w:vAlign w:val="bottom"/>
          </w:tcPr>
          <w:p>
            <w:pPr>
              <w:jc w:val="center"/>
              <w:ind w:right="1428"/>
              <w:spacing w:after="0"/>
              <w:rPr>
                <w:sz w:val="20"/>
                <w:szCs w:val="20"/>
                <w:color w:val="auto"/>
              </w:rPr>
            </w:pPr>
            <w:r>
              <w:rPr>
                <w:rFonts w:ascii="Times New Roman" w:cs="Times New Roman" w:eastAsia="Times New Roman" w:hAnsi="Times New Roman"/>
                <w:sz w:val="10"/>
                <w:szCs w:val="10"/>
                <w:color w:val="auto"/>
                <w:w w:val="96"/>
              </w:rPr>
              <w:t>of Incorporation)</w:t>
            </w:r>
          </w:p>
        </w:tc>
        <w:tc>
          <w:tcPr>
            <w:tcW w:w="3580" w:type="dxa"/>
            <w:vAlign w:val="bottom"/>
          </w:tcPr>
          <w:p>
            <w:pPr>
              <w:ind w:left="1500"/>
              <w:spacing w:after="0"/>
              <w:rPr>
                <w:sz w:val="20"/>
                <w:szCs w:val="20"/>
                <w:color w:val="auto"/>
              </w:rPr>
            </w:pPr>
            <w:r>
              <w:rPr>
                <w:rFonts w:ascii="Times New Roman" w:cs="Times New Roman" w:eastAsia="Times New Roman" w:hAnsi="Times New Roman"/>
                <w:sz w:val="10"/>
                <w:szCs w:val="10"/>
                <w:color w:val="auto"/>
              </w:rPr>
              <w:t>File Number)</w:t>
            </w:r>
          </w:p>
        </w:tc>
        <w:tc>
          <w:tcPr>
            <w:tcW w:w="2300" w:type="dxa"/>
            <w:vAlign w:val="bottom"/>
          </w:tcPr>
          <w:p>
            <w:pPr>
              <w:jc w:val="center"/>
              <w:ind w:left="1528"/>
              <w:spacing w:after="0"/>
              <w:rPr>
                <w:sz w:val="20"/>
                <w:szCs w:val="20"/>
                <w:color w:val="auto"/>
              </w:rPr>
            </w:pPr>
            <w:r>
              <w:rPr>
                <w:rFonts w:ascii="Times New Roman" w:cs="Times New Roman" w:eastAsia="Times New Roman" w:hAnsi="Times New Roman"/>
                <w:sz w:val="10"/>
                <w:szCs w:val="10"/>
                <w:color w:val="auto"/>
                <w:w w:val="96"/>
              </w:rPr>
              <w:t>Identification No.)</w:t>
            </w:r>
          </w:p>
        </w:tc>
      </w:tr>
    </w:tbl>
    <w:p>
      <w:pPr>
        <w:spacing w:after="0" w:line="158" w:lineRule="exact"/>
        <w:rPr>
          <w:sz w:val="24"/>
          <w:szCs w:val="24"/>
          <w:color w:val="auto"/>
        </w:rPr>
      </w:pPr>
    </w:p>
    <w:tbl>
      <w:tblPr>
        <w:tblLayout w:type="fixed"/>
        <w:tblInd w:w="1800" w:type="dxa"/>
        <w:tblCellMar>
          <w:top w:w="0" w:type="dxa"/>
          <w:left w:w="0" w:type="dxa"/>
          <w:bottom w:w="0" w:type="dxa"/>
          <w:right w:w="0" w:type="dxa"/>
        </w:tblCellMar>
      </w:tblPr>
      <w:tr>
        <w:trPr>
          <w:trHeight w:val="138"/>
        </w:trPr>
        <w:tc>
          <w:tcPr>
            <w:tcW w:w="4240" w:type="dxa"/>
            <w:vAlign w:val="bottom"/>
          </w:tcPr>
          <w:p>
            <w:pPr>
              <w:jc w:val="center"/>
              <w:ind w:right="2144"/>
              <w:spacing w:after="0"/>
              <w:rPr>
                <w:sz w:val="20"/>
                <w:szCs w:val="20"/>
                <w:color w:val="auto"/>
              </w:rPr>
            </w:pPr>
            <w:r>
              <w:rPr>
                <w:rFonts w:ascii="Times New Roman" w:cs="Times New Roman" w:eastAsia="Times New Roman" w:hAnsi="Times New Roman"/>
                <w:sz w:val="12"/>
                <w:szCs w:val="12"/>
                <w:b w:val="1"/>
                <w:bCs w:val="1"/>
                <w:color w:val="auto"/>
              </w:rPr>
              <w:t>1210-1220 Washington Street, Suite 210</w:t>
            </w:r>
          </w:p>
        </w:tc>
        <w:tc>
          <w:tcPr>
            <w:tcW w:w="2640" w:type="dxa"/>
            <w:vAlign w:val="bottom"/>
            <w:vMerge w:val="restart"/>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02465</w:t>
            </w:r>
          </w:p>
        </w:tc>
        <w:tc>
          <w:tcPr>
            <w:tcW w:w="0" w:type="dxa"/>
            <w:vAlign w:val="bottom"/>
          </w:tcPr>
          <w:p>
            <w:pPr>
              <w:spacing w:after="0"/>
              <w:rPr>
                <w:sz w:val="1"/>
                <w:szCs w:val="1"/>
                <w:color w:val="auto"/>
              </w:rPr>
            </w:pPr>
          </w:p>
        </w:tc>
      </w:tr>
      <w:tr>
        <w:trPr>
          <w:trHeight w:val="157"/>
        </w:trPr>
        <w:tc>
          <w:tcPr>
            <w:tcW w:w="4240" w:type="dxa"/>
            <w:vAlign w:val="bottom"/>
          </w:tcPr>
          <w:p>
            <w:pPr>
              <w:jc w:val="center"/>
              <w:ind w:right="2144"/>
              <w:spacing w:after="0"/>
              <w:rPr>
                <w:sz w:val="20"/>
                <w:szCs w:val="20"/>
                <w:color w:val="auto"/>
              </w:rPr>
            </w:pPr>
            <w:r>
              <w:rPr>
                <w:rFonts w:ascii="Times New Roman" w:cs="Times New Roman" w:eastAsia="Times New Roman" w:hAnsi="Times New Roman"/>
                <w:sz w:val="12"/>
                <w:szCs w:val="12"/>
                <w:b w:val="1"/>
                <w:bCs w:val="1"/>
                <w:color w:val="auto"/>
              </w:rPr>
              <w:t>Newton, Massachusetts</w:t>
            </w:r>
          </w:p>
        </w:tc>
        <w:tc>
          <w:tcPr>
            <w:tcW w:w="2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240" w:type="dxa"/>
            <w:vAlign w:val="bottom"/>
          </w:tcPr>
          <w:p>
            <w:pPr>
              <w:jc w:val="center"/>
              <w:ind w:right="2144"/>
              <w:spacing w:after="0"/>
              <w:rPr>
                <w:sz w:val="20"/>
                <w:szCs w:val="20"/>
                <w:color w:val="auto"/>
              </w:rPr>
            </w:pPr>
            <w:r>
              <w:rPr>
                <w:rFonts w:ascii="Times New Roman" w:cs="Times New Roman" w:eastAsia="Times New Roman" w:hAnsi="Times New Roman"/>
                <w:sz w:val="10"/>
                <w:szCs w:val="10"/>
                <w:color w:val="auto"/>
                <w:w w:val="95"/>
              </w:rPr>
              <w:t>(Address of Principal Executive Offices)</w:t>
            </w:r>
          </w:p>
        </w:tc>
        <w:tc>
          <w:tcPr>
            <w:tcW w:w="2640" w:type="dxa"/>
            <w:vAlign w:val="bottom"/>
          </w:tcPr>
          <w:p>
            <w:pPr>
              <w:jc w:val="center"/>
              <w:ind w:left="2166"/>
              <w:spacing w:after="0"/>
              <w:rPr>
                <w:sz w:val="20"/>
                <w:szCs w:val="20"/>
                <w:color w:val="auto"/>
              </w:rPr>
            </w:pPr>
            <w:r>
              <w:rPr>
                <w:rFonts w:ascii="Times New Roman" w:cs="Times New Roman" w:eastAsia="Times New Roman" w:hAnsi="Times New Roman"/>
                <w:sz w:val="10"/>
                <w:szCs w:val="10"/>
                <w:color w:val="auto"/>
                <w:w w:val="94"/>
              </w:rPr>
              <w:t>(Zip Code)</w:t>
            </w:r>
          </w:p>
        </w:tc>
        <w:tc>
          <w:tcPr>
            <w:tcW w:w="0" w:type="dxa"/>
            <w:vAlign w:val="bottom"/>
          </w:tcPr>
          <w:p>
            <w:pPr>
              <w:spacing w:after="0"/>
              <w:rPr>
                <w:sz w:val="1"/>
                <w:szCs w:val="1"/>
                <w:color w:val="auto"/>
              </w:rPr>
            </w:pPr>
          </w:p>
        </w:tc>
      </w:tr>
    </w:tbl>
    <w:p>
      <w:pPr>
        <w:spacing w:after="0" w:line="1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(617) 344-4190</w:t>
      </w:r>
    </w:p>
    <w:p>
      <w:pPr>
        <w:spacing w:after="0" w:line="1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 (see General Instructions A.2. below):</w:t>
      </w:r>
    </w:p>
    <w:p>
      <w:pPr>
        <w:sectPr>
          <w:pgSz w:w="11900" w:h="16838" w:orient="portrait"/>
          <w:cols w:equalWidth="0" w:num="1">
            <w:col w:w="11300"/>
          </w:cols>
          <w:pgMar w:left="300" w:top="909" w:right="299" w:bottom="1440" w:gutter="0" w:footer="0" w:header="0"/>
        </w:sectPr>
      </w:pPr>
    </w:p>
    <w:p>
      <w:pPr>
        <w:spacing w:after="0" w:line="117" w:lineRule="exact"/>
        <w:rPr>
          <w:sz w:val="24"/>
          <w:szCs w:val="24"/>
          <w:color w:val="auto"/>
        </w:rPr>
      </w:pPr>
    </w:p>
    <w:p>
      <w:pPr>
        <w:ind w:left="340" w:hanging="336"/>
        <w:spacing w:after="0"/>
        <w:tabs>
          <w:tab w:leader="none" w:pos="34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51" w:lineRule="exact"/>
        <w:rPr>
          <w:rFonts w:ascii="Wingdings" w:cs="Wingdings" w:eastAsia="Wingdings" w:hAnsi="Wingdings"/>
          <w:sz w:val="12"/>
          <w:szCs w:val="12"/>
          <w:b w:val="1"/>
          <w:bCs w:val="1"/>
          <w:color w:val="auto"/>
        </w:rPr>
      </w:pPr>
    </w:p>
    <w:p>
      <w:pPr>
        <w:ind w:left="340" w:hanging="336"/>
        <w:spacing w:after="0"/>
        <w:tabs>
          <w:tab w:leader="none" w:pos="34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51" w:lineRule="exact"/>
        <w:rPr>
          <w:rFonts w:ascii="Wingdings" w:cs="Wingdings" w:eastAsia="Wingdings" w:hAnsi="Wingdings"/>
          <w:sz w:val="12"/>
          <w:szCs w:val="12"/>
          <w:b w:val="1"/>
          <w:bCs w:val="1"/>
          <w:color w:val="auto"/>
        </w:rPr>
      </w:pPr>
    </w:p>
    <w:p>
      <w:pPr>
        <w:ind w:left="340" w:hanging="336"/>
        <w:spacing w:after="0"/>
        <w:tabs>
          <w:tab w:leader="none" w:pos="34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51" w:lineRule="exact"/>
        <w:rPr>
          <w:rFonts w:ascii="Wingdings" w:cs="Wingdings" w:eastAsia="Wingdings" w:hAnsi="Wingdings"/>
          <w:sz w:val="12"/>
          <w:szCs w:val="12"/>
          <w:b w:val="1"/>
          <w:bCs w:val="1"/>
          <w:color w:val="auto"/>
        </w:rPr>
      </w:pPr>
    </w:p>
    <w:p>
      <w:pPr>
        <w:ind w:left="340" w:hanging="336"/>
        <w:spacing w:after="0"/>
        <w:tabs>
          <w:tab w:leader="none" w:pos="34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01" w:lineRule="exact"/>
        <w:rPr>
          <w:sz w:val="24"/>
          <w:szCs w:val="24"/>
          <w:color w:val="auto"/>
        </w:rPr>
      </w:pPr>
    </w:p>
    <w:tbl>
      <w:tblPr>
        <w:tblLayout w:type="fixed"/>
        <w:tblInd w:w="1600" w:type="dxa"/>
        <w:tblCellMar>
          <w:top w:w="0" w:type="dxa"/>
          <w:left w:w="0" w:type="dxa"/>
          <w:bottom w:w="0" w:type="dxa"/>
          <w:right w:w="0" w:type="dxa"/>
        </w:tblCellMar>
      </w:tblPr>
      <w:tr>
        <w:trPr>
          <w:trHeight w:val="115"/>
        </w:trPr>
        <w:tc>
          <w:tcPr>
            <w:tcW w:w="2280" w:type="dxa"/>
            <w:vAlign w:val="bottom"/>
          </w:tcPr>
          <w:p>
            <w:pPr>
              <w:spacing w:after="0"/>
              <w:rPr>
                <w:sz w:val="10"/>
                <w:szCs w:val="10"/>
                <w:color w:val="auto"/>
              </w:rPr>
            </w:pPr>
          </w:p>
        </w:tc>
        <w:tc>
          <w:tcPr>
            <w:tcW w:w="1960" w:type="dxa"/>
            <w:vAlign w:val="bottom"/>
          </w:tcPr>
          <w:p>
            <w:pPr>
              <w:jc w:val="center"/>
              <w:ind w:left="1492"/>
              <w:spacing w:after="0"/>
              <w:rPr>
                <w:sz w:val="20"/>
                <w:szCs w:val="20"/>
                <w:color w:val="auto"/>
              </w:rPr>
            </w:pPr>
            <w:r>
              <w:rPr>
                <w:rFonts w:ascii="Times New Roman" w:cs="Times New Roman" w:eastAsia="Times New Roman" w:hAnsi="Times New Roman"/>
                <w:sz w:val="10"/>
                <w:szCs w:val="10"/>
                <w:b w:val="1"/>
                <w:bCs w:val="1"/>
                <w:color w:val="auto"/>
                <w:w w:val="96"/>
              </w:rPr>
              <w:t>Trading</w:t>
            </w:r>
          </w:p>
        </w:tc>
      </w:tr>
      <w:tr>
        <w:trPr>
          <w:trHeight w:val="143"/>
        </w:trPr>
        <w:tc>
          <w:tcPr>
            <w:tcW w:w="2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1960" w:type="dxa"/>
            <w:vAlign w:val="bottom"/>
          </w:tcPr>
          <w:p>
            <w:pPr>
              <w:jc w:val="center"/>
              <w:ind w:left="1492"/>
              <w:spacing w:after="0"/>
              <w:rPr>
                <w:sz w:val="20"/>
                <w:szCs w:val="20"/>
                <w:color w:val="auto"/>
              </w:rPr>
            </w:pPr>
            <w:r>
              <w:rPr>
                <w:rFonts w:ascii="Times New Roman" w:cs="Times New Roman" w:eastAsia="Times New Roman" w:hAnsi="Times New Roman"/>
                <w:sz w:val="10"/>
                <w:szCs w:val="10"/>
                <w:b w:val="1"/>
                <w:bCs w:val="1"/>
                <w:color w:val="auto"/>
                <w:w w:val="98"/>
              </w:rPr>
              <w:t>Symbol(s)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459486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94860" cy="5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8"/>
          <w:szCs w:val="8"/>
          <w:b w:val="1"/>
          <w:bCs w:val="1"/>
          <w:color w:val="auto"/>
        </w:rPr>
        <w:t>Name of each exchange</w:t>
      </w:r>
    </w:p>
    <w:p>
      <w:pPr>
        <w:spacing w:after="0" w:line="27"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0"/>
          <w:szCs w:val="10"/>
          <w:b w:val="1"/>
          <w:bCs w:val="1"/>
          <w:color w:val="auto"/>
        </w:rPr>
        <w:t>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-958850</wp:posOffset>
            </wp:positionH>
            <wp:positionV relativeFrom="paragraph">
              <wp:posOffset>22225</wp:posOffset>
            </wp:positionV>
            <wp:extent cx="25317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1745" cy="5715"/>
                    </a:xfrm>
                    <a:prstGeom prst="rect">
                      <a:avLst/>
                    </a:prstGeom>
                    <a:noFill/>
                  </pic:spPr>
                </pic:pic>
              </a:graphicData>
            </a:graphic>
          </wp:anchor>
        </w:drawing>
      </w:r>
    </w:p>
    <w:p>
      <w:pPr>
        <w:spacing w:after="0" w:line="42" w:lineRule="exact"/>
        <w:rPr>
          <w:sz w:val="24"/>
          <w:szCs w:val="24"/>
          <w:color w:val="auto"/>
        </w:rPr>
      </w:pPr>
    </w:p>
    <w:p>
      <w:pPr>
        <w:sectPr>
          <w:pgSz w:w="11900" w:h="16838" w:orient="portrait"/>
          <w:cols w:equalWidth="0" w:num="2">
            <w:col w:w="8100" w:space="720"/>
            <w:col w:w="2480"/>
          </w:cols>
          <w:pgMar w:left="300" w:top="909" w:right="299" w:bottom="1440" w:gutter="0" w:footer="0" w:header="0"/>
          <w:type w:val="continuous"/>
        </w:sectPr>
      </w:pPr>
    </w:p>
    <w:p>
      <w:pPr>
        <w:ind w:left="1140"/>
        <w:spacing w:after="0"/>
        <w:tabs>
          <w:tab w:leader="none" w:pos="5440" w:val="left"/>
          <w:tab w:leader="none" w:pos="8460" w:val="left"/>
        </w:tabs>
        <w:rPr>
          <w:sz w:val="20"/>
          <w:szCs w:val="20"/>
          <w:color w:val="auto"/>
        </w:rPr>
      </w:pPr>
      <w:r>
        <w:rPr>
          <w:rFonts w:ascii="Times New Roman" w:cs="Times New Roman" w:eastAsia="Times New Roman" w:hAnsi="Times New Roman"/>
          <w:sz w:val="12"/>
          <w:szCs w:val="12"/>
          <w:color w:val="auto"/>
        </w:rPr>
        <w:t>Common Stock, $0.0001 par value</w:t>
      </w:r>
      <w:r>
        <w:rPr>
          <w:sz w:val="20"/>
          <w:szCs w:val="20"/>
          <w:color w:val="auto"/>
        </w:rPr>
        <w:tab/>
      </w:r>
      <w:r>
        <w:rPr>
          <w:rFonts w:ascii="Times New Roman" w:cs="Times New Roman" w:eastAsia="Times New Roman" w:hAnsi="Times New Roman"/>
          <w:sz w:val="12"/>
          <w:szCs w:val="12"/>
          <w:color w:val="auto"/>
        </w:rPr>
        <w:t>ABOS</w:t>
      </w:r>
      <w:r>
        <w:rPr>
          <w:sz w:val="20"/>
          <w:szCs w:val="20"/>
          <w:color w:val="auto"/>
        </w:rPr>
        <w:tab/>
      </w:r>
      <w:r>
        <w:rPr>
          <w:rFonts w:ascii="Times New Roman" w:cs="Times New Roman" w:eastAsia="Times New Roman" w:hAnsi="Times New Roman"/>
          <w:sz w:val="12"/>
          <w:szCs w:val="12"/>
          <w:color w:val="auto"/>
        </w:rPr>
        <w:t>The Nasdaq Global Select Market</w:t>
      </w:r>
    </w:p>
    <w:p>
      <w:pPr>
        <w:spacing w:after="0" w:line="177"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ind w:left="9800"/>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23" w:lineRule="exact"/>
        <w:rPr>
          <w:sz w:val="24"/>
          <w:szCs w:val="24"/>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493395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71755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909" w:right="299" w:bottom="1440" w:gutter="0" w:footer="0" w:header="0"/>
          <w:type w:val="continuous"/>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7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2"/>
          <w:szCs w:val="12"/>
          <w:color w:val="auto"/>
        </w:rPr>
        <w:t>On October 26, 2026, Acumen Pharmaceuticals, Inc.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reported financial results and business highlights for the quarter ended September 30, 2026. A copy of this press release (the “</w:t>
      </w:r>
      <w:r>
        <w:rPr>
          <w:rFonts w:ascii="Times New Roman" w:cs="Times New Roman" w:eastAsia="Times New Roman" w:hAnsi="Times New Roman"/>
          <w:sz w:val="12"/>
          <w:szCs w:val="12"/>
          <w:b w:val="1"/>
          <w:bCs w:val="1"/>
          <w:color w:val="auto"/>
        </w:rPr>
        <w:t>Earnings Press Release</w:t>
      </w:r>
      <w:r>
        <w:rPr>
          <w:rFonts w:ascii="Times New Roman" w:cs="Times New Roman" w:eastAsia="Times New Roman" w:hAnsi="Times New Roman"/>
          <w:sz w:val="12"/>
          <w:szCs w:val="12"/>
          <w:color w:val="auto"/>
        </w:rPr>
        <w:t>”) is furnished as Exhibit 99.1 to this Current Report on Form 8-K (this “</w:t>
      </w:r>
      <w:r>
        <w:rPr>
          <w:rFonts w:ascii="Times New Roman" w:cs="Times New Roman" w:eastAsia="Times New Roman" w:hAnsi="Times New Roman"/>
          <w:sz w:val="12"/>
          <w:szCs w:val="12"/>
          <w:b w:val="1"/>
          <w:bCs w:val="1"/>
          <w:color w:val="auto"/>
        </w:rPr>
        <w:t>Report</w:t>
      </w:r>
      <w:r>
        <w:rPr>
          <w:rFonts w:ascii="Times New Roman" w:cs="Times New Roman" w:eastAsia="Times New Roman" w:hAnsi="Times New Roman"/>
          <w:sz w:val="12"/>
          <w:szCs w:val="12"/>
          <w:color w:val="auto"/>
        </w:rPr>
        <w:t>”) and is incorporated by reference.</w:t>
      </w:r>
    </w:p>
    <w:p>
      <w:pPr>
        <w:spacing w:after="0" w:line="1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2"/>
          <w:szCs w:val="12"/>
          <w:color w:val="auto"/>
        </w:rPr>
        <w:t>The information in this Item 2.02 of this Report (including Exhibit 99.1) is being furnished and shall not be deemed “filed” for purposes of Section 18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or otherwise subject to the liabilities of that Section, nor shall it be deemed incorporated by reference in any filing under the Securities Act of 1933, as amended (the “</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or the Exchange Act, except as expressly set forth by specific reference in such a filing.</w:t>
      </w:r>
    </w:p>
    <w:p>
      <w:pPr>
        <w:spacing w:after="0" w:line="13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On October 26, 2026, the Company posted an updated corporate presentation to its website at https://investors.acumenpharm.com/news-events/presentations, which the Company may use from time to time in communications or conferences. The corporate presentation was updated to reflect the Company’s cash, cash equivalents and marketable securities balance as of September 30, 2026. A copy of the corporate presentation is attached as Exhibit 99.2 to this Report.</w:t>
      </w:r>
    </w:p>
    <w:p>
      <w:pPr>
        <w:spacing w:after="0" w:line="12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2"/>
          <w:szCs w:val="12"/>
          <w:color w:val="auto"/>
        </w:rPr>
        <w:t>The information in this Item 7.01 of this Report (including Exhibit 99.2), is being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 The Company’s submission of this Report shall not be deemed an admission as to the materiality of any information required to be disclosed solely to satisfy the requirements of Regulation FD.</w:t>
      </w:r>
    </w:p>
    <w:p>
      <w:pPr>
        <w:spacing w:after="0" w:line="19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1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101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23"/>
        </w:trPr>
        <w:tc>
          <w:tcPr>
            <w:tcW w:w="108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10"/>
                <w:szCs w:val="10"/>
                <w:color w:val="auto"/>
              </w:rPr>
            </w:pPr>
          </w:p>
        </w:tc>
        <w:tc>
          <w:tcPr>
            <w:tcW w:w="2320" w:type="dxa"/>
            <w:vAlign w:val="bottom"/>
            <w:tcBorders>
              <w:top w:val="single" w:sz="8" w:color="auto"/>
              <w:bottom w:val="single" w:sz="8" w:color="0000FF"/>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FF"/>
                <w:w w:val="99"/>
              </w:rPr>
              <w:t>Earnings Press Release, dated October 26, 2026</w:t>
            </w:r>
          </w:p>
        </w:tc>
        <w:tc>
          <w:tcPr>
            <w:tcW w:w="7820" w:type="dxa"/>
            <w:vAlign w:val="bottom"/>
            <w:tcBorders>
              <w:top w:val="single" w:sz="8" w:color="auto"/>
            </w:tcBorders>
          </w:tcPr>
          <w:p>
            <w:pPr>
              <w:spacing w:after="0"/>
              <w:rPr>
                <w:sz w:val="10"/>
                <w:szCs w:val="10"/>
                <w:color w:val="auto"/>
              </w:rPr>
            </w:pP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4"/>
                <w:szCs w:val="14"/>
                <w:color w:val="auto"/>
              </w:rPr>
            </w:pPr>
          </w:p>
        </w:tc>
        <w:tc>
          <w:tcPr>
            <w:tcW w:w="2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Corporate Presentation, dated October 26, 2026</w:t>
            </w:r>
          </w:p>
        </w:tc>
        <w:tc>
          <w:tcPr>
            <w:tcW w:w="7840" w:type="dxa"/>
            <w:vAlign w:val="bottom"/>
            <w:gridSpan w:val="2"/>
          </w:tcPr>
          <w:p>
            <w:pPr>
              <w:spacing w:after="0"/>
              <w:rPr>
                <w:sz w:val="14"/>
                <w:szCs w:val="14"/>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7"/>
                <w:szCs w:val="17"/>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702"/>
        </w:trPr>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as amended, the Company has duly caused this report to be signed on its behalf by the undersigned hereunto duly authorized.</w:t>
      </w:r>
    </w:p>
    <w:p>
      <w:pPr>
        <w:spacing w:after="0" w:line="18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2"/>
          <w:szCs w:val="12"/>
          <w:b w:val="1"/>
          <w:bCs w:val="1"/>
          <w:color w:val="auto"/>
        </w:rPr>
        <w:t>Acumen Pharmaceuticals, Inc.</w:t>
      </w:r>
    </w:p>
    <w:p>
      <w:pPr>
        <w:spacing w:after="0" w:line="208" w:lineRule="exact"/>
        <w:rPr>
          <w:sz w:val="20"/>
          <w:szCs w:val="20"/>
          <w:color w:val="auto"/>
        </w:rPr>
      </w:pPr>
    </w:p>
    <w:p>
      <w:pPr>
        <w:spacing w:after="0"/>
        <w:tabs>
          <w:tab w:leader="none" w:pos="5380" w:val="left"/>
          <w:tab w:leader="none" w:pos="5840" w:val="left"/>
        </w:tabs>
        <w:rPr>
          <w:sz w:val="20"/>
          <w:szCs w:val="20"/>
          <w:color w:val="auto"/>
        </w:rPr>
      </w:pPr>
      <w:r>
        <w:rPr>
          <w:rFonts w:ascii="Times New Roman" w:cs="Times New Roman" w:eastAsia="Times New Roman" w:hAnsi="Times New Roman"/>
          <w:sz w:val="12"/>
          <w:szCs w:val="12"/>
          <w:color w:val="auto"/>
        </w:rPr>
        <w:t>Dated: October 26,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Matthew Zuga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22225</wp:posOffset>
            </wp:positionV>
            <wp:extent cx="346329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63290" cy="5715"/>
                    </a:xfrm>
                    <a:prstGeom prst="rect">
                      <a:avLst/>
                    </a:prstGeom>
                    <a:noFill/>
                  </pic:spPr>
                </pic:pic>
              </a:graphicData>
            </a:graphic>
          </wp:anchor>
        </w:drawing>
      </w:r>
    </w:p>
    <w:p>
      <w:pPr>
        <w:spacing w:after="0" w:line="3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color w:val="auto"/>
        </w:rPr>
        <w:t>Matthew Zuga</w:t>
      </w:r>
    </w:p>
    <w:p>
      <w:pPr>
        <w:spacing w:after="0" w:line="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i w:val="1"/>
          <w:iCs w:val="1"/>
          <w:color w:val="auto"/>
        </w:rPr>
        <w:t>Chief Financial Officer and Chief Business Officer</w:t>
      </w:r>
    </w:p>
    <w:p>
      <w:pPr>
        <w:sectPr>
          <w:pgSz w:w="11900" w:h="16838" w:orient="portrait"/>
          <w:cols w:equalWidth="0" w:num="1">
            <w:col w:w="10159"/>
          </w:cols>
          <w:pgMar w:left="300" w:top="88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555625</wp:posOffset>
            </wp:positionV>
            <wp:extent cx="1314450" cy="245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4450" cy="24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Acumen Pharmaceuticals Reports Third Quarter 2026 Financial Results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Business Highlights</w:t>
      </w:r>
    </w:p>
    <w:p>
      <w:pPr>
        <w:spacing w:after="0" w:line="163" w:lineRule="exact"/>
        <w:rPr>
          <w:sz w:val="20"/>
          <w:szCs w:val="20"/>
          <w:color w:val="auto"/>
        </w:rPr>
      </w:pPr>
    </w:p>
    <w:p>
      <w:pPr>
        <w:ind w:left="400" w:hanging="192"/>
        <w:spacing w:after="0"/>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Expect to report topline results for ALTITUDE-AD, a Phase 2 study to investigate sabirnetug (ACU193) for the treatment of early Alzheimer’s disease, in November 2026</w:t>
      </w:r>
    </w:p>
    <w:p>
      <w:pPr>
        <w:spacing w:after="0" w:line="163" w:lineRule="exact"/>
        <w:rPr>
          <w:rFonts w:ascii="Arial" w:cs="Arial" w:eastAsia="Arial" w:hAnsi="Arial"/>
          <w:sz w:val="14"/>
          <w:szCs w:val="14"/>
          <w:color w:val="auto"/>
        </w:rPr>
      </w:pPr>
    </w:p>
    <w:p>
      <w:pPr>
        <w:ind w:left="400" w:hanging="192"/>
        <w:spacing w:after="0"/>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 filing for the Enhanced Brain Delivery™ (EBD®)program lead clinical candidate targeted for mid-2027</w:t>
      </w:r>
    </w:p>
    <w:p>
      <w:pPr>
        <w:spacing w:after="0" w:line="163" w:lineRule="exact"/>
        <w:rPr>
          <w:rFonts w:ascii="Arial" w:cs="Arial" w:eastAsia="Arial" w:hAnsi="Arial"/>
          <w:sz w:val="14"/>
          <w:szCs w:val="14"/>
          <w:color w:val="auto"/>
        </w:rPr>
      </w:pPr>
    </w:p>
    <w:p>
      <w:pPr>
        <w:ind w:left="400" w:hanging="192"/>
        <w:spacing w:after="0"/>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Cash, cash equivalents and marketable securities of $78.6 million as of September 30, 2026, expected to support current clinical and operational activities into early 2027</w:t>
      </w:r>
    </w:p>
    <w:p>
      <w:pPr>
        <w:spacing w:after="0" w:line="163" w:lineRule="exact"/>
        <w:rPr>
          <w:rFonts w:ascii="Arial" w:cs="Arial" w:eastAsia="Arial" w:hAnsi="Arial"/>
          <w:sz w:val="14"/>
          <w:szCs w:val="14"/>
          <w:color w:val="auto"/>
        </w:rPr>
      </w:pPr>
    </w:p>
    <w:p>
      <w:pPr>
        <w:ind w:left="400" w:hanging="192"/>
        <w:spacing w:after="0"/>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Company to host conference call and webcast today at 8:00 a.m. ET</w:t>
      </w:r>
    </w:p>
    <w:p>
      <w:pPr>
        <w:spacing w:after="0" w:line="244"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b w:val="1"/>
          <w:bCs w:val="1"/>
          <w:color w:val="auto"/>
        </w:rPr>
        <w:t xml:space="preserve">NEWTON, Mass., Oct. 26, 2026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3051F2"/>
        </w:rPr>
        <w:t>Acumen Pharmaceuticals, Inc.</w:t>
      </w:r>
      <w:r>
        <w:rPr>
          <w:rFonts w:ascii="Arial" w:cs="Arial" w:eastAsia="Arial" w:hAnsi="Arial"/>
          <w:sz w:val="14"/>
          <w:szCs w:val="14"/>
          <w:b w:val="1"/>
          <w:bCs w:val="1"/>
          <w:color w:val="auto"/>
        </w:rPr>
        <w:t xml:space="preserve"> </w:t>
      </w:r>
      <w:r>
        <w:rPr>
          <w:rFonts w:ascii="Arial" w:cs="Arial" w:eastAsia="Arial" w:hAnsi="Arial"/>
          <w:sz w:val="14"/>
          <w:szCs w:val="14"/>
          <w:color w:val="auto"/>
        </w:rPr>
        <w:t>(NASDAQ: ABOS) (“Acumen” or the “Company”), a clinical-stage biopharmaceutical company developing</w:t>
      </w:r>
      <w:r>
        <w:rPr>
          <w:rFonts w:ascii="Arial" w:cs="Arial" w:eastAsia="Arial" w:hAnsi="Arial"/>
          <w:sz w:val="14"/>
          <w:szCs w:val="14"/>
          <w:b w:val="1"/>
          <w:bCs w:val="1"/>
          <w:color w:val="auto"/>
        </w:rPr>
        <w:t xml:space="preserve"> </w:t>
      </w:r>
      <w:r>
        <w:rPr>
          <w:rFonts w:ascii="Arial" w:cs="Arial" w:eastAsia="Arial" w:hAnsi="Arial"/>
          <w:sz w:val="14"/>
          <w:szCs w:val="14"/>
          <w:color w:val="auto"/>
        </w:rPr>
        <w:t>novel therapeutics that target toxic soluble amyloid beta oligomers (AβOs) for the treatment of Alzheimer’s disease (AD), today reported financial results for the third quarter of 2026 and provided a business update.</w:t>
      </w:r>
    </w:p>
    <w:p>
      <w:pPr>
        <w:spacing w:after="0" w:line="19"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“In the third quarter, we continued readying for the readout from our ALTITUDE-AD Phase 2 study investigating the efficacy, safety and tolerability of sabirnetug for the treatment of early AD, and today I’m pleased to announce that we expect to report topline results in November 2026. We remain encouraged by the potential for sabirnetug to become a treatment of choice, with a differentiated benefit-risk profile driven by its unique attributes as an anti-AβO IgG2 monoclonal antibody,” said Daniel O’Connell, Chief Executive Officer of Acumen. “Another important piece of Acumen’s value proposition is our Enhanced Brain Delivery™ program, combining a validated blood-brain barrier-penetrating technology with an AβO-selective therapeutic antibody. We continue to make progress on IND-enabling activities in support of a mid-2027 IND submission for a lead candidate and remain encouraged about the potential it holds as a next-generation Alzheimer’s disease treatment.”</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Anticipated Milestones</w:t>
      </w:r>
    </w:p>
    <w:p>
      <w:pPr>
        <w:spacing w:after="0" w:line="109" w:lineRule="exact"/>
        <w:rPr>
          <w:sz w:val="20"/>
          <w:szCs w:val="20"/>
          <w:color w:val="auto"/>
        </w:rPr>
      </w:pPr>
    </w:p>
    <w:p>
      <w:pPr>
        <w:ind w:left="400" w:hanging="192"/>
        <w:spacing w:after="0"/>
        <w:tabs>
          <w:tab w:leader="none" w:pos="4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 expects to report topline results from ALTITUDE-AD in November 2026.</w:t>
      </w:r>
    </w:p>
    <w:p>
      <w:pPr>
        <w:spacing w:after="0" w:line="172" w:lineRule="exact"/>
        <w:rPr>
          <w:rFonts w:ascii="Arial" w:cs="Arial" w:eastAsia="Arial" w:hAnsi="Arial"/>
          <w:sz w:val="14"/>
          <w:szCs w:val="14"/>
          <w:color w:val="auto"/>
        </w:rPr>
      </w:pPr>
    </w:p>
    <w:p>
      <w:pPr>
        <w:ind w:left="860" w:hanging="220"/>
        <w:spacing w:after="0"/>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ALTITUDE-AD is a 3-arm Phase 2 study investigating sabirnetug in 542 participants (N=180 per arm) for the treatment of early Alzheimer’s disease.</w:t>
      </w:r>
    </w:p>
    <w:p>
      <w:pPr>
        <w:sectPr>
          <w:pgSz w:w="11900" w:h="16838" w:orient="portrait"/>
          <w:cols w:equalWidth="0" w:num="1">
            <w:col w:w="11300"/>
          </w:cols>
          <w:pgMar w:left="300" w:top="124" w:right="299" w:bottom="1440" w:gutter="0" w:footer="0" w:header="0"/>
        </w:sectPr>
      </w:pPr>
    </w:p>
    <w:bookmarkStart w:id="4" w:name="page5"/>
    <w:bookmarkEnd w:id="4"/>
    <w:p>
      <w:pPr>
        <w:ind w:left="860" w:hanging="220"/>
        <w:spacing w:after="0"/>
        <w:tabs>
          <w:tab w:leader="none" w:pos="860" w:val="left"/>
        </w:tabs>
        <w:numPr>
          <w:ilvl w:val="1"/>
          <w:numId w:val="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3128645</wp:posOffset>
            </wp:positionH>
            <wp:positionV relativeFrom="page">
              <wp:posOffset>88900</wp:posOffset>
            </wp:positionV>
            <wp:extent cx="1291590" cy="245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91590" cy="245745"/>
                    </a:xfrm>
                    <a:prstGeom prst="rect">
                      <a:avLst/>
                    </a:prstGeom>
                    <a:noFill/>
                  </pic:spPr>
                </pic:pic>
              </a:graphicData>
            </a:graphic>
          </wp:anchor>
        </w:drawing>
        <w:t>ALTITUDE-AD includes two active doses (35 mg/kg, 50 mg/kg, IV Q4W) vs. placebo over an 18-month double-blinded period.</w:t>
      </w:r>
    </w:p>
    <w:p>
      <w:pPr>
        <w:spacing w:after="0" w:line="15" w:lineRule="exact"/>
        <w:rPr>
          <w:rFonts w:ascii="Arial" w:cs="Arial" w:eastAsia="Arial" w:hAnsi="Arial"/>
          <w:sz w:val="14"/>
          <w:szCs w:val="14"/>
          <w:color w:val="auto"/>
        </w:rPr>
      </w:pPr>
    </w:p>
    <w:p>
      <w:pPr>
        <w:jc w:val="both"/>
        <w:ind w:left="860" w:right="200" w:hanging="220"/>
        <w:spacing w:after="0" w:line="259" w:lineRule="auto"/>
        <w:tabs>
          <w:tab w:leader="none" w:pos="857" w:val="left"/>
        </w:tabs>
        <w:numPr>
          <w:ilvl w:val="1"/>
          <w:numId w:val="4"/>
        </w:numPr>
        <w:rPr>
          <w:rFonts w:ascii="Arial" w:cs="Arial" w:eastAsia="Arial" w:hAnsi="Arial"/>
          <w:sz w:val="14"/>
          <w:szCs w:val="14"/>
          <w:color w:val="auto"/>
        </w:rPr>
      </w:pPr>
      <w:r>
        <w:rPr>
          <w:rFonts w:ascii="Arial" w:cs="Arial" w:eastAsia="Arial" w:hAnsi="Arial"/>
          <w:sz w:val="14"/>
          <w:szCs w:val="14"/>
          <w:color w:val="auto"/>
        </w:rPr>
        <w:t>Topline results are expected to include the iADRS (Integrated Alzheimer’s Disease Rating Scale), our primary clinical efficacy endpoint, as well as key secondary endpoints, such as CDR-SB (Clinical Dementia Rating – Sum of the Boxes), certain safety measures such as adverse event rates, including ARIA rates, and key biomarkers.</w:t>
      </w:r>
    </w:p>
    <w:p>
      <w:pPr>
        <w:spacing w:after="0" w:line="130" w:lineRule="exact"/>
        <w:rPr>
          <w:rFonts w:ascii="Arial" w:cs="Arial" w:eastAsia="Arial" w:hAnsi="Arial"/>
          <w:sz w:val="14"/>
          <w:szCs w:val="14"/>
          <w:color w:val="auto"/>
        </w:rPr>
      </w:pPr>
    </w:p>
    <w:p>
      <w:pPr>
        <w:ind w:left="400" w:hanging="192"/>
        <w:spacing w:after="0"/>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is targeting the submission of an IND filing with respect to a lead clinical candidate in its EBD program in mid-2027.</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Third Quarter 2026 Financial Results</w:t>
      </w:r>
    </w:p>
    <w:p>
      <w:pPr>
        <w:spacing w:after="0" w:line="109" w:lineRule="exact"/>
        <w:rPr>
          <w:sz w:val="20"/>
          <w:szCs w:val="20"/>
          <w:color w:val="auto"/>
        </w:rPr>
      </w:pPr>
    </w:p>
    <w:p>
      <w:pPr>
        <w:ind w:left="420" w:hanging="212"/>
        <w:spacing w:after="0" w:line="312" w:lineRule="auto"/>
        <w:tabs>
          <w:tab w:leader="none" w:pos="398"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Cash Balance. </w:t>
      </w:r>
      <w:r>
        <w:rPr>
          <w:rFonts w:ascii="Arial" w:cs="Arial" w:eastAsia="Arial" w:hAnsi="Arial"/>
          <w:sz w:val="14"/>
          <w:szCs w:val="14"/>
          <w:color w:val="auto"/>
        </w:rPr>
        <w:t>As of Sept. 30, 2026, cash, cash equivalents and marketable securities totaled $78.6 million compared to cash, cash equivalents and marketable securities</w:t>
      </w:r>
      <w:r>
        <w:rPr>
          <w:rFonts w:ascii="Arial" w:cs="Arial" w:eastAsia="Arial" w:hAnsi="Arial"/>
          <w:sz w:val="14"/>
          <w:szCs w:val="14"/>
          <w:b w:val="1"/>
          <w:bCs w:val="1"/>
          <w:color w:val="auto"/>
        </w:rPr>
        <w:t xml:space="preserve"> </w:t>
      </w:r>
      <w:r>
        <w:rPr>
          <w:rFonts w:ascii="Arial" w:cs="Arial" w:eastAsia="Arial" w:hAnsi="Arial"/>
          <w:sz w:val="14"/>
          <w:szCs w:val="14"/>
          <w:color w:val="auto"/>
        </w:rPr>
        <w:t>of $110.2 million as of June 30, 2026. Cash is expected to support current clinical and operational activities into early 2027.</w:t>
      </w:r>
    </w:p>
    <w:p>
      <w:pPr>
        <w:spacing w:after="0" w:line="94" w:lineRule="exact"/>
        <w:rPr>
          <w:rFonts w:ascii="Arial" w:cs="Arial" w:eastAsia="Arial" w:hAnsi="Arial"/>
          <w:sz w:val="14"/>
          <w:szCs w:val="14"/>
          <w:color w:val="auto"/>
        </w:rPr>
      </w:pPr>
    </w:p>
    <w:p>
      <w:pPr>
        <w:ind w:left="420" w:right="120" w:hanging="212"/>
        <w:spacing w:after="0" w:line="270" w:lineRule="auto"/>
        <w:tabs>
          <w:tab w:leader="none" w:pos="398"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Research and Development (R&amp;D) Expenses. </w:t>
      </w:r>
      <w:r>
        <w:rPr>
          <w:rFonts w:ascii="Arial" w:cs="Arial" w:eastAsia="Arial" w:hAnsi="Arial"/>
          <w:sz w:val="14"/>
          <w:szCs w:val="14"/>
          <w:color w:val="auto"/>
        </w:rPr>
        <w:t>R&amp;D expenses were $21.1 million for the quarter ended Sept. 30, 2026, compared to $22.0 million for the quarter ended</w:t>
      </w:r>
      <w:r>
        <w:rPr>
          <w:rFonts w:ascii="Arial" w:cs="Arial" w:eastAsia="Arial" w:hAnsi="Arial"/>
          <w:sz w:val="14"/>
          <w:szCs w:val="14"/>
          <w:b w:val="1"/>
          <w:bCs w:val="1"/>
          <w:color w:val="auto"/>
        </w:rPr>
        <w:t xml:space="preserve"> </w:t>
      </w:r>
      <w:r>
        <w:rPr>
          <w:rFonts w:ascii="Arial" w:cs="Arial" w:eastAsia="Arial" w:hAnsi="Arial"/>
          <w:sz w:val="14"/>
          <w:szCs w:val="14"/>
          <w:color w:val="auto"/>
        </w:rPr>
        <w:t>Sept. 30, 2025. The decrease was primarily due to reductions in manufacturing and materials costs, and CRO costs, which are both associated with our ALTITUDE-AD clinical trial, and partially offset by increased spending for our EBD program.</w:t>
      </w:r>
    </w:p>
    <w:p>
      <w:pPr>
        <w:spacing w:after="0" w:line="113" w:lineRule="exact"/>
        <w:rPr>
          <w:rFonts w:ascii="Arial" w:cs="Arial" w:eastAsia="Arial" w:hAnsi="Arial"/>
          <w:sz w:val="14"/>
          <w:szCs w:val="14"/>
          <w:color w:val="auto"/>
        </w:rPr>
      </w:pPr>
    </w:p>
    <w:p>
      <w:pPr>
        <w:ind w:left="420" w:right="280" w:hanging="212"/>
        <w:spacing w:after="0" w:line="298" w:lineRule="auto"/>
        <w:tabs>
          <w:tab w:leader="none" w:pos="398"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General and Administrative (G&amp;A) Expenses. </w:t>
      </w:r>
      <w:r>
        <w:rPr>
          <w:rFonts w:ascii="Arial" w:cs="Arial" w:eastAsia="Arial" w:hAnsi="Arial"/>
          <w:sz w:val="14"/>
          <w:szCs w:val="14"/>
          <w:color w:val="auto"/>
        </w:rPr>
        <w:t>G&amp;A expenses were $4.7 million for the quarter ended Sept. 30, 2026, compared to $4.5 million for the quarter ended</w:t>
      </w:r>
      <w:r>
        <w:rPr>
          <w:rFonts w:ascii="Arial" w:cs="Arial" w:eastAsia="Arial" w:hAnsi="Arial"/>
          <w:sz w:val="14"/>
          <w:szCs w:val="14"/>
          <w:b w:val="1"/>
          <w:bCs w:val="1"/>
          <w:color w:val="auto"/>
        </w:rPr>
        <w:t xml:space="preserve"> </w:t>
      </w:r>
      <w:r>
        <w:rPr>
          <w:rFonts w:ascii="Arial" w:cs="Arial" w:eastAsia="Arial" w:hAnsi="Arial"/>
          <w:sz w:val="14"/>
          <w:szCs w:val="14"/>
          <w:color w:val="auto"/>
        </w:rPr>
        <w:t>Sept. 30, 2025.</w:t>
      </w:r>
    </w:p>
    <w:p>
      <w:pPr>
        <w:spacing w:after="0" w:line="86" w:lineRule="exact"/>
        <w:rPr>
          <w:rFonts w:ascii="Arial" w:cs="Arial" w:eastAsia="Arial" w:hAnsi="Arial"/>
          <w:sz w:val="14"/>
          <w:szCs w:val="14"/>
          <w:color w:val="auto"/>
        </w:rPr>
      </w:pPr>
    </w:p>
    <w:p>
      <w:pPr>
        <w:ind w:left="420" w:hanging="212"/>
        <w:spacing w:after="0" w:line="312" w:lineRule="auto"/>
        <w:tabs>
          <w:tab w:leader="none" w:pos="398"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Loss from Operations. </w:t>
      </w:r>
      <w:r>
        <w:rPr>
          <w:rFonts w:ascii="Arial" w:cs="Arial" w:eastAsia="Arial" w:hAnsi="Arial"/>
          <w:sz w:val="14"/>
          <w:szCs w:val="14"/>
          <w:color w:val="auto"/>
        </w:rPr>
        <w:t>Loss from operations was $25.8 million for the quarter ended Sept. 30, 2026, compared to $26.5 million for the quarter ended Sept. 30, 2025. This</w:t>
      </w:r>
      <w:r>
        <w:rPr>
          <w:rFonts w:ascii="Arial" w:cs="Arial" w:eastAsia="Arial" w:hAnsi="Arial"/>
          <w:sz w:val="14"/>
          <w:szCs w:val="14"/>
          <w:b w:val="1"/>
          <w:bCs w:val="1"/>
          <w:color w:val="auto"/>
        </w:rPr>
        <w:t xml:space="preserve"> </w:t>
      </w:r>
      <w:r>
        <w:rPr>
          <w:rFonts w:ascii="Arial" w:cs="Arial" w:eastAsia="Arial" w:hAnsi="Arial"/>
          <w:sz w:val="14"/>
          <w:szCs w:val="14"/>
          <w:color w:val="auto"/>
        </w:rPr>
        <w:t>decrease was due to the decreased R&amp;D expenses over the prior year period.</w:t>
      </w:r>
    </w:p>
    <w:p>
      <w:pPr>
        <w:spacing w:after="0" w:line="85" w:lineRule="exact"/>
        <w:rPr>
          <w:rFonts w:ascii="Arial" w:cs="Arial" w:eastAsia="Arial" w:hAnsi="Arial"/>
          <w:sz w:val="14"/>
          <w:szCs w:val="14"/>
          <w:color w:val="auto"/>
        </w:rPr>
      </w:pPr>
    </w:p>
    <w:p>
      <w:pPr>
        <w:ind w:left="400" w:hanging="192"/>
        <w:spacing w:after="0"/>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Net Loss. </w:t>
      </w:r>
      <w:r>
        <w:rPr>
          <w:rFonts w:ascii="Arial" w:cs="Arial" w:eastAsia="Arial" w:hAnsi="Arial"/>
          <w:sz w:val="14"/>
          <w:szCs w:val="14"/>
          <w:color w:val="auto"/>
        </w:rPr>
        <w:t>Net loss was $25.4 million for the quarter ended Sept. 30, 2026, compared to $26.5 million for the quarter ended Sept. 30, 2025.</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Conference Call Details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Acumen will host a conference call and live audio webcast today, Oct. 26, 2026, at 8:00 a.m. ET.</w:t>
      </w:r>
    </w:p>
    <w:p>
      <w:pPr>
        <w:spacing w:after="0" w:line="163" w:lineRule="exact"/>
        <w:rPr>
          <w:sz w:val="20"/>
          <w:szCs w:val="20"/>
          <w:color w:val="auto"/>
        </w:rPr>
      </w:pPr>
    </w:p>
    <w:p>
      <w:pPr>
        <w:ind w:right="220"/>
        <w:spacing w:after="0" w:line="312" w:lineRule="auto"/>
        <w:rPr>
          <w:sz w:val="20"/>
          <w:szCs w:val="20"/>
          <w:color w:val="auto"/>
        </w:rPr>
      </w:pPr>
      <w:r>
        <w:rPr>
          <w:rFonts w:ascii="Arial" w:cs="Arial" w:eastAsia="Arial" w:hAnsi="Arial"/>
          <w:sz w:val="14"/>
          <w:szCs w:val="14"/>
          <w:color w:val="auto"/>
        </w:rPr>
        <w:t xml:space="preserve">To participate in the live conference call, please register using this </w:t>
      </w:r>
      <w:r>
        <w:rPr>
          <w:rFonts w:ascii="Arial" w:cs="Arial" w:eastAsia="Arial" w:hAnsi="Arial"/>
          <w:sz w:val="14"/>
          <w:szCs w:val="14"/>
          <w:u w:val="single" w:color="auto"/>
          <w:color w:val="0563C1"/>
        </w:rPr>
        <w:t>link</w:t>
      </w:r>
      <w:r>
        <w:rPr>
          <w:rFonts w:ascii="Arial" w:cs="Arial" w:eastAsia="Arial" w:hAnsi="Arial"/>
          <w:sz w:val="14"/>
          <w:szCs w:val="14"/>
          <w:color w:val="0563C1"/>
        </w:rPr>
        <w:t>.</w:t>
      </w:r>
      <w:r>
        <w:rPr>
          <w:rFonts w:ascii="Arial" w:cs="Arial" w:eastAsia="Arial" w:hAnsi="Arial"/>
          <w:sz w:val="14"/>
          <w:szCs w:val="14"/>
          <w:color w:val="auto"/>
        </w:rPr>
        <w:t xml:space="preserve"> After registration, you will be informed of the dial-in numbers including PIN. Please register at least one day in advance.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webcast audio will be available via this </w:t>
      </w:r>
      <w:r>
        <w:rPr>
          <w:rFonts w:ascii="Arial" w:cs="Arial" w:eastAsia="Arial" w:hAnsi="Arial"/>
          <w:sz w:val="14"/>
          <w:szCs w:val="14"/>
          <w:u w:val="single" w:color="auto"/>
          <w:color w:val="0563C1"/>
        </w:rPr>
        <w:t>link</w:t>
      </w:r>
      <w:r>
        <w:rPr>
          <w:rFonts w:ascii="Arial" w:cs="Arial" w:eastAsia="Arial" w:hAnsi="Arial"/>
          <w:sz w:val="14"/>
          <w:szCs w:val="14"/>
          <w:color w:val="0563C1"/>
        </w:rPr>
        <w: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An archived version of the webcast will be available for at least 30 days in the Investors section of the Company’s website at </w:t>
      </w:r>
      <w:r>
        <w:rPr>
          <w:rFonts w:ascii="Arial" w:cs="Arial" w:eastAsia="Arial" w:hAnsi="Arial"/>
          <w:sz w:val="14"/>
          <w:szCs w:val="14"/>
          <w:u w:val="single" w:color="auto"/>
          <w:color w:val="026DCE"/>
        </w:rPr>
        <w:t>www.acumenpharm.com</w:t>
      </w:r>
      <w:r>
        <w:rPr>
          <w:rFonts w:ascii="Arial" w:cs="Arial" w:eastAsia="Arial" w:hAnsi="Arial"/>
          <w:sz w:val="14"/>
          <w:szCs w:val="14"/>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280"/>
          </w:cols>
          <w:pgMar w:left="300" w:top="985"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3128645</wp:posOffset>
            </wp:positionH>
            <wp:positionV relativeFrom="page">
              <wp:posOffset>88900</wp:posOffset>
            </wp:positionV>
            <wp:extent cx="1291590" cy="245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91590" cy="245745"/>
                    </a:xfrm>
                    <a:prstGeom prst="rect">
                      <a:avLst/>
                    </a:prstGeom>
                    <a:noFill/>
                  </pic:spPr>
                </pic:pic>
              </a:graphicData>
            </a:graphic>
          </wp:anchor>
        </w:drawing>
        <w:t>About Sabirnetug (ACU193)</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Sabirnetug (ACU193) is a humanized monoclonal antibody (mAb) discovered and developed based on its selectivity for soluble amyloid beta oligomers (AβOs), which are a highly toxic and pathogenic form of Aβ, relative to Aβ monomers and amyloid plaques. Soluble AβOs have been observed to be potent neurotoxins that bind to neurons, inhibit synaptic function and induce neurodegeneration. By selectively targeting toxic soluble AβOs, sabirnetug aims to address the hypothesis that soluble AβOs are an early and persistent underlying cause of the neurodegenerative process in Alzheimer’s disease (AD). Sabirnetug has been granted Fast Track designation for the treatment of early AD by the U.S. Food and Drug Administration and is currently being evaluated in a Phase 2 study in patients with early AD.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ALTITUDE-AD (Phase 2)</w:t>
      </w:r>
    </w:p>
    <w:p>
      <w:pPr>
        <w:spacing w:after="0" w:line="172"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Initiated in 2024, ALTITUDE-AD is a Phase 2, multi-center, randomized, double-blind, placebo-controlled clinical trial designed to evaluate the efficacy and safety of sabirnetug (ACU193) infusions administered once every four weeks in slowing cognitive and functional decline as compared to placebo in participants with early Alzheimer’s disease. The study has enrolled 542 individuals with early Alzheimer’s disease (mild cognitive impairment or mild dementia due to AD) at multiple investigative sites located in the United States, Canada, the European Union and the United Kingdom. Topline results are expected in November 2026. More information can be found on www.clinicaltrials.gov, NCT identifier NCT06335173.</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Acumen Pharmaceuticals, Inc.</w:t>
      </w:r>
    </w:p>
    <w:p>
      <w:pPr>
        <w:spacing w:after="0" w:line="172"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 xml:space="preserve">Acumen Pharmaceuticals is a clinical-stage biopharmaceutical company developing novel therapeutics that target toxic soluble amyloid beta oligomers (AβOs) for the treatment of Alzheimer’s disease (AD). Acumen’s scientific founders pioneered research on AβOs, which a growing body of evidence indicates are early and persistent triggers of Alzheimer’s disease pathology. Acumen is currently focused on advancing its lead investigational product candidate, sabirnetug (ACU193), a humanized monoclonal antibody that selectively targets toxic soluble AβOs, in its ongoing Phase 2 clinical trial ALTITUDE-AD (NCT06335173) in early symptomatic Alzheimer’s disease patients, following positive results in its Phase 1 trial INTERCEPT-AD. Acumen is also investigating a subcutaneous formulation of sabirnetug using Halozyme’s proprietary ENHANZE® drug delivery technology. Acumen is also collaborating with JCR Pharmaceuticals to develop an Enhanced Brain Delivery™ (EBD®) therapy for Alzheimer’s disease utilizing a transferrin-receptor-targeting blood-brain barrier-penetrating technology. The company is headquartered in Newton, Mass. For more information, visit </w:t>
      </w:r>
      <w:r>
        <w:rPr>
          <w:rFonts w:ascii="Arial" w:cs="Arial" w:eastAsia="Arial" w:hAnsi="Arial"/>
          <w:sz w:val="14"/>
          <w:szCs w:val="14"/>
          <w:u w:val="single" w:color="auto"/>
          <w:color w:val="026DCE"/>
        </w:rPr>
        <w:t>www.acumenpharm.com</w:t>
      </w:r>
      <w:r>
        <w:rPr>
          <w:rFonts w:ascii="Arial" w:cs="Arial" w:eastAsia="Arial" w:hAnsi="Arial"/>
          <w:sz w:val="14"/>
          <w:szCs w:val="14"/>
          <w:color w:val="008080"/>
        </w:rPr>
        <w:t>. </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72" w:lineRule="exact"/>
        <w:rPr>
          <w:sz w:val="20"/>
          <w:szCs w:val="20"/>
          <w:color w:val="auto"/>
        </w:rPr>
      </w:pPr>
    </w:p>
    <w:p>
      <w:pPr>
        <w:ind w:right="160"/>
        <w:spacing w:after="0" w:line="280" w:lineRule="auto"/>
        <w:rPr>
          <w:sz w:val="20"/>
          <w:szCs w:val="20"/>
          <w:color w:val="auto"/>
        </w:rPr>
      </w:pPr>
      <w:r>
        <w:rPr>
          <w:rFonts w:ascii="Arial" w:cs="Arial" w:eastAsia="Arial" w:hAnsi="Arial"/>
          <w:sz w:val="14"/>
          <w:szCs w:val="14"/>
          <w:color w:val="auto"/>
        </w:rPr>
        <w:t>This press release contains forward-looking statements within the meaning of The Private Securities Litigation Reform Act of 1995. Any statement describing Acumen’s goals, expectations, financial or other projections, intentions or beliefs is a forward-looking statement and should be considered an at-risk statement. Words such as “believes,” “expects,”</w:t>
      </w: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20"/>
          </w:cols>
          <w:pgMar w:left="300" w:top="1210" w:right="379" w:bottom="1440" w:gutter="0" w:footer="0" w:header="0"/>
        </w:sectPr>
      </w:pPr>
    </w:p>
    <w:bookmarkStart w:id="6" w:name="page7"/>
    <w:bookmarkEnd w:id="6"/>
    <w:p>
      <w:pPr>
        <w:spacing w:after="0" w:line="25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3128645</wp:posOffset>
            </wp:positionH>
            <wp:positionV relativeFrom="page">
              <wp:posOffset>88900</wp:posOffset>
            </wp:positionV>
            <wp:extent cx="1291590" cy="245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91590" cy="245745"/>
                    </a:xfrm>
                    <a:prstGeom prst="rect">
                      <a:avLst/>
                    </a:prstGeom>
                    <a:noFill/>
                  </pic:spPr>
                </pic:pic>
              </a:graphicData>
            </a:graphic>
          </wp:anchor>
        </w:drawing>
        <w:t>“anticipates,” “could,” “should,” “would,” “seeks,” “aims,” “plans,” “potential,” “will,” “milestone” and similar expressions are intended to identify forward-looking statements, although not all forward-looking statements contain these identifying words. Forward-looking statements include statements concerning Acumen’s business, and Acumen’s ability to achieve its strategic and financial goals, including its projected use of cash, cash equivalents and marketable securities and the expected sufficiency of its cash resources into early 2027, the therapeutic potential of Acumen’s product candidate, sabirnetug (ACU193), including against other antibodies, the timing of anticipated topline results of ALTITUDE-AD, Acumen’s plans to develop a candidate to treat Alzheimer’s Disease utilizing EBD technology, including its expectations with respect to timing for the submission of an IND, the potential of its EBD candidates and the potential for developing a best-in-class therapeutic candidate for people living with Alzheimer’s Disease. These statements are based upon the current beliefs and expectations of Acumen management, and are subject to certain factors, risks and uncertainties, particularly those inherent in the process of discovering, developing and commercializing safe and effective human therapeutics. Such risks may be amplified by the impacts of geopolitical events and macroeconomic conditions, such as rising inflation and interest rates, supply disruptions and uncertainty of credit and financial markets. These and other risks concerning Acumen’s programs are described in additional detail in Acumen’s filings with the Securities and Exchange Commission (“SEC”), including in Acumen’s most recent Annual Report on Form 10-K, and in subsequent filings with the SEC. Copies of these and other documents are available from Acumen. Additional information will be made available in other filings that Acumen makes from time to time with the SEC. These forward-looking statements speak only as of the date hereof, and Acumen expressly disclaims any obligation to update or revise any forward-looking statement, except as otherwise required by law, whether, as a result of new information, future events or otherwise.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CONTACTS: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Alex Braun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abraun@acumenpharm.com</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w:t>
      </w:r>
      <w:r>
        <w:rPr>
          <w:rFonts w:ascii="Arial" w:cs="Arial" w:eastAsia="Arial" w:hAnsi="Arial"/>
          <w:sz w:val="14"/>
          <w:szCs w:val="14"/>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ICR Healthcare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AcumenPR@icrhealthcare.com</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80"/>
          </w:cols>
          <w:pgMar w:left="300" w:top="985" w:right="319" w:bottom="1440" w:gutter="0" w:footer="0" w:header="0"/>
        </w:sectPr>
      </w:pPr>
    </w:p>
    <w:bookmarkStart w:id="7" w:name="page8"/>
    <w:bookmarkEnd w:id="7"/>
    <w:p>
      <w:pPr>
        <w:ind w:left="47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3128645</wp:posOffset>
            </wp:positionH>
            <wp:positionV relativeFrom="page">
              <wp:posOffset>88900</wp:posOffset>
            </wp:positionV>
            <wp:extent cx="1291590" cy="245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91590" cy="245745"/>
                    </a:xfrm>
                    <a:prstGeom prst="rect">
                      <a:avLst/>
                    </a:prstGeom>
                    <a:noFill/>
                  </pic:spPr>
                </pic:pic>
              </a:graphicData>
            </a:graphic>
          </wp:anchor>
        </w:drawing>
        <w:t>Acumen Pharmaceuticals, Inc.</w:t>
      </w:r>
    </w:p>
    <w:p>
      <w:pPr>
        <w:spacing w:after="0" w:line="25"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Condensed Balance Sheets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8"/>
              </w:rPr>
              <w:t>September 30,</w:t>
            </w:r>
          </w:p>
        </w:tc>
        <w:tc>
          <w:tcPr>
            <w:tcW w:w="300" w:type="dxa"/>
            <w:vAlign w:val="bottom"/>
          </w:tcPr>
          <w:p>
            <w:pPr>
              <w:spacing w:after="0"/>
              <w:rPr>
                <w:sz w:val="12"/>
                <w:szCs w:val="12"/>
                <w:color w:val="auto"/>
              </w:rPr>
            </w:pPr>
          </w:p>
        </w:tc>
        <w:tc>
          <w:tcPr>
            <w:tcW w:w="1420" w:type="dxa"/>
            <w:vAlign w:val="bottom"/>
          </w:tcPr>
          <w:p>
            <w:pPr>
              <w:jc w:val="right"/>
              <w:ind w:right="441"/>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center"/>
              <w:ind w:right="201"/>
              <w:spacing w:after="0"/>
              <w:rPr>
                <w:sz w:val="20"/>
                <w:szCs w:val="20"/>
                <w:color w:val="auto"/>
              </w:rPr>
            </w:pPr>
            <w:r>
              <w:rPr>
                <w:rFonts w:ascii="Arial" w:cs="Arial" w:eastAsia="Arial" w:hAnsi="Arial"/>
                <w:sz w:val="11"/>
                <w:szCs w:val="11"/>
                <w:b w:val="1"/>
                <w:bCs w:val="1"/>
                <w:color w:val="auto"/>
                <w:w w:val="97"/>
              </w:rPr>
              <w:t>2026</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81"/>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32"/>
        </w:trPr>
        <w:tc>
          <w:tcPr>
            <w:tcW w:w="7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1"/>
                <w:szCs w:val="11"/>
                <w:color w:val="auto"/>
                <w:w w:val="96"/>
              </w:rPr>
              <w:t>(unaudited)</w:t>
            </w: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2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00" w:type="dxa"/>
            <w:vAlign w:val="bottom"/>
          </w:tcPr>
          <w:p>
            <w:pPr>
              <w:spacing w:after="0"/>
              <w:rPr>
                <w:sz w:val="20"/>
                <w:szCs w:val="20"/>
                <w:color w:val="auto"/>
              </w:rPr>
            </w:pPr>
            <w:r>
              <w:rPr>
                <w:rFonts w:ascii="Arial" w:cs="Arial" w:eastAsia="Arial" w:hAnsi="Arial"/>
                <w:sz w:val="12"/>
                <w:szCs w:val="12"/>
                <w:color w:val="auto"/>
              </w:rPr>
              <w:t>Current assets</w:t>
            </w: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and cash equivalents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53,075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53,989</w:t>
            </w:r>
          </w:p>
        </w:tc>
        <w:tc>
          <w:tcPr>
            <w:tcW w:w="0" w:type="dxa"/>
            <w:vAlign w:val="bottom"/>
          </w:tcPr>
          <w:p>
            <w:pPr>
              <w:spacing w:after="0"/>
              <w:rPr>
                <w:sz w:val="1"/>
                <w:szCs w:val="1"/>
                <w:color w:val="auto"/>
              </w:rPr>
            </w:pPr>
          </w:p>
        </w:tc>
      </w:tr>
      <w:tr>
        <w:trPr>
          <w:trHeight w:val="153"/>
        </w:trPr>
        <w:tc>
          <w:tcPr>
            <w:tcW w:w="7800" w:type="dxa"/>
            <w:vAlign w:val="bottom"/>
          </w:tcPr>
          <w:p>
            <w:pPr>
              <w:ind w:left="220"/>
              <w:spacing w:after="0"/>
              <w:rPr>
                <w:sz w:val="20"/>
                <w:szCs w:val="20"/>
                <w:color w:val="auto"/>
              </w:rPr>
            </w:pPr>
            <w:r>
              <w:rPr>
                <w:rFonts w:ascii="Arial" w:cs="Arial" w:eastAsia="Arial" w:hAnsi="Arial"/>
                <w:sz w:val="12"/>
                <w:szCs w:val="12"/>
                <w:color w:val="auto"/>
              </w:rPr>
              <w:t>Marketable securities</w:t>
            </w:r>
          </w:p>
        </w:tc>
        <w:tc>
          <w:tcPr>
            <w:tcW w:w="2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25,529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62,876</w:t>
            </w:r>
          </w:p>
        </w:tc>
        <w:tc>
          <w:tcPr>
            <w:tcW w:w="0" w:type="dxa"/>
            <w:vAlign w:val="bottom"/>
          </w:tcPr>
          <w:p>
            <w:pPr>
              <w:spacing w:after="0"/>
              <w:rPr>
                <w:sz w:val="1"/>
                <w:szCs w:val="1"/>
                <w:color w:val="auto"/>
              </w:rPr>
            </w:pPr>
          </w:p>
        </w:tc>
      </w:tr>
      <w:tr>
        <w:trPr>
          <w:trHeight w:val="153"/>
        </w:trPr>
        <w:tc>
          <w:tcPr>
            <w:tcW w:w="7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Prepaid expenses and other current assets</w:t>
            </w:r>
          </w:p>
        </w:tc>
        <w:tc>
          <w:tcPr>
            <w:tcW w:w="28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6,530</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5,387</w:t>
            </w:r>
          </w:p>
        </w:tc>
        <w:tc>
          <w:tcPr>
            <w:tcW w:w="0" w:type="dxa"/>
            <w:vAlign w:val="bottom"/>
          </w:tcPr>
          <w:p>
            <w:pPr>
              <w:spacing w:after="0"/>
              <w:rPr>
                <w:sz w:val="1"/>
                <w:szCs w:val="1"/>
                <w:color w:val="auto"/>
              </w:rPr>
            </w:pPr>
          </w:p>
        </w:tc>
      </w:tr>
      <w:tr>
        <w:trPr>
          <w:trHeight w:val="142"/>
        </w:trPr>
        <w:tc>
          <w:tcPr>
            <w:tcW w:w="7800" w:type="dxa"/>
            <w:vAlign w:val="bottom"/>
          </w:tcPr>
          <w:p>
            <w:pPr>
              <w:spacing w:after="0"/>
              <w:rPr>
                <w:sz w:val="20"/>
                <w:szCs w:val="20"/>
                <w:color w:val="auto"/>
              </w:rPr>
            </w:pPr>
            <w:r>
              <w:rPr>
                <w:rFonts w:ascii="Arial" w:cs="Arial" w:eastAsia="Arial" w:hAnsi="Arial"/>
                <w:sz w:val="12"/>
                <w:szCs w:val="12"/>
                <w:color w:val="auto"/>
              </w:rPr>
              <w:t>Total current assets</w:t>
            </w:r>
          </w:p>
        </w:tc>
        <w:tc>
          <w:tcPr>
            <w:tcW w:w="2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85,134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122,252</w:t>
            </w:r>
          </w:p>
        </w:tc>
        <w:tc>
          <w:tcPr>
            <w:tcW w:w="0" w:type="dxa"/>
            <w:vAlign w:val="bottom"/>
          </w:tcPr>
          <w:p>
            <w:pPr>
              <w:spacing w:after="0"/>
              <w:rPr>
                <w:sz w:val="1"/>
                <w:szCs w:val="1"/>
                <w:color w:val="auto"/>
              </w:rPr>
            </w:pPr>
          </w:p>
        </w:tc>
      </w:tr>
      <w:tr>
        <w:trPr>
          <w:trHeight w:val="153"/>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2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231</w:t>
            </w:r>
          </w:p>
        </w:tc>
        <w:tc>
          <w:tcPr>
            <w:tcW w:w="0" w:type="dxa"/>
            <w:vAlign w:val="bottom"/>
          </w:tcPr>
          <w:p>
            <w:pPr>
              <w:spacing w:after="0"/>
              <w:rPr>
                <w:sz w:val="1"/>
                <w:szCs w:val="1"/>
                <w:color w:val="auto"/>
              </w:rPr>
            </w:pPr>
          </w:p>
        </w:tc>
      </w:tr>
      <w:tr>
        <w:trPr>
          <w:trHeight w:val="153"/>
        </w:trPr>
        <w:tc>
          <w:tcPr>
            <w:tcW w:w="7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 long-term</w:t>
            </w: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350</w:t>
            </w:r>
          </w:p>
        </w:tc>
        <w:tc>
          <w:tcPr>
            <w:tcW w:w="0" w:type="dxa"/>
            <w:vAlign w:val="bottom"/>
          </w:tcPr>
          <w:p>
            <w:pPr>
              <w:spacing w:after="0"/>
              <w:rPr>
                <w:sz w:val="1"/>
                <w:szCs w:val="1"/>
                <w:color w:val="auto"/>
              </w:rPr>
            </w:pPr>
          </w:p>
        </w:tc>
      </w:tr>
      <w:tr>
        <w:trPr>
          <w:trHeight w:val="162"/>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assets</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85,565</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122,833</w:t>
            </w:r>
          </w:p>
        </w:tc>
        <w:tc>
          <w:tcPr>
            <w:tcW w:w="0" w:type="dxa"/>
            <w:vAlign w:val="bottom"/>
          </w:tcPr>
          <w:p>
            <w:pPr>
              <w:spacing w:after="0"/>
              <w:rPr>
                <w:sz w:val="1"/>
                <w:szCs w:val="1"/>
                <w:color w:val="auto"/>
              </w:rPr>
            </w:pPr>
          </w:p>
        </w:tc>
      </w:tr>
      <w:tr>
        <w:trPr>
          <w:trHeight w:val="131"/>
        </w:trPr>
        <w:tc>
          <w:tcPr>
            <w:tcW w:w="7800" w:type="dxa"/>
            <w:vAlign w:val="bottom"/>
          </w:tcPr>
          <w:p>
            <w:pPr>
              <w:spacing w:after="0" w:line="131" w:lineRule="exact"/>
              <w:rPr>
                <w:sz w:val="20"/>
                <w:szCs w:val="20"/>
                <w:color w:val="auto"/>
              </w:rPr>
            </w:pPr>
            <w:r>
              <w:rPr>
                <w:rFonts w:ascii="Arial" w:cs="Arial" w:eastAsia="Arial" w:hAnsi="Arial"/>
                <w:sz w:val="12"/>
                <w:szCs w:val="12"/>
                <w:b w:val="1"/>
                <w:bCs w:val="1"/>
                <w:color w:val="auto"/>
              </w:rPr>
              <w:t>LIABILITIES AND STOCKHOLDERS’ EQUITY</w:t>
            </w:r>
          </w:p>
        </w:tc>
        <w:tc>
          <w:tcPr>
            <w:tcW w:w="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2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00" w:type="dxa"/>
            <w:vAlign w:val="bottom"/>
          </w:tcPr>
          <w:p>
            <w:pPr>
              <w:ind w:left="220"/>
              <w:spacing w:after="0"/>
              <w:rPr>
                <w:sz w:val="20"/>
                <w:szCs w:val="20"/>
                <w:color w:val="auto"/>
              </w:rPr>
            </w:pPr>
            <w:r>
              <w:rPr>
                <w:rFonts w:ascii="Arial" w:cs="Arial" w:eastAsia="Arial" w:hAnsi="Arial"/>
                <w:sz w:val="12"/>
                <w:szCs w:val="12"/>
                <w:color w:val="auto"/>
              </w:rPr>
              <w:t>Accounts payable</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6,056</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554</w:t>
            </w:r>
          </w:p>
        </w:tc>
        <w:tc>
          <w:tcPr>
            <w:tcW w:w="0" w:type="dxa"/>
            <w:vAlign w:val="bottom"/>
          </w:tcPr>
          <w:p>
            <w:pPr>
              <w:spacing w:after="0"/>
              <w:rPr>
                <w:sz w:val="1"/>
                <w:szCs w:val="1"/>
                <w:color w:val="auto"/>
              </w:rPr>
            </w:pPr>
          </w:p>
        </w:tc>
      </w:tr>
      <w:tr>
        <w:trPr>
          <w:trHeight w:val="153"/>
        </w:trPr>
        <w:tc>
          <w:tcPr>
            <w:tcW w:w="7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Accrued clinical trial expenses</w:t>
            </w:r>
          </w:p>
        </w:tc>
        <w:tc>
          <w:tcPr>
            <w:tcW w:w="2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8,459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10,616</w:t>
            </w:r>
          </w:p>
        </w:tc>
        <w:tc>
          <w:tcPr>
            <w:tcW w:w="0" w:type="dxa"/>
            <w:vAlign w:val="bottom"/>
          </w:tcPr>
          <w:p>
            <w:pPr>
              <w:spacing w:after="0"/>
              <w:rPr>
                <w:sz w:val="1"/>
                <w:szCs w:val="1"/>
                <w:color w:val="auto"/>
              </w:rPr>
            </w:pPr>
          </w:p>
        </w:tc>
      </w:tr>
      <w:tr>
        <w:trPr>
          <w:trHeight w:val="153"/>
        </w:trPr>
        <w:tc>
          <w:tcPr>
            <w:tcW w:w="7800" w:type="dxa"/>
            <w:vAlign w:val="bottom"/>
          </w:tcPr>
          <w:p>
            <w:pPr>
              <w:ind w:left="220"/>
              <w:spacing w:after="0"/>
              <w:rPr>
                <w:sz w:val="20"/>
                <w:szCs w:val="20"/>
                <w:color w:val="auto"/>
              </w:rPr>
            </w:pPr>
            <w:r>
              <w:rPr>
                <w:rFonts w:ascii="Arial" w:cs="Arial" w:eastAsia="Arial" w:hAnsi="Arial"/>
                <w:sz w:val="12"/>
                <w:szCs w:val="12"/>
                <w:color w:val="auto"/>
              </w:rPr>
              <w:t>Accrued expenses and other current liabilities</w:t>
            </w:r>
          </w:p>
        </w:tc>
        <w:tc>
          <w:tcPr>
            <w:tcW w:w="2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10,168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10,072</w:t>
            </w:r>
          </w:p>
        </w:tc>
        <w:tc>
          <w:tcPr>
            <w:tcW w:w="0" w:type="dxa"/>
            <w:vAlign w:val="bottom"/>
          </w:tcPr>
          <w:p>
            <w:pPr>
              <w:spacing w:after="0"/>
              <w:rPr>
                <w:sz w:val="1"/>
                <w:szCs w:val="1"/>
                <w:color w:val="auto"/>
              </w:rPr>
            </w:pPr>
          </w:p>
        </w:tc>
      </w:tr>
      <w:tr>
        <w:trPr>
          <w:trHeight w:val="153"/>
        </w:trPr>
        <w:tc>
          <w:tcPr>
            <w:tcW w:w="7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Debt, short-term</w:t>
            </w:r>
          </w:p>
        </w:tc>
        <w:tc>
          <w:tcPr>
            <w:tcW w:w="28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20,404</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8,765</w:t>
            </w:r>
          </w:p>
        </w:tc>
        <w:tc>
          <w:tcPr>
            <w:tcW w:w="0" w:type="dxa"/>
            <w:vAlign w:val="bottom"/>
          </w:tcPr>
          <w:p>
            <w:pPr>
              <w:spacing w:after="0"/>
              <w:rPr>
                <w:sz w:val="1"/>
                <w:szCs w:val="1"/>
                <w:color w:val="auto"/>
              </w:rPr>
            </w:pPr>
          </w:p>
        </w:tc>
      </w:tr>
      <w:tr>
        <w:trPr>
          <w:trHeight w:val="142"/>
        </w:trPr>
        <w:tc>
          <w:tcPr>
            <w:tcW w:w="7800" w:type="dxa"/>
            <w:vAlign w:val="bottom"/>
          </w:tcPr>
          <w:p>
            <w:pPr>
              <w:spacing w:after="0"/>
              <w:rPr>
                <w:sz w:val="20"/>
                <w:szCs w:val="20"/>
                <w:color w:val="auto"/>
              </w:rPr>
            </w:pPr>
            <w:r>
              <w:rPr>
                <w:rFonts w:ascii="Arial" w:cs="Arial" w:eastAsia="Arial" w:hAnsi="Arial"/>
                <w:sz w:val="12"/>
                <w:szCs w:val="12"/>
                <w:color w:val="auto"/>
              </w:rPr>
              <w:t>Total current liabilities</w:t>
            </w:r>
          </w:p>
        </w:tc>
        <w:tc>
          <w:tcPr>
            <w:tcW w:w="2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45,087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30,007</w:t>
            </w:r>
          </w:p>
        </w:tc>
        <w:tc>
          <w:tcPr>
            <w:tcW w:w="0" w:type="dxa"/>
            <w:vAlign w:val="bottom"/>
          </w:tcPr>
          <w:p>
            <w:pPr>
              <w:spacing w:after="0"/>
              <w:rPr>
                <w:sz w:val="1"/>
                <w:szCs w:val="1"/>
                <w:color w:val="auto"/>
              </w:rPr>
            </w:pPr>
          </w:p>
        </w:tc>
      </w:tr>
      <w:tr>
        <w:trPr>
          <w:trHeight w:val="153"/>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Debt, long-term</w:t>
            </w:r>
          </w:p>
        </w:tc>
        <w:tc>
          <w:tcPr>
            <w:tcW w:w="28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5,868</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22,396</w:t>
            </w:r>
          </w:p>
        </w:tc>
        <w:tc>
          <w:tcPr>
            <w:tcW w:w="0" w:type="dxa"/>
            <w:vAlign w:val="bottom"/>
          </w:tcPr>
          <w:p>
            <w:pPr>
              <w:spacing w:after="0"/>
              <w:rPr>
                <w:sz w:val="1"/>
                <w:szCs w:val="1"/>
                <w:color w:val="auto"/>
              </w:rPr>
            </w:pPr>
          </w:p>
        </w:tc>
      </w:tr>
      <w:tr>
        <w:trPr>
          <w:trHeight w:val="142"/>
        </w:trPr>
        <w:tc>
          <w:tcPr>
            <w:tcW w:w="7800" w:type="dxa"/>
            <w:vAlign w:val="bottom"/>
          </w:tcPr>
          <w:p>
            <w:pPr>
              <w:spacing w:after="0"/>
              <w:rPr>
                <w:sz w:val="20"/>
                <w:szCs w:val="20"/>
                <w:color w:val="auto"/>
              </w:rPr>
            </w:pPr>
            <w:r>
              <w:rPr>
                <w:rFonts w:ascii="Arial" w:cs="Arial" w:eastAsia="Arial" w:hAnsi="Arial"/>
                <w:sz w:val="12"/>
                <w:szCs w:val="12"/>
                <w:color w:val="auto"/>
              </w:rPr>
              <w:t>Total liabilities</w:t>
            </w:r>
          </w:p>
        </w:tc>
        <w:tc>
          <w:tcPr>
            <w:tcW w:w="2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50,955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52,403</w:t>
            </w:r>
          </w:p>
        </w:tc>
        <w:tc>
          <w:tcPr>
            <w:tcW w:w="0" w:type="dxa"/>
            <w:vAlign w:val="bottom"/>
          </w:tcPr>
          <w:p>
            <w:pPr>
              <w:spacing w:after="0"/>
              <w:rPr>
                <w:sz w:val="1"/>
                <w:szCs w:val="1"/>
                <w:color w:val="auto"/>
              </w:rPr>
            </w:pPr>
          </w:p>
        </w:tc>
      </w:tr>
      <w:tr>
        <w:trPr>
          <w:trHeight w:val="153"/>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w:t>
            </w:r>
          </w:p>
        </w:tc>
        <w:tc>
          <w:tcPr>
            <w:tcW w:w="2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00" w:type="dxa"/>
            <w:vAlign w:val="bottom"/>
          </w:tcPr>
          <w:p>
            <w:pPr>
              <w:spacing w:after="0"/>
              <w:rPr>
                <w:sz w:val="20"/>
                <w:szCs w:val="20"/>
                <w:color w:val="auto"/>
              </w:rPr>
            </w:pPr>
            <w:r>
              <w:rPr>
                <w:rFonts w:ascii="Arial" w:cs="Arial" w:eastAsia="Arial" w:hAnsi="Arial"/>
                <w:sz w:val="12"/>
                <w:szCs w:val="12"/>
                <w:color w:val="auto"/>
              </w:rPr>
              <w:t>Stockholders’ equity</w:t>
            </w: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780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rPr>
              <w:t>Preferred stock, $0.0001 par value; 10,000,000 shares authorized and no shares issued and outstanding as of September 30, 2026 and</w:t>
            </w:r>
          </w:p>
        </w:tc>
        <w:tc>
          <w:tcPr>
            <w:tcW w:w="280" w:type="dxa"/>
            <w:vAlign w:val="bottom"/>
            <w:shd w:val="clear" w:color="auto" w:fill="CCEEFF"/>
          </w:tcPr>
          <w:p>
            <w:pPr>
              <w:spacing w:after="0"/>
              <w:rPr>
                <w:sz w:val="10"/>
                <w:szCs w:val="10"/>
                <w:color w:val="auto"/>
              </w:rPr>
            </w:pPr>
          </w:p>
        </w:tc>
        <w:tc>
          <w:tcPr>
            <w:tcW w:w="1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78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December 31, 2025</w:t>
            </w:r>
          </w:p>
        </w:tc>
        <w:tc>
          <w:tcPr>
            <w:tcW w:w="280" w:type="dxa"/>
            <w:vAlign w:val="bottom"/>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7800" w:type="dxa"/>
            <w:vAlign w:val="bottom"/>
          </w:tcPr>
          <w:p>
            <w:pPr>
              <w:ind w:left="220"/>
              <w:spacing w:after="0" w:line="117" w:lineRule="exact"/>
              <w:rPr>
                <w:sz w:val="20"/>
                <w:szCs w:val="20"/>
                <w:color w:val="auto"/>
              </w:rPr>
            </w:pPr>
            <w:r>
              <w:rPr>
                <w:rFonts w:ascii="Arial" w:cs="Arial" w:eastAsia="Arial" w:hAnsi="Arial"/>
                <w:sz w:val="12"/>
                <w:szCs w:val="12"/>
                <w:color w:val="auto"/>
              </w:rPr>
              <w:t>Common stock, $0.0001 par value; 300,000,000 shares authorized as of September 30, 2026 and December 31, 2025; 72,327,320 and</w:t>
            </w:r>
          </w:p>
        </w:tc>
        <w:tc>
          <w:tcPr>
            <w:tcW w:w="280" w:type="dxa"/>
            <w:vAlign w:val="bottom"/>
          </w:tcPr>
          <w:p>
            <w:pPr>
              <w:spacing w:after="0"/>
              <w:rPr>
                <w:sz w:val="10"/>
                <w:szCs w:val="10"/>
                <w:color w:val="auto"/>
              </w:rPr>
            </w:pPr>
          </w:p>
        </w:tc>
        <w:tc>
          <w:tcPr>
            <w:tcW w:w="1420" w:type="dxa"/>
            <w:vAlign w:val="bottom"/>
            <w:vMerge w:val="restart"/>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2"/>
        </w:trPr>
        <w:tc>
          <w:tcPr>
            <w:tcW w:w="7800" w:type="dxa"/>
            <w:vAlign w:val="bottom"/>
          </w:tcPr>
          <w:p>
            <w:pPr>
              <w:ind w:left="320"/>
              <w:spacing w:after="0"/>
              <w:rPr>
                <w:sz w:val="20"/>
                <w:szCs w:val="20"/>
                <w:color w:val="auto"/>
              </w:rPr>
            </w:pPr>
            <w:r>
              <w:rPr>
                <w:rFonts w:ascii="Arial" w:cs="Arial" w:eastAsia="Arial" w:hAnsi="Arial"/>
                <w:sz w:val="12"/>
                <w:szCs w:val="12"/>
                <w:color w:val="auto"/>
              </w:rPr>
              <w:t>60,575,369 shares issued and outstanding as of September 30, 2026 and December 31, 2025, respectively</w:t>
            </w:r>
          </w:p>
        </w:tc>
        <w:tc>
          <w:tcPr>
            <w:tcW w:w="28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Additional paid-in capital</w:t>
            </w:r>
          </w:p>
        </w:tc>
        <w:tc>
          <w:tcPr>
            <w:tcW w:w="2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559,914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516,803</w:t>
            </w:r>
          </w:p>
        </w:tc>
        <w:tc>
          <w:tcPr>
            <w:tcW w:w="0" w:type="dxa"/>
            <w:vAlign w:val="bottom"/>
          </w:tcPr>
          <w:p>
            <w:pPr>
              <w:spacing w:after="0"/>
              <w:rPr>
                <w:sz w:val="1"/>
                <w:szCs w:val="1"/>
                <w:color w:val="auto"/>
              </w:rPr>
            </w:pPr>
          </w:p>
        </w:tc>
      </w:tr>
      <w:tr>
        <w:trPr>
          <w:trHeight w:val="153"/>
        </w:trPr>
        <w:tc>
          <w:tcPr>
            <w:tcW w:w="7800" w:type="dxa"/>
            <w:vAlign w:val="bottom"/>
          </w:tcPr>
          <w:p>
            <w:pPr>
              <w:ind w:left="220"/>
              <w:spacing w:after="0"/>
              <w:rPr>
                <w:sz w:val="20"/>
                <w:szCs w:val="20"/>
                <w:color w:val="auto"/>
              </w:rPr>
            </w:pPr>
            <w:r>
              <w:rPr>
                <w:rFonts w:ascii="Arial" w:cs="Arial" w:eastAsia="Arial" w:hAnsi="Arial"/>
                <w:sz w:val="12"/>
                <w:szCs w:val="12"/>
                <w:color w:val="auto"/>
              </w:rPr>
              <w:t>Accumulated deficit</w:t>
            </w:r>
          </w:p>
        </w:tc>
        <w:tc>
          <w:tcPr>
            <w:tcW w:w="2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(525,286)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(446,462)</w:t>
            </w:r>
          </w:p>
        </w:tc>
        <w:tc>
          <w:tcPr>
            <w:tcW w:w="0" w:type="dxa"/>
            <w:vAlign w:val="bottom"/>
          </w:tcPr>
          <w:p>
            <w:pPr>
              <w:spacing w:after="0"/>
              <w:rPr>
                <w:sz w:val="1"/>
                <w:szCs w:val="1"/>
                <w:color w:val="auto"/>
              </w:rPr>
            </w:pPr>
          </w:p>
        </w:tc>
      </w:tr>
      <w:tr>
        <w:trPr>
          <w:trHeight w:val="153"/>
        </w:trPr>
        <w:tc>
          <w:tcPr>
            <w:tcW w:w="7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Accumulated other comprehensive (loss) income</w:t>
            </w:r>
          </w:p>
        </w:tc>
        <w:tc>
          <w:tcPr>
            <w:tcW w:w="28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42"/>
        </w:trPr>
        <w:tc>
          <w:tcPr>
            <w:tcW w:w="7800" w:type="dxa"/>
            <w:vAlign w:val="bottom"/>
          </w:tcPr>
          <w:p>
            <w:pPr>
              <w:spacing w:after="0"/>
              <w:rPr>
                <w:sz w:val="20"/>
                <w:szCs w:val="20"/>
                <w:color w:val="auto"/>
              </w:rPr>
            </w:pPr>
            <w:r>
              <w:rPr>
                <w:rFonts w:ascii="Arial" w:cs="Arial" w:eastAsia="Arial" w:hAnsi="Arial"/>
                <w:sz w:val="12"/>
                <w:szCs w:val="12"/>
                <w:color w:val="auto"/>
              </w:rPr>
              <w:t>Total stockholders’ equity</w:t>
            </w:r>
          </w:p>
        </w:tc>
        <w:tc>
          <w:tcPr>
            <w:tcW w:w="2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34,610</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70,430</w:t>
            </w:r>
          </w:p>
        </w:tc>
        <w:tc>
          <w:tcPr>
            <w:tcW w:w="0" w:type="dxa"/>
            <w:vAlign w:val="bottom"/>
          </w:tcPr>
          <w:p>
            <w:pPr>
              <w:spacing w:after="0"/>
              <w:rPr>
                <w:sz w:val="1"/>
                <w:szCs w:val="1"/>
                <w:color w:val="auto"/>
              </w:rPr>
            </w:pPr>
          </w:p>
        </w:tc>
      </w:tr>
      <w:tr>
        <w:trPr>
          <w:trHeight w:val="142"/>
        </w:trPr>
        <w:tc>
          <w:tcPr>
            <w:tcW w:w="7800" w:type="dxa"/>
            <w:vAlign w:val="bottom"/>
          </w:tcPr>
          <w:p>
            <w:pPr>
              <w:spacing w:after="0"/>
              <w:rPr>
                <w:sz w:val="20"/>
                <w:szCs w:val="20"/>
                <w:color w:val="auto"/>
              </w:rPr>
            </w:pPr>
            <w:r>
              <w:rPr>
                <w:rFonts w:ascii="Arial" w:cs="Arial" w:eastAsia="Arial" w:hAnsi="Arial"/>
                <w:sz w:val="12"/>
                <w:szCs w:val="12"/>
                <w:color w:val="auto"/>
              </w:rPr>
              <w:t>Total liabilities and stockholders’ equity</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85,565</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122,833</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5620"/>
              <w:spacing w:after="0"/>
              <w:rPr>
                <w:sz w:val="20"/>
                <w:szCs w:val="20"/>
                <w:color w:val="auto"/>
              </w:rPr>
            </w:pPr>
            <w:r>
              <w:rPr>
                <w:rFonts w:ascii="Times New Roman" w:cs="Times New Roman" w:eastAsia="Times New Roman" w:hAnsi="Times New Roman"/>
                <w:sz w:val="12"/>
                <w:szCs w:val="12"/>
                <w:color w:val="auto"/>
              </w:rPr>
              <w:t>5</w:t>
            </w: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2"/>
        </w:trPr>
        <w:tc>
          <w:tcPr>
            <w:tcW w:w="7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097" w:right="299" w:bottom="1440" w:gutter="0" w:footer="0" w:header="0"/>
        </w:sectPr>
      </w:pPr>
    </w:p>
    <w:bookmarkStart w:id="8" w:name="page9"/>
    <w:bookmarkEnd w:id="8"/>
    <w:p>
      <w:pPr>
        <w:ind w:left="45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3128645</wp:posOffset>
            </wp:positionH>
            <wp:positionV relativeFrom="page">
              <wp:posOffset>88900</wp:posOffset>
            </wp:positionV>
            <wp:extent cx="1291590" cy="245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91590" cy="245745"/>
                    </a:xfrm>
                    <a:prstGeom prst="rect">
                      <a:avLst/>
                    </a:prstGeom>
                    <a:noFill/>
                  </pic:spPr>
                </pic:pic>
              </a:graphicData>
            </a:graphic>
          </wp:anchor>
        </w:drawing>
        <w:t>Acumen Pharmaceuticals, Inc.</w:t>
      </w:r>
    </w:p>
    <w:p>
      <w:pPr>
        <w:spacing w:after="0" w:line="25"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Condensed Statements of Operations and Comprehensive Loss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6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Nine Months Ended</w:t>
            </w:r>
          </w:p>
        </w:tc>
        <w:tc>
          <w:tcPr>
            <w:tcW w:w="940" w:type="dxa"/>
            <w:vAlign w:val="bottom"/>
          </w:tcPr>
          <w:p>
            <w:pPr>
              <w:spacing w:after="0"/>
              <w:rPr>
                <w:sz w:val="10"/>
                <w:szCs w:val="10"/>
                <w:color w:val="auto"/>
              </w:rPr>
            </w:pPr>
          </w:p>
        </w:tc>
      </w:tr>
      <w:tr>
        <w:trPr>
          <w:trHeight w:val="144"/>
        </w:trPr>
        <w:tc>
          <w:tcPr>
            <w:tcW w:w="48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1"/>
                <w:szCs w:val="11"/>
                <w:b w:val="1"/>
                <w:bCs w:val="1"/>
                <w:color w:val="auto"/>
              </w:rPr>
              <w:t>September 30,</w:t>
            </w:r>
          </w:p>
        </w:tc>
        <w:tc>
          <w:tcPr>
            <w:tcW w:w="9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1"/>
                <w:szCs w:val="11"/>
                <w:b w:val="1"/>
                <w:bCs w:val="1"/>
                <w:color w:val="auto"/>
              </w:rPr>
              <w:t>September 30,</w:t>
            </w:r>
          </w:p>
        </w:tc>
        <w:tc>
          <w:tcPr>
            <w:tcW w:w="940" w:type="dxa"/>
            <w:vAlign w:val="bottom"/>
            <w:tcBorders>
              <w:bottom w:val="single" w:sz="8" w:color="auto"/>
            </w:tcBorders>
          </w:tcPr>
          <w:p>
            <w:pPr>
              <w:spacing w:after="0"/>
              <w:rPr>
                <w:sz w:val="12"/>
                <w:szCs w:val="12"/>
                <w:color w:val="auto"/>
              </w:rPr>
            </w:pPr>
          </w:p>
        </w:tc>
      </w:tr>
      <w:tr>
        <w:trPr>
          <w:trHeight w:val="133"/>
        </w:trPr>
        <w:tc>
          <w:tcPr>
            <w:tcW w:w="484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80"/>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81"/>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60"/>
              <w:spacing w:after="0"/>
              <w:rPr>
                <w:sz w:val="20"/>
                <w:szCs w:val="20"/>
                <w:color w:val="auto"/>
              </w:rPr>
            </w:pPr>
            <w:r>
              <w:rPr>
                <w:rFonts w:ascii="Arial" w:cs="Arial" w:eastAsia="Arial" w:hAnsi="Arial"/>
                <w:sz w:val="11"/>
                <w:szCs w:val="11"/>
                <w:b w:val="1"/>
                <w:bCs w:val="1"/>
                <w:color w:val="auto"/>
              </w:rPr>
              <w:t>2025</w:t>
            </w:r>
          </w:p>
        </w:tc>
      </w:tr>
      <w:tr>
        <w:trPr>
          <w:trHeight w:val="133"/>
        </w:trPr>
        <w:tc>
          <w:tcPr>
            <w:tcW w:w="484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Operating expenses</w:t>
            </w:r>
          </w:p>
        </w:tc>
        <w:tc>
          <w:tcPr>
            <w:tcW w:w="8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53"/>
        </w:trPr>
        <w:tc>
          <w:tcPr>
            <w:tcW w:w="4840" w:type="dxa"/>
            <w:vAlign w:val="bottom"/>
          </w:tcPr>
          <w:p>
            <w:pPr>
              <w:ind w:left="240"/>
              <w:spacing w:after="0"/>
              <w:rPr>
                <w:sz w:val="20"/>
                <w:szCs w:val="20"/>
                <w:color w:val="auto"/>
              </w:rPr>
            </w:pPr>
            <w:r>
              <w:rPr>
                <w:rFonts w:ascii="Arial" w:cs="Arial" w:eastAsia="Arial" w:hAnsi="Arial"/>
                <w:sz w:val="12"/>
                <w:szCs w:val="12"/>
                <w:color w:val="auto"/>
              </w:rPr>
              <w:t>Research and development</w:t>
            </w:r>
          </w:p>
        </w:tc>
        <w:tc>
          <w:tcPr>
            <w:tcW w:w="860" w:type="dxa"/>
            <w:vAlign w:val="bottom"/>
          </w:tcPr>
          <w:p>
            <w:pPr>
              <w:jc w:val="right"/>
              <w:ind w:right="721"/>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21,113</w:t>
            </w:r>
          </w:p>
        </w:tc>
        <w:tc>
          <w:tcPr>
            <w:tcW w:w="80" w:type="dxa"/>
            <w:vAlign w:val="bottom"/>
          </w:tcPr>
          <w:p>
            <w:pPr>
              <w:spacing w:after="0"/>
              <w:rPr>
                <w:sz w:val="13"/>
                <w:szCs w:val="13"/>
                <w:color w:val="auto"/>
              </w:rPr>
            </w:pP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21,968</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65,406</w:t>
            </w:r>
          </w:p>
        </w:tc>
        <w:tc>
          <w:tcPr>
            <w:tcW w:w="80" w:type="dxa"/>
            <w:vAlign w:val="bottom"/>
          </w:tcPr>
          <w:p>
            <w:pPr>
              <w:spacing w:after="0"/>
              <w:rPr>
                <w:sz w:val="13"/>
                <w:szCs w:val="13"/>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84,359</w:t>
            </w:r>
          </w:p>
        </w:tc>
      </w:tr>
      <w:tr>
        <w:trPr>
          <w:trHeight w:val="153"/>
        </w:trPr>
        <w:tc>
          <w:tcPr>
            <w:tcW w:w="4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8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4,700</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4,545</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14,112</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14,274</w:t>
            </w:r>
          </w:p>
        </w:tc>
      </w:tr>
      <w:tr>
        <w:trPr>
          <w:trHeight w:val="14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operating expenses</w:t>
            </w:r>
          </w:p>
        </w:tc>
        <w:tc>
          <w:tcPr>
            <w:tcW w:w="8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25,813</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26,513</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79,518</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98,633</w:t>
            </w:r>
          </w:p>
        </w:tc>
      </w:tr>
      <w:tr>
        <w:trPr>
          <w:trHeight w:val="142"/>
        </w:trPr>
        <w:tc>
          <w:tcPr>
            <w:tcW w:w="4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from operations</w:t>
            </w: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(25,813)</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(26,513)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(79,518)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(98,633)</w:t>
            </w:r>
          </w:p>
        </w:tc>
      </w:tr>
      <w:tr>
        <w:trPr>
          <w:trHeight w:val="153"/>
        </w:trPr>
        <w:tc>
          <w:tcPr>
            <w:tcW w:w="4840" w:type="dxa"/>
            <w:vAlign w:val="bottom"/>
          </w:tcPr>
          <w:p>
            <w:pPr>
              <w:ind w:left="20"/>
              <w:spacing w:after="0"/>
              <w:rPr>
                <w:sz w:val="20"/>
                <w:szCs w:val="20"/>
                <w:color w:val="auto"/>
              </w:rPr>
            </w:pPr>
            <w:r>
              <w:rPr>
                <w:rFonts w:ascii="Arial" w:cs="Arial" w:eastAsia="Arial" w:hAnsi="Arial"/>
                <w:sz w:val="12"/>
                <w:szCs w:val="12"/>
                <w:color w:val="auto"/>
              </w:rPr>
              <w:t>Other income (expense)</w:t>
            </w: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3"/>
        </w:trPr>
        <w:tc>
          <w:tcPr>
            <w:tcW w:w="4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income</w:t>
            </w: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812</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2,987</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6,125</w:t>
            </w:r>
          </w:p>
        </w:tc>
      </w:tr>
      <w:tr>
        <w:trPr>
          <w:trHeight w:val="153"/>
        </w:trPr>
        <w:tc>
          <w:tcPr>
            <w:tcW w:w="4840" w:type="dxa"/>
            <w:vAlign w:val="bottom"/>
          </w:tcPr>
          <w:p>
            <w:pPr>
              <w:ind w:left="240"/>
              <w:spacing w:after="0"/>
              <w:rPr>
                <w:sz w:val="20"/>
                <w:szCs w:val="20"/>
                <w:color w:val="auto"/>
              </w:rPr>
            </w:pPr>
            <w:r>
              <w:rPr>
                <w:rFonts w:ascii="Arial" w:cs="Arial" w:eastAsia="Arial" w:hAnsi="Arial"/>
                <w:sz w:val="12"/>
                <w:szCs w:val="12"/>
                <w:color w:val="auto"/>
              </w:rPr>
              <w:t>Interest expense</w:t>
            </w:r>
          </w:p>
        </w:tc>
        <w:tc>
          <w:tcPr>
            <w:tcW w:w="8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(1,068)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(3,162)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(3,137)</w:t>
            </w:r>
          </w:p>
        </w:tc>
      </w:tr>
      <w:tr>
        <w:trPr>
          <w:trHeight w:val="153"/>
        </w:trPr>
        <w:tc>
          <w:tcPr>
            <w:tcW w:w="4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embedded derivatives</w:t>
            </w: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650</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950</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w:t>
            </w:r>
          </w:p>
        </w:tc>
      </w:tr>
      <w:tr>
        <w:trPr>
          <w:trHeight w:val="153"/>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Other expense, net</w:t>
            </w:r>
          </w:p>
        </w:tc>
        <w:tc>
          <w:tcPr>
            <w:tcW w:w="8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w:t>
            </w:r>
          </w:p>
        </w:tc>
      </w:tr>
      <w:tr>
        <w:trPr>
          <w:trHeight w:val="142"/>
        </w:trPr>
        <w:tc>
          <w:tcPr>
            <w:tcW w:w="4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other income</w:t>
            </w:r>
          </w:p>
        </w:tc>
        <w:tc>
          <w:tcPr>
            <w:tcW w:w="8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444</w:t>
            </w:r>
          </w:p>
        </w:tc>
        <w:tc>
          <w:tcPr>
            <w:tcW w:w="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694</w:t>
            </w:r>
          </w:p>
        </w:tc>
        <w:tc>
          <w:tcPr>
            <w:tcW w:w="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2,436</w:t>
            </w:r>
          </w:p>
        </w:tc>
      </w:tr>
      <w:tr>
        <w:trPr>
          <w:trHeight w:val="14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loss</w:t>
            </w:r>
          </w:p>
        </w:tc>
        <w:tc>
          <w:tcPr>
            <w:tcW w:w="8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(25,369)</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(26,451)</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(78,824)</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(96,197)</w:t>
            </w:r>
          </w:p>
        </w:tc>
      </w:tr>
      <w:tr>
        <w:trPr>
          <w:trHeight w:val="133"/>
        </w:trPr>
        <w:tc>
          <w:tcPr>
            <w:tcW w:w="484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Other comprehensive gain (loss)</w:t>
            </w:r>
          </w:p>
        </w:tc>
        <w:tc>
          <w:tcPr>
            <w:tcW w:w="8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53"/>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Unrealized (loss) gain on marketable securities</w:t>
            </w:r>
          </w:p>
        </w:tc>
        <w:tc>
          <w:tcPr>
            <w:tcW w:w="8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w:t>
            </w:r>
          </w:p>
        </w:tc>
      </w:tr>
      <w:tr>
        <w:trPr>
          <w:trHeight w:val="15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Comprehensive loss</w:t>
            </w:r>
          </w:p>
        </w:tc>
        <w:tc>
          <w:tcPr>
            <w:tcW w:w="86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(25,381)</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(26,365)</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(78,932)</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(96,040)</w:t>
            </w:r>
          </w:p>
        </w:tc>
      </w:tr>
      <w:tr>
        <w:trPr>
          <w:trHeight w:val="169"/>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loss per common share, basic and diluted</w:t>
            </w:r>
          </w:p>
        </w:tc>
        <w:tc>
          <w:tcPr>
            <w:tcW w:w="860" w:type="dxa"/>
            <w:vAlign w:val="bottom"/>
            <w:tcBorders>
              <w:bottom w:val="single" w:sz="8" w:color="auto"/>
            </w:tcBorders>
          </w:tcPr>
          <w:p>
            <w:pPr>
              <w:jc w:val="right"/>
              <w:ind w:right="721"/>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(0.35)</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w:t>
            </w:r>
          </w:p>
        </w:tc>
      </w:tr>
      <w:tr>
        <w:trPr>
          <w:trHeight w:val="169"/>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Weighted-average shares outstanding, basic and diluted</w:t>
            </w:r>
          </w:p>
        </w:tc>
        <w:tc>
          <w:tcPr>
            <w:tcW w:w="8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72,321,459</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60,573,425</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69,297,155</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60,557,668</w:t>
            </w:r>
          </w:p>
        </w:tc>
      </w:tr>
      <w:tr>
        <w:trPr>
          <w:trHeight w:val="603"/>
        </w:trPr>
        <w:tc>
          <w:tcPr>
            <w:tcW w:w="4840" w:type="dxa"/>
            <w:vAlign w:val="bottom"/>
          </w:tcPr>
          <w:p>
            <w:pPr>
              <w:spacing w:after="0"/>
              <w:rPr>
                <w:sz w:val="24"/>
                <w:szCs w:val="24"/>
                <w:color w:val="auto"/>
              </w:rPr>
            </w:pP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6</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040"/>
          </w:cols>
          <w:pgMar w:left="420" w:top="1097" w:right="439" w:bottom="1440" w:gutter="0" w:footer="0" w:header="0"/>
        </w:sectPr>
      </w:pPr>
    </w:p>
    <w:bookmarkStart w:id="9" w:name="page10"/>
    <w:bookmarkEnd w:id="9"/>
    <w:p>
      <w:pPr>
        <w:ind w:left="47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3128645</wp:posOffset>
            </wp:positionH>
            <wp:positionV relativeFrom="page">
              <wp:posOffset>88900</wp:posOffset>
            </wp:positionV>
            <wp:extent cx="1291590" cy="245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91590" cy="245745"/>
                    </a:xfrm>
                    <a:prstGeom prst="rect">
                      <a:avLst/>
                    </a:prstGeom>
                    <a:noFill/>
                  </pic:spPr>
                </pic:pic>
              </a:graphicData>
            </a:graphic>
          </wp:anchor>
        </w:drawing>
        <w:t>Acumen Pharmaceuticals, Inc.</w:t>
      </w:r>
    </w:p>
    <w:p>
      <w:pPr>
        <w:spacing w:after="0" w:line="25"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Condensed Statements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thousands)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90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1"/>
                <w:szCs w:val="11"/>
                <w:b w:val="1"/>
                <w:bCs w:val="1"/>
                <w:color w:val="auto"/>
              </w:rPr>
              <w:t>Nine Months Ended September 30,</w:t>
            </w:r>
          </w:p>
        </w:tc>
        <w:tc>
          <w:tcPr>
            <w:tcW w:w="620" w:type="dxa"/>
            <w:vAlign w:val="bottom"/>
            <w:tcBorders>
              <w:bottom w:val="single" w:sz="8" w:color="auto"/>
            </w:tcBorders>
          </w:tcPr>
          <w:p>
            <w:pPr>
              <w:spacing w:after="0"/>
              <w:rPr>
                <w:sz w:val="12"/>
                <w:szCs w:val="12"/>
                <w:color w:val="auto"/>
              </w:rPr>
            </w:pPr>
          </w:p>
        </w:tc>
      </w:tr>
      <w:tr>
        <w:trPr>
          <w:trHeight w:val="133"/>
        </w:trPr>
        <w:tc>
          <w:tcPr>
            <w:tcW w:w="5100" w:type="dxa"/>
            <w:vAlign w:val="bottom"/>
          </w:tcPr>
          <w:p>
            <w:pPr>
              <w:spacing w:after="0"/>
              <w:rPr>
                <w:sz w:val="11"/>
                <w:szCs w:val="11"/>
                <w:color w:val="auto"/>
              </w:rPr>
            </w:pPr>
          </w:p>
        </w:tc>
        <w:tc>
          <w:tcPr>
            <w:tcW w:w="3800" w:type="dxa"/>
            <w:vAlign w:val="bottom"/>
            <w:gridSpan w:val="2"/>
          </w:tcPr>
          <w:p>
            <w:pPr>
              <w:jc w:val="right"/>
              <w:ind w:right="83"/>
              <w:spacing w:after="0"/>
              <w:rPr>
                <w:sz w:val="20"/>
                <w:szCs w:val="20"/>
                <w:color w:val="auto"/>
              </w:rPr>
            </w:pPr>
            <w:r>
              <w:rPr>
                <w:rFonts w:ascii="Arial" w:cs="Arial" w:eastAsia="Arial" w:hAnsi="Arial"/>
                <w:sz w:val="11"/>
                <w:szCs w:val="11"/>
                <w:b w:val="1"/>
                <w:bCs w:val="1"/>
                <w:color w:val="auto"/>
              </w:rPr>
              <w:t>2026</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right"/>
              <w:ind w:right="62"/>
              <w:spacing w:after="0"/>
              <w:rPr>
                <w:sz w:val="20"/>
                <w:szCs w:val="20"/>
                <w:color w:val="auto"/>
              </w:rPr>
            </w:pPr>
            <w:r>
              <w:rPr>
                <w:rFonts w:ascii="Arial" w:cs="Arial" w:eastAsia="Arial" w:hAnsi="Arial"/>
                <w:sz w:val="11"/>
                <w:szCs w:val="11"/>
                <w:b w:val="1"/>
                <w:bCs w:val="1"/>
                <w:color w:val="auto"/>
              </w:rPr>
              <w:t>2025</w:t>
            </w:r>
          </w:p>
        </w:tc>
        <w:tc>
          <w:tcPr>
            <w:tcW w:w="620" w:type="dxa"/>
            <w:vAlign w:val="bottom"/>
          </w:tcPr>
          <w:p>
            <w:pPr>
              <w:spacing w:after="0"/>
              <w:rPr>
                <w:sz w:val="11"/>
                <w:szCs w:val="11"/>
                <w:color w:val="auto"/>
              </w:rPr>
            </w:pPr>
          </w:p>
        </w:tc>
      </w:tr>
      <w:tr>
        <w:trPr>
          <w:trHeight w:val="133"/>
        </w:trPr>
        <w:tc>
          <w:tcPr>
            <w:tcW w:w="51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flows from operating activities</w:t>
            </w:r>
          </w:p>
        </w:tc>
        <w:tc>
          <w:tcPr>
            <w:tcW w:w="26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r>
      <w:tr>
        <w:trPr>
          <w:trHeight w:val="153"/>
        </w:trPr>
        <w:tc>
          <w:tcPr>
            <w:tcW w:w="5100" w:type="dxa"/>
            <w:vAlign w:val="bottom"/>
          </w:tcPr>
          <w:p>
            <w:pPr>
              <w:spacing w:after="0"/>
              <w:rPr>
                <w:sz w:val="20"/>
                <w:szCs w:val="20"/>
                <w:color w:val="auto"/>
              </w:rPr>
            </w:pPr>
            <w:r>
              <w:rPr>
                <w:rFonts w:ascii="Arial" w:cs="Arial" w:eastAsia="Arial" w:hAnsi="Arial"/>
                <w:sz w:val="12"/>
                <w:szCs w:val="12"/>
                <w:color w:val="auto"/>
              </w:rPr>
              <w:t>Net loss</w:t>
            </w:r>
          </w:p>
        </w:tc>
        <w:tc>
          <w:tcPr>
            <w:tcW w:w="3800" w:type="dxa"/>
            <w:vAlign w:val="bottom"/>
            <w:gridSpan w:val="2"/>
          </w:tcPr>
          <w:p>
            <w:pPr>
              <w:jc w:val="right"/>
              <w:ind w:right="983"/>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(78,824)</w:t>
            </w:r>
          </w:p>
        </w:tc>
        <w:tc>
          <w:tcPr>
            <w:tcW w:w="80" w:type="dxa"/>
            <w:vAlign w:val="bottom"/>
          </w:tcPr>
          <w:p>
            <w:pPr>
              <w:spacing w:after="0"/>
              <w:rPr>
                <w:sz w:val="13"/>
                <w:szCs w:val="13"/>
                <w:color w:val="auto"/>
              </w:rPr>
            </w:pPr>
          </w:p>
        </w:tc>
        <w:tc>
          <w:tcPr>
            <w:tcW w:w="1100" w:type="dxa"/>
            <w:vAlign w:val="bottom"/>
          </w:tcPr>
          <w:p>
            <w:pPr>
              <w:jc w:val="right"/>
              <w:ind w:right="962"/>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(96,197)</w:t>
            </w:r>
          </w:p>
        </w:tc>
      </w:tr>
      <w:tr>
        <w:trPr>
          <w:trHeight w:val="153"/>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26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53"/>
        </w:trPr>
        <w:tc>
          <w:tcPr>
            <w:tcW w:w="5100" w:type="dxa"/>
            <w:vAlign w:val="bottom"/>
          </w:tcPr>
          <w:p>
            <w:pPr>
              <w:ind w:left="220"/>
              <w:spacing w:after="0"/>
              <w:rPr>
                <w:sz w:val="20"/>
                <w:szCs w:val="20"/>
                <w:color w:val="auto"/>
              </w:rPr>
            </w:pPr>
            <w:r>
              <w:rPr>
                <w:rFonts w:ascii="Arial" w:cs="Arial" w:eastAsia="Arial" w:hAnsi="Arial"/>
                <w:sz w:val="12"/>
                <w:szCs w:val="12"/>
                <w:color w:val="auto"/>
              </w:rPr>
              <w:t>Depreciation</w:t>
            </w:r>
          </w:p>
        </w:tc>
        <w:tc>
          <w:tcPr>
            <w:tcW w:w="2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35</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153"/>
        </w:trPr>
        <w:tc>
          <w:tcPr>
            <w:tcW w:w="51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Stock-based compensation expense</w:t>
            </w:r>
          </w:p>
        </w:tc>
        <w:tc>
          <w:tcPr>
            <w:tcW w:w="26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7,626</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7,433</w:t>
            </w:r>
          </w:p>
        </w:tc>
      </w:tr>
      <w:tr>
        <w:trPr>
          <w:trHeight w:val="153"/>
        </w:trPr>
        <w:tc>
          <w:tcPr>
            <w:tcW w:w="5100" w:type="dxa"/>
            <w:vAlign w:val="bottom"/>
          </w:tcPr>
          <w:p>
            <w:pPr>
              <w:ind w:left="220"/>
              <w:spacing w:after="0"/>
              <w:rPr>
                <w:sz w:val="20"/>
                <w:szCs w:val="20"/>
                <w:color w:val="auto"/>
              </w:rPr>
            </w:pPr>
            <w:r>
              <w:rPr>
                <w:rFonts w:ascii="Arial" w:cs="Arial" w:eastAsia="Arial" w:hAnsi="Arial"/>
                <w:sz w:val="12"/>
                <w:szCs w:val="12"/>
                <w:color w:val="auto"/>
              </w:rPr>
              <w:t>Amortization of premiums and accretion of discounts on marketable securities, net</w:t>
            </w:r>
          </w:p>
        </w:tc>
        <w:tc>
          <w:tcPr>
            <w:tcW w:w="2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(198)</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(919)</w:t>
            </w:r>
          </w:p>
        </w:tc>
      </w:tr>
      <w:tr>
        <w:trPr>
          <w:trHeight w:val="153"/>
        </w:trPr>
        <w:tc>
          <w:tcPr>
            <w:tcW w:w="51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 in fair value of embedded derivatives</w:t>
            </w:r>
          </w:p>
        </w:tc>
        <w:tc>
          <w:tcPr>
            <w:tcW w:w="26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(950)</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w:t>
            </w:r>
          </w:p>
        </w:tc>
      </w:tr>
      <w:tr>
        <w:trPr>
          <w:trHeight w:val="153"/>
        </w:trPr>
        <w:tc>
          <w:tcPr>
            <w:tcW w:w="5100" w:type="dxa"/>
            <w:vAlign w:val="bottom"/>
          </w:tcPr>
          <w:p>
            <w:pPr>
              <w:ind w:left="220"/>
              <w:spacing w:after="0"/>
              <w:rPr>
                <w:sz w:val="20"/>
                <w:szCs w:val="20"/>
                <w:color w:val="auto"/>
              </w:rPr>
            </w:pPr>
            <w:r>
              <w:rPr>
                <w:rFonts w:ascii="Arial" w:cs="Arial" w:eastAsia="Arial" w:hAnsi="Arial"/>
                <w:sz w:val="12"/>
                <w:szCs w:val="12"/>
                <w:color w:val="auto"/>
              </w:rPr>
              <w:t>Amortization of right-of-use asset</w:t>
            </w:r>
          </w:p>
        </w:tc>
        <w:tc>
          <w:tcPr>
            <w:tcW w:w="2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104</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93</w:t>
            </w:r>
          </w:p>
        </w:tc>
      </w:tr>
      <w:tr>
        <w:trPr>
          <w:trHeight w:val="153"/>
        </w:trPr>
        <w:tc>
          <w:tcPr>
            <w:tcW w:w="51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Realized gain on marketable securities</w:t>
            </w:r>
          </w:p>
        </w:tc>
        <w:tc>
          <w:tcPr>
            <w:tcW w:w="26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r>
      <w:tr>
        <w:trPr>
          <w:trHeight w:val="153"/>
        </w:trPr>
        <w:tc>
          <w:tcPr>
            <w:tcW w:w="5100" w:type="dxa"/>
            <w:vAlign w:val="bottom"/>
          </w:tcPr>
          <w:p>
            <w:pPr>
              <w:ind w:left="220"/>
              <w:spacing w:after="0"/>
              <w:rPr>
                <w:sz w:val="20"/>
                <w:szCs w:val="20"/>
                <w:color w:val="auto"/>
              </w:rPr>
            </w:pPr>
            <w:r>
              <w:rPr>
                <w:rFonts w:ascii="Arial" w:cs="Arial" w:eastAsia="Arial" w:hAnsi="Arial"/>
                <w:sz w:val="12"/>
                <w:szCs w:val="12"/>
                <w:color w:val="auto"/>
              </w:rPr>
              <w:t>Noncash interest expense</w:t>
            </w:r>
          </w:p>
        </w:tc>
        <w:tc>
          <w:tcPr>
            <w:tcW w:w="2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1,048</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942</w:t>
            </w:r>
          </w:p>
        </w:tc>
      </w:tr>
      <w:tr>
        <w:trPr>
          <w:trHeight w:val="153"/>
        </w:trPr>
        <w:tc>
          <w:tcPr>
            <w:tcW w:w="51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Changes in operating assets and liabilities:</w:t>
            </w:r>
          </w:p>
        </w:tc>
        <w:tc>
          <w:tcPr>
            <w:tcW w:w="26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53"/>
        </w:trPr>
        <w:tc>
          <w:tcPr>
            <w:tcW w:w="5100" w:type="dxa"/>
            <w:vAlign w:val="bottom"/>
          </w:tcPr>
          <w:p>
            <w:pPr>
              <w:ind w:left="440"/>
              <w:spacing w:after="0"/>
              <w:rPr>
                <w:sz w:val="20"/>
                <w:szCs w:val="20"/>
                <w:color w:val="auto"/>
              </w:rPr>
            </w:pPr>
            <w:r>
              <w:rPr>
                <w:rFonts w:ascii="Arial" w:cs="Arial" w:eastAsia="Arial" w:hAnsi="Arial"/>
                <w:sz w:val="12"/>
                <w:szCs w:val="12"/>
                <w:color w:val="auto"/>
              </w:rPr>
              <w:t>Prepaid expenses and other current assets</w:t>
            </w:r>
          </w:p>
        </w:tc>
        <w:tc>
          <w:tcPr>
            <w:tcW w:w="2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(1,143)</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1,205</w:t>
            </w:r>
          </w:p>
        </w:tc>
      </w:tr>
      <w:tr>
        <w:trPr>
          <w:trHeight w:val="153"/>
        </w:trPr>
        <w:tc>
          <w:tcPr>
            <w:tcW w:w="51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Other long-term assets</w:t>
            </w:r>
          </w:p>
        </w:tc>
        <w:tc>
          <w:tcPr>
            <w:tcW w:w="26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r>
      <w:tr>
        <w:trPr>
          <w:trHeight w:val="153"/>
        </w:trPr>
        <w:tc>
          <w:tcPr>
            <w:tcW w:w="5100" w:type="dxa"/>
            <w:vAlign w:val="bottom"/>
          </w:tcPr>
          <w:p>
            <w:pPr>
              <w:ind w:left="440"/>
              <w:spacing w:after="0"/>
              <w:rPr>
                <w:sz w:val="20"/>
                <w:szCs w:val="20"/>
                <w:color w:val="auto"/>
              </w:rPr>
            </w:pPr>
            <w:r>
              <w:rPr>
                <w:rFonts w:ascii="Arial" w:cs="Arial" w:eastAsia="Arial" w:hAnsi="Arial"/>
                <w:sz w:val="12"/>
                <w:szCs w:val="12"/>
                <w:color w:val="auto"/>
              </w:rPr>
              <w:t>Accounts payable</w:t>
            </w:r>
          </w:p>
        </w:tc>
        <w:tc>
          <w:tcPr>
            <w:tcW w:w="2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5,502</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(4,966)</w:t>
            </w:r>
          </w:p>
        </w:tc>
      </w:tr>
      <w:tr>
        <w:trPr>
          <w:trHeight w:val="153"/>
        </w:trPr>
        <w:tc>
          <w:tcPr>
            <w:tcW w:w="51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Accrued clinical trial expenses</w:t>
            </w:r>
          </w:p>
        </w:tc>
        <w:tc>
          <w:tcPr>
            <w:tcW w:w="26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(2,157)</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(5,460)</w:t>
            </w:r>
          </w:p>
        </w:tc>
      </w:tr>
      <w:tr>
        <w:trPr>
          <w:trHeight w:val="15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Accrued expenses and other liabilities</w:t>
            </w:r>
          </w:p>
        </w:tc>
        <w:tc>
          <w:tcPr>
            <w:tcW w:w="26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w:t>
            </w: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1,066</w:t>
            </w:r>
          </w:p>
        </w:tc>
      </w:tr>
      <w:tr>
        <w:trPr>
          <w:trHeight w:val="142"/>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26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(68,856)</w:t>
            </w:r>
          </w:p>
        </w:tc>
        <w:tc>
          <w:tcPr>
            <w:tcW w:w="80" w:type="dxa"/>
            <w:vAlign w:val="bottom"/>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(96,442)</w:t>
            </w:r>
          </w:p>
        </w:tc>
      </w:tr>
      <w:tr>
        <w:trPr>
          <w:trHeight w:val="133"/>
        </w:trPr>
        <w:tc>
          <w:tcPr>
            <w:tcW w:w="5100" w:type="dxa"/>
            <w:vAlign w:val="bottom"/>
          </w:tcPr>
          <w:p>
            <w:pPr>
              <w:spacing w:after="0" w:line="133" w:lineRule="exact"/>
              <w:rPr>
                <w:sz w:val="20"/>
                <w:szCs w:val="20"/>
                <w:color w:val="auto"/>
              </w:rPr>
            </w:pPr>
            <w:r>
              <w:rPr>
                <w:rFonts w:ascii="Arial" w:cs="Arial" w:eastAsia="Arial" w:hAnsi="Arial"/>
                <w:sz w:val="12"/>
                <w:szCs w:val="12"/>
                <w:b w:val="1"/>
                <w:bCs w:val="1"/>
                <w:color w:val="auto"/>
              </w:rPr>
              <w:t>Cash flows from investing activities</w:t>
            </w:r>
          </w:p>
        </w:tc>
        <w:tc>
          <w:tcPr>
            <w:tcW w:w="2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53"/>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Purchases of marketable securities</w:t>
            </w:r>
          </w:p>
        </w:tc>
        <w:tc>
          <w:tcPr>
            <w:tcW w:w="26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(40,823)</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(38,056)</w:t>
            </w:r>
          </w:p>
        </w:tc>
      </w:tr>
      <w:tr>
        <w:trPr>
          <w:trHeight w:val="153"/>
        </w:trPr>
        <w:tc>
          <w:tcPr>
            <w:tcW w:w="5100" w:type="dxa"/>
            <w:vAlign w:val="bottom"/>
          </w:tcPr>
          <w:p>
            <w:pPr>
              <w:spacing w:after="0"/>
              <w:rPr>
                <w:sz w:val="20"/>
                <w:szCs w:val="20"/>
                <w:color w:val="auto"/>
              </w:rPr>
            </w:pPr>
            <w:r>
              <w:rPr>
                <w:rFonts w:ascii="Arial" w:cs="Arial" w:eastAsia="Arial" w:hAnsi="Arial"/>
                <w:sz w:val="12"/>
                <w:szCs w:val="12"/>
                <w:color w:val="auto"/>
              </w:rPr>
              <w:t>Proceeds from maturities and sales of marketable securities</w:t>
            </w:r>
          </w:p>
        </w:tc>
        <w:tc>
          <w:tcPr>
            <w:tcW w:w="2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78,266</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145,827</w:t>
            </w:r>
          </w:p>
        </w:tc>
      </w:tr>
      <w:tr>
        <w:trPr>
          <w:trHeight w:val="153"/>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Purchases of property and equipment</w:t>
            </w:r>
          </w:p>
        </w:tc>
        <w:tc>
          <w:tcPr>
            <w:tcW w:w="26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r>
      <w:tr>
        <w:trPr>
          <w:trHeight w:val="142"/>
        </w:trPr>
        <w:tc>
          <w:tcPr>
            <w:tcW w:w="51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cash provided by investing activities</w:t>
            </w:r>
          </w:p>
        </w:tc>
        <w:tc>
          <w:tcPr>
            <w:tcW w:w="268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37,443</w:t>
            </w:r>
          </w:p>
        </w:tc>
        <w:tc>
          <w:tcPr>
            <w:tcW w:w="8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107,683</w:t>
            </w:r>
          </w:p>
        </w:tc>
      </w:tr>
      <w:tr>
        <w:trPr>
          <w:trHeight w:val="133"/>
        </w:trPr>
        <w:tc>
          <w:tcPr>
            <w:tcW w:w="510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flows from financing activities</w:t>
            </w:r>
          </w:p>
        </w:tc>
        <w:tc>
          <w:tcPr>
            <w:tcW w:w="26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53"/>
        </w:trPr>
        <w:tc>
          <w:tcPr>
            <w:tcW w:w="5100" w:type="dxa"/>
            <w:vAlign w:val="bottom"/>
          </w:tcPr>
          <w:p>
            <w:pPr>
              <w:spacing w:after="0"/>
              <w:rPr>
                <w:sz w:val="20"/>
                <w:szCs w:val="20"/>
                <w:color w:val="auto"/>
              </w:rPr>
            </w:pPr>
            <w:r>
              <w:rPr>
                <w:rFonts w:ascii="Arial" w:cs="Arial" w:eastAsia="Arial" w:hAnsi="Arial"/>
                <w:sz w:val="12"/>
                <w:szCs w:val="12"/>
                <w:color w:val="auto"/>
              </w:rPr>
              <w:t>Proceeds from private placement, net of offering costs</w:t>
            </w:r>
          </w:p>
        </w:tc>
        <w:tc>
          <w:tcPr>
            <w:tcW w:w="2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35,441</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Repayments of debt</w:t>
            </w:r>
          </w:p>
        </w:tc>
        <w:tc>
          <w:tcPr>
            <w:tcW w:w="26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(4,987)</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100" w:type="dxa"/>
            <w:vAlign w:val="bottom"/>
          </w:tcPr>
          <w:p>
            <w:pPr>
              <w:spacing w:after="0"/>
              <w:rPr>
                <w:sz w:val="20"/>
                <w:szCs w:val="20"/>
                <w:color w:val="auto"/>
              </w:rPr>
            </w:pPr>
            <w:r>
              <w:rPr>
                <w:rFonts w:ascii="Arial" w:cs="Arial" w:eastAsia="Arial" w:hAnsi="Arial"/>
                <w:sz w:val="12"/>
                <w:szCs w:val="12"/>
                <w:color w:val="auto"/>
              </w:rPr>
              <w:t>Proceeds from exercise of stock options</w:t>
            </w:r>
          </w:p>
        </w:tc>
        <w:tc>
          <w:tcPr>
            <w:tcW w:w="2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194</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153"/>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Repurchase of common shares to pay employee withholding taxes</w:t>
            </w:r>
          </w:p>
        </w:tc>
        <w:tc>
          <w:tcPr>
            <w:tcW w:w="268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w:t>
            </w:r>
          </w:p>
        </w:tc>
        <w:tc>
          <w:tcPr>
            <w:tcW w:w="80" w:type="dxa"/>
            <w:vAlign w:val="bottom"/>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w:t>
            </w:r>
          </w:p>
        </w:tc>
      </w:tr>
      <w:tr>
        <w:trPr>
          <w:trHeight w:val="142"/>
        </w:trPr>
        <w:tc>
          <w:tcPr>
            <w:tcW w:w="51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cash provided by (used in) financing activities</w:t>
            </w:r>
          </w:p>
        </w:tc>
        <w:tc>
          <w:tcPr>
            <w:tcW w:w="26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30,499</w:t>
            </w:r>
          </w:p>
        </w:tc>
        <w:tc>
          <w:tcPr>
            <w:tcW w:w="8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w:t>
            </w:r>
          </w:p>
        </w:tc>
      </w:tr>
      <w:tr>
        <w:trPr>
          <w:trHeight w:val="142"/>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Net change in cash and cash equivalents and restricted cash</w:t>
            </w:r>
          </w:p>
        </w:tc>
        <w:tc>
          <w:tcPr>
            <w:tcW w:w="2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(914)</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11,205</w:t>
            </w:r>
          </w:p>
        </w:tc>
      </w:tr>
      <w:tr>
        <w:trPr>
          <w:trHeight w:val="153"/>
        </w:trPr>
        <w:tc>
          <w:tcPr>
            <w:tcW w:w="51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and cash equivalents and restricted cash at the beginning of the period</w:t>
            </w:r>
          </w:p>
        </w:tc>
        <w:tc>
          <w:tcPr>
            <w:tcW w:w="26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54,220</w:t>
            </w: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35,859</w:t>
            </w:r>
          </w:p>
        </w:tc>
      </w:tr>
      <w:tr>
        <w:trPr>
          <w:trHeight w:val="162"/>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and cash equivalents and restricted cash at the end of the period</w:t>
            </w:r>
          </w:p>
        </w:tc>
        <w:tc>
          <w:tcPr>
            <w:tcW w:w="26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83"/>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53,306</w:t>
            </w: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96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47,064</w:t>
            </w:r>
          </w:p>
        </w:tc>
      </w:tr>
      <w:tr>
        <w:trPr>
          <w:trHeight w:val="599"/>
        </w:trPr>
        <w:tc>
          <w:tcPr>
            <w:tcW w:w="5100" w:type="dxa"/>
            <w:vAlign w:val="bottom"/>
          </w:tcPr>
          <w:p>
            <w:pPr>
              <w:spacing w:after="0"/>
              <w:rPr>
                <w:sz w:val="24"/>
                <w:szCs w:val="24"/>
                <w:color w:val="auto"/>
              </w:rPr>
            </w:pPr>
          </w:p>
        </w:tc>
        <w:tc>
          <w:tcPr>
            <w:tcW w:w="2680" w:type="dxa"/>
            <w:vAlign w:val="bottom"/>
          </w:tcPr>
          <w:p>
            <w:pPr>
              <w:jc w:val="right"/>
              <w:ind w:right="2042"/>
              <w:spacing w:after="0"/>
              <w:rPr>
                <w:sz w:val="20"/>
                <w:szCs w:val="20"/>
                <w:color w:val="auto"/>
              </w:rPr>
            </w:pPr>
            <w:r>
              <w:rPr>
                <w:rFonts w:ascii="Times New Roman" w:cs="Times New Roman" w:eastAsia="Times New Roman" w:hAnsi="Times New Roman"/>
                <w:sz w:val="12"/>
                <w:szCs w:val="12"/>
                <w:color w:val="auto"/>
              </w:rPr>
              <w:t>7</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300"/>
          </w:cols>
          <w:pgMar w:left="300" w:top="1097" w:right="299" w:bottom="1440"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2026-10-26T06:11:11Z</dcterms:created>
  <dcterms:modified xsi:type="dcterms:W3CDTF">2026-10-26T06:11:11Z</dcterms:modified>
</cp:coreProperties>
</file>