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480" w:right="260" w:hanging="454"/>
        <w:spacing w:after="0" w:line="275" w:lineRule="auto"/>
        <w:tabs>
          <w:tab w:leader="none" w:pos="4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7" w:lineRule="exact"/>
        <w:rPr>
          <w:sz w:val="24"/>
          <w:szCs w:val="24"/>
          <w:color w:val="auto"/>
        </w:rPr>
      </w:pPr>
    </w:p>
    <w:p>
      <w:pPr>
        <w:ind w:left="480" w:right="240" w:hanging="454"/>
        <w:spacing w:after="0" w:line="275" w:lineRule="auto"/>
        <w:tabs>
          <w:tab w:leader="none" w:pos="48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5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from_________to_________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001-40551</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Acumen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Delaware</w:t>
            </w:r>
          </w:p>
        </w:tc>
        <w:tc>
          <w:tcPr>
            <w:tcW w:w="554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36-4108129</w:t>
            </w:r>
          </w:p>
        </w:tc>
      </w:tr>
      <w:tr>
        <w:trPr>
          <w:trHeight w:val="27"/>
        </w:trPr>
        <w:tc>
          <w:tcPr>
            <w:tcW w:w="5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2"/>
        </w:trPr>
        <w:tc>
          <w:tcPr>
            <w:tcW w:w="5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7"/>
        </w:trPr>
        <w:tc>
          <w:tcPr>
            <w:tcW w:w="5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1210-1220 Washington Street, Suite 210,</w:t>
            </w:r>
          </w:p>
        </w:tc>
        <w:tc>
          <w:tcPr>
            <w:tcW w:w="5540" w:type="dxa"/>
            <w:vAlign w:val="bottom"/>
          </w:tcPr>
          <w:p>
            <w:pPr>
              <w:spacing w:after="0"/>
              <w:rPr>
                <w:sz w:val="24"/>
                <w:szCs w:val="24"/>
                <w:color w:val="auto"/>
              </w:rPr>
            </w:pPr>
          </w:p>
        </w:tc>
      </w:tr>
      <w:tr>
        <w:trPr>
          <w:trHeight w:val="234"/>
        </w:trPr>
        <w:tc>
          <w:tcPr>
            <w:tcW w:w="5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Newton, Massachusetts</w:t>
            </w:r>
          </w:p>
        </w:tc>
        <w:tc>
          <w:tcPr>
            <w:tcW w:w="554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02465</w:t>
            </w:r>
          </w:p>
        </w:tc>
      </w:tr>
      <w:tr>
        <w:trPr>
          <w:trHeight w:val="27"/>
        </w:trPr>
        <w:tc>
          <w:tcPr>
            <w:tcW w:w="5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50"/>
        </w:trPr>
        <w:tc>
          <w:tcPr>
            <w:tcW w:w="5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344-4190</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17"/>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ABOS</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17"/>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r>
    </w:tbl>
    <w:p>
      <w:pPr>
        <w:spacing w:after="0" w:line="198" w:lineRule="exact"/>
        <w:rPr>
          <w:sz w:val="24"/>
          <w:szCs w:val="24"/>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76" w:lineRule="exact"/>
        <w:rPr>
          <w:sz w:val="24"/>
          <w:szCs w:val="24"/>
          <w:color w:val="auto"/>
        </w:rPr>
      </w:pPr>
    </w:p>
    <w:tbl>
      <w:tblPr>
        <w:tblLayout w:type="fixed"/>
        <w:tblInd w:w="40" w:type="dxa"/>
        <w:tblCellMar>
          <w:top w:w="0" w:type="dxa"/>
          <w:left w:w="0" w:type="dxa"/>
          <w:bottom w:w="0" w:type="dxa"/>
          <w:right w:w="0" w:type="dxa"/>
        </w:tblCellMar>
      </w:tblPr>
      <w:tr>
        <w:trPr>
          <w:trHeight w:val="245"/>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r>
      <w:tr>
        <w:trPr>
          <w:trHeight w:val="49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r>
        <w:trPr>
          <w:trHeight w:val="284"/>
        </w:trPr>
        <w:tc>
          <w:tcPr>
            <w:tcW w:w="20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bl>
    <w:p>
      <w:pPr>
        <w:sectPr>
          <w:pgSz w:w="11900" w:h="16838" w:orient="portrait"/>
          <w:cols w:equalWidth="0" w:num="1">
            <w:col w:w="11240"/>
          </w:cols>
          <w:pgMar w:left="320" w:top="225" w:right="339" w:bottom="1" w:gutter="0" w:footer="0" w:header="0"/>
        </w:sectPr>
      </w:pPr>
    </w:p>
    <w:bookmarkStart w:id="1" w:name="page2"/>
    <w:bookmarkEnd w:id="1"/>
    <w:p>
      <w:pPr>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October 21, 2026, the registrant had 72,327,320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140" w:type="dxa"/>
            <w:vAlign w:val="bottom"/>
            <w:gridSpan w:val="10"/>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260" w:type="dxa"/>
            <w:vAlign w:val="bottom"/>
            <w:tcBorders>
              <w:bottom w:val="single" w:sz="8" w:color="0000FF"/>
            </w:tcBorders>
            <w:gridSpan w:val="8"/>
            <w:vMerge w:val="continue"/>
          </w:tcPr>
          <w:p>
            <w:pPr>
              <w:spacing w:after="0"/>
              <w:rPr>
                <w:sz w:val="15"/>
                <w:szCs w:val="15"/>
                <w:color w:val="auto"/>
              </w:rPr>
            </w:pPr>
          </w:p>
        </w:tc>
        <w:tc>
          <w:tcPr>
            <w:tcW w:w="7140" w:type="dxa"/>
            <w:vAlign w:val="bottom"/>
            <w:gridSpan w:val="10"/>
            <w:vMerge w:val="continue"/>
          </w:tcPr>
          <w:p>
            <w:pPr>
              <w:spacing w:after="0"/>
              <w:rPr>
                <w:sz w:val="15"/>
                <w:szCs w:val="15"/>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80" w:type="dxa"/>
            <w:vAlign w:val="bottom"/>
            <w:gridSpan w:val="8"/>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Condensed Balance Sheets</w:t>
            </w:r>
          </w:p>
        </w:tc>
        <w:tc>
          <w:tcPr>
            <w:tcW w:w="7460" w:type="dxa"/>
            <w:vAlign w:val="bottom"/>
            <w:gridSpan w:val="11"/>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5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Statements of Changes in Stockholders’ Equity</w:t>
            </w:r>
          </w:p>
        </w:tc>
        <w:tc>
          <w:tcPr>
            <w:tcW w:w="488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w:t>
            </w:r>
          </w:p>
        </w:tc>
        <w:tc>
          <w:tcPr>
            <w:tcW w:w="1520" w:type="dxa"/>
            <w:vAlign w:val="bottom"/>
            <w:tcBorders>
              <w:top w:val="single" w:sz="8" w:color="0000FF"/>
            </w:tcBorders>
            <w:gridSpan w:val="2"/>
          </w:tcPr>
          <w:p>
            <w:pPr>
              <w:spacing w:after="0"/>
              <w:rPr>
                <w:sz w:val="19"/>
                <w:szCs w:val="19"/>
                <w:color w:val="auto"/>
              </w:rPr>
            </w:pPr>
          </w:p>
        </w:tc>
        <w:tc>
          <w:tcPr>
            <w:tcW w:w="5160" w:type="dxa"/>
            <w:vAlign w:val="bottom"/>
            <w:gridSpan w:val="5"/>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6400" w:type="dxa"/>
            <w:vAlign w:val="bottom"/>
            <w:gridSpan w:val="6"/>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40" w:type="dxa"/>
            <w:vAlign w:val="bottom"/>
            <w:gridSpan w:val="4"/>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19"/>
                <w:szCs w:val="19"/>
                <w:color w:val="auto"/>
              </w:rPr>
            </w:pPr>
          </w:p>
        </w:tc>
        <w:tc>
          <w:tcPr>
            <w:tcW w:w="7520" w:type="dxa"/>
            <w:vAlign w:val="bottom"/>
            <w:gridSpan w:val="12"/>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71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gridSpan w:val="9"/>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19"/>
                <w:szCs w:val="19"/>
                <w:color w:val="auto"/>
              </w:rPr>
            </w:pPr>
          </w:p>
        </w:tc>
        <w:tc>
          <w:tcPr>
            <w:tcW w:w="7640" w:type="dxa"/>
            <w:vAlign w:val="bottom"/>
            <w:gridSpan w:val="13"/>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15"/>
          </w:tcPr>
          <w:p>
            <w:pPr>
              <w:ind w:left="4420"/>
              <w:spacing w:after="0"/>
              <w:rPr>
                <w:sz w:val="20"/>
                <w:szCs w:val="20"/>
                <w:color w:val="auto"/>
              </w:rPr>
            </w:pPr>
            <w:r>
              <w:rPr>
                <w:rFonts w:ascii="Times New Roman" w:cs="Times New Roman" w:eastAsia="Times New Roman" w:hAnsi="Times New Roman"/>
                <w:sz w:val="18"/>
                <w:szCs w:val="18"/>
                <w:color w:val="auto"/>
                <w:w w:val="88"/>
              </w:rPr>
              <w:t>1</w:t>
            </w:r>
          </w:p>
        </w:tc>
        <w:tc>
          <w:tcPr>
            <w:tcW w:w="1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“aim,” “anticipate,” “believe,” “contemplate,” “continue,” “could,” “estimate,” “expect,” “goal,” “intend,” “may,” “plan,” “potential,” “predict,” “project,” “seek,” “should,” “target,” “will” or “would” or the negative of these words or other similar terms or expressions. These forward-looking statements include, but are not limited to, statements concerning the following:</w:t>
      </w:r>
    </w:p>
    <w:p>
      <w:pPr>
        <w:spacing w:after="0" w:line="81" w:lineRule="exact"/>
        <w:rPr>
          <w:sz w:val="20"/>
          <w:szCs w:val="20"/>
          <w:color w:val="auto"/>
        </w:rPr>
      </w:pPr>
    </w:p>
    <w:p>
      <w:pPr>
        <w:ind w:left="980" w:right="74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80" w:right="240" w:hanging="486"/>
        <w:spacing w:after="0" w:line="239"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and commercialize sabirnetug or ACU301 and ACU401, the Aβ oligomer-targeted Enhanced Brain Delivery™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product candidates that we licensed pursuant to our collaboration with JCR Pharmaceuticals Co. Ltd., in each case subject to obtaining necessary regulatory approvals, and our ability to continue as a going concern;</w:t>
      </w:r>
    </w:p>
    <w:p>
      <w:pPr>
        <w:spacing w:after="0" w:line="9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the safety and efficacy of sabirnetug, and other positive results;</w:t>
      </w:r>
    </w:p>
    <w:p>
      <w:pPr>
        <w:spacing w:after="0" w:line="117" w:lineRule="exact"/>
        <w:rPr>
          <w:rFonts w:ascii="Times New Roman" w:cs="Times New Roman" w:eastAsia="Times New Roman" w:hAnsi="Times New Roman"/>
          <w:sz w:val="18"/>
          <w:szCs w:val="18"/>
          <w:color w:val="auto"/>
        </w:rPr>
      </w:pPr>
    </w:p>
    <w:p>
      <w:pPr>
        <w:ind w:left="980" w:right="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potential of sabirnetug, including its potential for improved safety and efficacy, as compared to other monoclonal antibodies approved and/or in development, and of ACU301 and ACU401, as well as our expectations concerning our ongoing ALTITUDE-AD clinical trial and any future clinical trials we may conduct;</w:t>
      </w:r>
    </w:p>
    <w:p>
      <w:pPr>
        <w:spacing w:after="0" w:line="67" w:lineRule="exact"/>
        <w:rPr>
          <w:rFonts w:ascii="Times New Roman" w:cs="Times New Roman" w:eastAsia="Times New Roman" w:hAnsi="Times New Roman"/>
          <w:sz w:val="18"/>
          <w:szCs w:val="18"/>
          <w:color w:val="auto"/>
        </w:rPr>
      </w:pPr>
    </w:p>
    <w:p>
      <w:pPr>
        <w:ind w:left="980" w:right="32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focus, success, cost and timing of our development activities, nonclinical studies and clinical trials, and the reporting of data from those clinical trials;</w:t>
      </w:r>
    </w:p>
    <w:p>
      <w:pPr>
        <w:spacing w:after="0" w:line="53"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sabirnetug or any other product candidates that we may advance into clinical trials, subject to obtaining necessary regulatory approvals;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clinical and operational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both preclinical studies related to ACU301 and ACU401 and clinical trials of sabirnetug, as well as any other product candidates we may develop, and to manufacture sabirnetug, ACU301 and ACU401, as well as any other product candidates we may develop, for nonclinical studies and clinical trials;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our intellectual property rights, including extensions of existing patent terms where available or the use of data and market exclusivity to provide protection from generic or biosimilar versions of our product;</w:t>
      </w:r>
    </w:p>
    <w:p>
      <w:pPr>
        <w:spacing w:after="0" w:line="53"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sabirnetug, any other product candidates we may develop, and our technology;</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relating to or seeking to invalidate our intellectual property;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980" w:right="66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sabirnetug or any other product candidates we may develop, and any related restrictions, limitations and/or warnings in the label of any approved product candidate;</w:t>
      </w:r>
    </w:p>
    <w:p>
      <w:pPr>
        <w:spacing w:after="0" w:line="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impacts of governmental legislation and regulations;</w:t>
      </w:r>
    </w:p>
    <w:p>
      <w:pPr>
        <w:spacing w:after="0" w:line="89" w:lineRule="exact"/>
        <w:rPr>
          <w:rFonts w:ascii="Arial" w:cs="Arial" w:eastAsia="Arial" w:hAnsi="Arial"/>
          <w:sz w:val="22"/>
          <w:szCs w:val="22"/>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sabirnetug, ACU301 and ACU401, as well as any other product candidates we may develop, including additional therapeutic indications we may pursue;</w:t>
      </w:r>
    </w:p>
    <w:p>
      <w:pPr>
        <w:spacing w:after="0" w:line="53" w:lineRule="exact"/>
        <w:rPr>
          <w:rFonts w:ascii="Times New Roman" w:cs="Times New Roman" w:eastAsia="Times New Roman" w:hAnsi="Times New Roman"/>
          <w:sz w:val="18"/>
          <w:szCs w:val="18"/>
          <w:color w:val="auto"/>
        </w:rPr>
      </w:pPr>
    </w:p>
    <w:p>
      <w:pPr>
        <w:ind w:left="980" w:right="24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right="12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period during which we will be an emerging growth company under the Jumpstart Our Business Startups Act of 2012 (the “JOBS Act”).</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in our Annual Report on Form 10-K for the fiscal year ended December 31, 2025, as filed with the Securities and Exchange Commission (the “SEC”) on March 26, 2026 (the “Annual Report”), as supplemented by Part II, Item 1A. “Risk Factors” in this Quarterly Report on Form 10-Q, and in our other filings with the SEC.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3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“Acumen,” “the Company,” “we,” “our” and “us” refer to Acumen Pharmaceuticals, Inc.</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(investors.acumenpharm.com). We therefore encourage investors and others interested in Acumen to review the information that we make available on our website, in addition to following our filings with the SEC, webcasts, press releases and conference calls. Our website and information included in or linked to our website are not part of this Quarterly Report on Form 10-Q.</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53,989</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62,876</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122,252</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long-term</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6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clinical trial expenses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short-term</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30,007</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long-term</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8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and no shares issued and outstanding</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as of September 30, 2026 and December 31, 2025</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8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Common stock, $0.0001 par value; 300,000,000 shares authorized as of September 30, 2026 and</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December 31, 2025; 72,327,320 and 60,575,369 shares issued and outstanding as of September 30,</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516,803</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(446,462)</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70,430</w:t>
            </w:r>
          </w:p>
        </w:tc>
        <w:tc>
          <w:tcPr>
            <w:tcW w:w="0" w:type="dxa"/>
            <w:vAlign w:val="bottom"/>
          </w:tcPr>
          <w:p>
            <w:pPr>
              <w:spacing w:after="0"/>
              <w:rPr>
                <w:sz w:val="1"/>
                <w:szCs w:val="1"/>
                <w:color w:val="auto"/>
              </w:rPr>
            </w:pPr>
          </w:p>
        </w:tc>
      </w:tr>
      <w:tr>
        <w:trPr>
          <w:trHeight w:val="26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84,359</w:t>
            </w:r>
          </w:p>
        </w:tc>
      </w:tr>
      <w:tr>
        <w:trPr>
          <w:trHeight w:val="24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98,633</w:t>
            </w: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(98,633)</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4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4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embedded derivatives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(96,197)</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6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6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72,321,459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60,573,425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69,297,155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60,557,668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8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9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6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0"/>
                <w:szCs w:val="10"/>
                <w:color w:val="auto"/>
              </w:rPr>
            </w:pPr>
          </w:p>
        </w:tc>
        <w:tc>
          <w:tcPr>
            <w:tcW w:w="980" w:type="dxa"/>
            <w:vAlign w:val="bottom"/>
            <w:vMerge w:val="restart"/>
          </w:tcPr>
          <w:p>
            <w:pPr>
              <w:jc w:val="center"/>
              <w:ind w:right="36"/>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9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72,314,714</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557,186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57,263</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exercised for cash</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0" w:type="dxa"/>
            <w:vAlign w:val="bottom"/>
          </w:tcPr>
          <w:p>
            <w:pPr>
              <w:spacing w:after="0"/>
              <w:rPr>
                <w:sz w:val="1"/>
                <w:szCs w:val="1"/>
                <w:color w:val="auto"/>
              </w:rPr>
            </w:pPr>
          </w:p>
        </w:tc>
      </w:tr>
      <w:tr>
        <w:trPr>
          <w:trHeight w:val="23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9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72,327,320</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559,914</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(525,286)</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34,610</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3340" w:type="dxa"/>
            <w:vAlign w:val="bottom"/>
          </w:tcPr>
          <w:p>
            <w:pPr>
              <w:spacing w:after="0"/>
              <w:rPr>
                <w:sz w:val="24"/>
                <w:szCs w:val="24"/>
                <w:color w:val="auto"/>
              </w:rPr>
            </w:pPr>
          </w:p>
        </w:tc>
        <w:tc>
          <w:tcPr>
            <w:tcW w:w="446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8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9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0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980" w:type="dxa"/>
            <w:vAlign w:val="bottom"/>
          </w:tcPr>
          <w:p>
            <w:pPr>
              <w:jc w:val="center"/>
              <w:ind w:right="36"/>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9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60,573,425</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511,921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(394,873)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117,077</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9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60,573,425</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514,382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(421,324)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60" w:type="dxa"/>
            <w:vAlign w:val="bottom"/>
            <w:gridSpan w:val="4"/>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center"/>
              <w:ind w:right="95"/>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60,575,369</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516,803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(446,462)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7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private placement, net of offering costs of $309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10,833,331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Issuance of common stock for restricted stock units,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CCEEFF"/>
          </w:tcPr>
          <w:p>
            <w:pPr>
              <w:spacing w:after="0"/>
              <w:rPr>
                <w:sz w:val="21"/>
                <w:szCs w:val="21"/>
                <w:color w:val="auto"/>
              </w:rPr>
            </w:pPr>
          </w:p>
        </w:tc>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791,052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exercised for cash</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127,568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gridSpan w:val="2"/>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72,327,320</w:t>
            </w:r>
          </w:p>
        </w:tc>
        <w:tc>
          <w:tcPr>
            <w:tcW w:w="80" w:type="dxa"/>
            <w:vAlign w:val="bottom"/>
          </w:tcPr>
          <w:p>
            <w:pPr>
              <w:spacing w:after="0"/>
              <w:rPr>
                <w:sz w:val="20"/>
                <w:szCs w:val="20"/>
                <w:color w:val="auto"/>
              </w:rPr>
            </w:pPr>
          </w:p>
        </w:tc>
        <w:tc>
          <w:tcPr>
            <w:tcW w:w="820" w:type="dxa"/>
            <w:vAlign w:val="bottom"/>
            <w:tcBorders>
              <w:bottom w:val="single" w:sz="8" w:color="auto"/>
            </w:tcBorders>
            <w:gridSpan w:val="2"/>
          </w:tcPr>
          <w:p>
            <w:pPr>
              <w:jc w:val="right"/>
              <w:ind w:right="64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559,914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(525,286)</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760" w:type="dxa"/>
            <w:vAlign w:val="bottom"/>
            <w:gridSpan w:val="16"/>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2025</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4"/>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60,094,083</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506,985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502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Issuance of common stock for restricted stock units,</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446,756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 for cash</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60,573,425</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514,382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(421,324)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(78,824)</w:t>
            </w:r>
          </w:p>
        </w:tc>
        <w:tc>
          <w:tcPr>
            <w:tcW w:w="100" w:type="dxa"/>
            <w:vAlign w:val="bottom"/>
          </w:tcPr>
          <w:p>
            <w:pPr>
              <w:spacing w:after="0"/>
              <w:rPr>
                <w:sz w:val="19"/>
                <w:szCs w:val="19"/>
                <w:color w:val="auto"/>
              </w:rPr>
            </w:pP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(96,197)</w:t>
            </w: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w:t>
            </w:r>
          </w:p>
        </w:tc>
        <w:tc>
          <w:tcPr>
            <w:tcW w:w="0" w:type="dxa"/>
            <w:vAlign w:val="bottom"/>
          </w:tcPr>
          <w:p>
            <w:pPr>
              <w:spacing w:after="0"/>
              <w:rPr>
                <w:sz w:val="1"/>
                <w:szCs w:val="1"/>
                <w:color w:val="auto"/>
              </w:rPr>
            </w:pPr>
          </w:p>
        </w:tc>
      </w:tr>
      <w:tr>
        <w:trPr>
          <w:trHeight w:val="227"/>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premiums and accretion of discounts on marketable securities, net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embedded derivatives</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27"/>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right-of-use asset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Realized gain on marketable securities</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6"/>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long-term assets</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7"/>
        </w:trPr>
        <w:tc>
          <w:tcPr>
            <w:tcW w:w="7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(4,966)</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clinical trial expenses</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w:t>
            </w:r>
          </w:p>
        </w:tc>
        <w:tc>
          <w:tcPr>
            <w:tcW w:w="0" w:type="dxa"/>
            <w:vAlign w:val="bottom"/>
          </w:tcPr>
          <w:p>
            <w:pPr>
              <w:spacing w:after="0"/>
              <w:rPr>
                <w:sz w:val="1"/>
                <w:szCs w:val="1"/>
                <w:color w:val="auto"/>
              </w:rPr>
            </w:pPr>
          </w:p>
        </w:tc>
      </w:tr>
      <w:tr>
        <w:trPr>
          <w:trHeight w:val="226"/>
        </w:trPr>
        <w:tc>
          <w:tcPr>
            <w:tcW w:w="7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(96,442)</w:t>
            </w:r>
          </w:p>
        </w:tc>
        <w:tc>
          <w:tcPr>
            <w:tcW w:w="0" w:type="dxa"/>
            <w:vAlign w:val="bottom"/>
          </w:tcPr>
          <w:p>
            <w:pPr>
              <w:spacing w:after="0"/>
              <w:rPr>
                <w:sz w:val="1"/>
                <w:szCs w:val="1"/>
                <w:color w:val="auto"/>
              </w:rPr>
            </w:pP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(38,056)</w:t>
            </w:r>
          </w:p>
        </w:tc>
        <w:tc>
          <w:tcPr>
            <w:tcW w:w="0" w:type="dxa"/>
            <w:vAlign w:val="bottom"/>
          </w:tcPr>
          <w:p>
            <w:pPr>
              <w:spacing w:after="0"/>
              <w:rPr>
                <w:sz w:val="1"/>
                <w:szCs w:val="1"/>
                <w:color w:val="auto"/>
              </w:rPr>
            </w:pPr>
          </w:p>
        </w:tc>
      </w:tr>
      <w:tr>
        <w:trPr>
          <w:trHeight w:val="22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maturities and sales of marketable securities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78,266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145,827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37,443</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107,683</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private placement, net of offering costs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debt</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0" w:type="dxa"/>
            <w:vAlign w:val="bottom"/>
          </w:tcPr>
          <w:p>
            <w:pPr>
              <w:spacing w:after="0"/>
              <w:rPr>
                <w:sz w:val="1"/>
                <w:szCs w:val="1"/>
                <w:color w:val="auto"/>
              </w:rPr>
            </w:pPr>
          </w:p>
        </w:tc>
      </w:tr>
      <w:tr>
        <w:trPr>
          <w:trHeight w:val="22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the beginning of the period</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54,220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35,859</w:t>
            </w:r>
          </w:p>
        </w:tc>
        <w:tc>
          <w:tcPr>
            <w:tcW w:w="0" w:type="dxa"/>
            <w:vAlign w:val="bottom"/>
          </w:tcPr>
          <w:p>
            <w:pPr>
              <w:spacing w:after="0"/>
              <w:rPr>
                <w:sz w:val="1"/>
                <w:szCs w:val="1"/>
                <w:color w:val="auto"/>
              </w:rPr>
            </w:pPr>
          </w:p>
        </w:tc>
      </w:tr>
      <w:tr>
        <w:trPr>
          <w:trHeight w:val="25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the end of the period</w:t>
            </w: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paid for interest</w:t>
            </w: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Acumen Pharmaceuticals, Inc. (“Acumen” or the “Company”) was incorporated in 1996 in the state of Delaware. Acumen is a clinical-stage biopharmaceutical company developing a novel disease-modifying approach targeting what the Company believes to be a key underlying cause of Alzheimer’s disease (“AD”). Alzheimer’s disease is a progressive neurodegenerative disease of the brain that leads to loss of memory and cognitive functions and ultimately results in death. The Company’s scientific founders pioneered research on soluble amyloid-beta oligomers (“AβOs”), which are globular assemblies of the amyloid-beta (“Aβ”) peptide that are distinct from Aβ monomers and amyloid plaques. Based on decades of research and supporting evidence, AβOs have gained increasing scientific acceptance as a primary toxin involved in the initiation and propagation of AD pathology. The Company is currently focused on advancing a targeted immunotherapy drug candidate, sabirnetug, in its Phase 2 ALTITUDE-AD clinical trial, and plans to announce top-line results in November 2026. Top-line results are expected to include the difference compared to placebo after 18 months as measured by the Integrated Alzheimer’s Disease Rating Scale, the Company's primary clinical efficacy endpoint, as well as key secondary endpoints, such as Clinical Dementia Rating – Sum of the Boxes, certain safety measures such as adverse event rates, including amyloid-related imaging abnormalities rates, and key biomarkers. ALTITUDE-AD is a randomized, double-blind, placebo-controlled, three-arm clinical trial designed to evaluate the clinical efficacy, safety and tolerability of sabirnetug with up to 180 participants per arm for a total of 542 participants with mild cognitive impairment or mild dementia due to AD. Participants who complete the double-blind portion of ALTITUDE-AD are eligible to enroll in an open-label extension portion of the clinical trial. Sabirnetug is a recombinant humanized immunoglobulin gamma 2 monoclonal antibody that was designed to selectively target AβOs. In July 2023, the Company announced top-line results from its Phase 1 INTERCEPT-AD clinical trial of sabirnetug, which demonstrated that sabirnetug met the primary and secondary objectives of this clinical trial in 62 participants with early AD. In addition, the Company is investigating a subcutaneous dosing option of sabirnetug, as well as a blood-brain barrier-penetrating, Aβ oligomer-targeted Enhanced Brain Delivery™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therapy for AD.</w:t>
      </w:r>
    </w:p>
    <w:p>
      <w:pPr>
        <w:spacing w:after="0" w:line="78"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In June 2026, the Company announced the nomination of two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candidates for the treatment of AD pursuant to its collaboration, option and license agreement with JCR Pharmaceuticals Co. Ltd. (“JCR”) and the exercise of its option to license and develop such development candidates pursuant to the collaboration, option and license agreement. See additional information in </w:t>
      </w:r>
      <w:r>
        <w:rPr>
          <w:rFonts w:ascii="Times New Roman" w:cs="Times New Roman" w:eastAsia="Times New Roman" w:hAnsi="Times New Roman"/>
          <w:sz w:val="18"/>
          <w:szCs w:val="18"/>
          <w:i w:val="1"/>
          <w:iCs w:val="1"/>
          <w:color w:val="auto"/>
        </w:rPr>
        <w:t>Note 10.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the uncertainty of whether its intellectual property will develop into successful commercial products.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Going Concern</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205-40, </w:t>
      </w:r>
      <w:r>
        <w:rPr>
          <w:rFonts w:ascii="Times New Roman" w:cs="Times New Roman" w:eastAsia="Times New Roman" w:hAnsi="Times New Roman"/>
          <w:sz w:val="18"/>
          <w:szCs w:val="18"/>
          <w:i w:val="1"/>
          <w:iCs w:val="1"/>
          <w:color w:val="auto"/>
        </w:rPr>
        <w:t>Presentation of Financial Statements-Going Concern</w:t>
      </w:r>
      <w:r>
        <w:rPr>
          <w:rFonts w:ascii="Times New Roman" w:cs="Times New Roman" w:eastAsia="Times New Roman" w:hAnsi="Times New Roman"/>
          <w:sz w:val="18"/>
          <w:szCs w:val="18"/>
          <w:color w:val="auto"/>
        </w:rPr>
        <w:t>, the Company evaluated whether there are conditions and events, considered in the aggregate, that raise substantial doubt about the Company’s ability to continue as a going concern. The Company has incurred operating losses since inception. As of September 30, 2026, the Company had an accumulated deficit of $525.3 million and had cash and cash equivalents and marketable securities of $78.6 million. The Company expects to incur additional losses for the foreseeable future as it continues its research and development activities and will need to raise additional capital to fully implement its business plan and to fund its operations. Until such time, if ever, as the Company can generate revenue sufficient to achieve profitability, the Company expects to finance its operations through a combination of equity offerings, debt financings, collaborations, strategic alliances and licensing arrangements. There can be no assurance that any such financing will be available to the Company at adequate levels and on a timely basis, or such agreements may not be available on terms acceptable to the Company, or at all. The Company may be required to delay, limit, reduce or terminate its product discovery and development activities or future commercialization efforts if it is unable to maintain sufficient financial resources, and its business, financial condition and results of operations will be materially and adversely affected. The Company expects that its current balance of cash and cash equivalents and marketable securities will not be sufficient to fund its operations for at least 12 months from the date of issuance of these financial statements. The Company’s cash forecast contains estimates and assumptions related to its ongoing clinical trial and other research and development expenses, and the Company cannot predict the amount or timing of all expenditures with certainty. Accordingly, the Company has concluded that substantial doubt exists about its ability to continue as a going concern.</w:t>
      </w:r>
    </w:p>
    <w:p>
      <w:pPr>
        <w:spacing w:after="0" w:line="15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on a going concern basis, which contemplates the realization of assets and satisfaction of liabilities in the normal course of business, and do not include any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adjustments relating to recoverability and classification of recorded asset amounts or the amounts and classification of liabilities that might be necessary, should the Company be unable to continue as a going concern.</w:t>
      </w:r>
    </w:p>
    <w:p>
      <w:pPr>
        <w:spacing w:after="0" w:line="266" w:lineRule="exact"/>
        <w:rPr>
          <w:sz w:val="20"/>
          <w:szCs w:val="20"/>
          <w:color w:val="auto"/>
        </w:rPr>
      </w:pPr>
    </w:p>
    <w:p>
      <w:pPr>
        <w:ind w:right="30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2.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(“U.S. GAAP”) for interim financial information, the instructions to Form 10-Q and Article 10 of Regulation S-X. Accordingly, they do not include all of the information and notes required by U.S. GAAP for complete financial statements. In the opinion of management, the unaudited condensed financial statements reflect all adjustments, which include only normal recurring adjustments, necessary to present fairly the Company’s financial position and results of its operations and its cash flows for the periods presented. Certain information and note disclosures normally included in the Company’s annual financial statements prepared in accordance with U.S. GAAP have been condensed or omitted. These unaudited condensed financial statement results are not necessarily indicative of results to be expected for the full fiscal year or any future period.</w:t>
      </w:r>
    </w:p>
    <w:p>
      <w:pPr>
        <w:spacing w:after="0" w:line="14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description of the Company’s significant accounting policies is included in the Company’s Annual Report. There have been no material changes in the Company’s significant accounting policies to those previously disclosed in the Company’s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unaudited condensed financial statements, as well as the reported amounts of expenses during the reporting periods. These estimates and assumptions are based on the Company’s historical experience, and on various other factors that management believes are reasonable under the circumstances, the results of which form the basis for making judgments about the carrying values of assets and liabilities and the recording of expenses that are not readily apparent from other sources.</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To the extent there are material differences between the estimates and actual results, the Company’s future results of operations will be affected. The more significant estimates and assumptions by management include, among others: the valuation of embedded derivatives within the Company’s debt, long-term, and accruals for clinical trial expenses and other research and development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All of the Company’s cash equivalents have liquid markets and high credit ratings. The Company had $52.8 million and $53.7 million in cash equivalents as of September 30, 2026 and December 31, 2025,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primarily consists of deposited cash collateral for the Company’s credit card program.</w:t>
      </w:r>
    </w:p>
    <w:p>
      <w:pPr>
        <w:spacing w:after="0" w:line="1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from the balance sheets to the statements of cash flows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53,989</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8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cash equivalents and marketable securities. The Company maintains deposits in financial institutions in excess of government insured limits. Management believes that the Company is not exposed to significant credit risk as the Company’s cash and cash equivalents are held at financial institutions that management believes to be of high credit quality. The Company has not experienced any losses due to credit risk on such accounts during any of the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of Common Stock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the period. Diluted net loss per share of common stock includes the effect, if any, from the potential exercise or conversion of securities, such as convertible debt, stock options, restricted stock units (“RSUs”) and warrants, which would result in the issuance of incremental shares of common stock. However, potential shares of common stock are excluded if their effect is anti-dilutive. For diluted net loss per share, the weighted-average number of shares of common stock is the same as for basic net loss per share due to the fact that when a net loss exists, dilutive securities are not included in the calculation as the impact is anti-dilutive.</w:t>
      </w:r>
    </w:p>
    <w:p>
      <w:pPr>
        <w:spacing w:after="0" w:line="147"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share of common stock as of the periods presented, because to do so would be anti-dilutive, were as follows:</w:t>
      </w: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40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7640" w:type="dxa"/>
            <w:vAlign w:val="bottom"/>
          </w:tcPr>
          <w:p>
            <w:pPr>
              <w:spacing w:after="0"/>
              <w:rPr>
                <w:sz w:val="16"/>
                <w:szCs w:val="16"/>
                <w:color w:val="auto"/>
              </w:rPr>
            </w:pPr>
          </w:p>
        </w:tc>
        <w:tc>
          <w:tcPr>
            <w:tcW w:w="17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6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stock options</w:t>
            </w:r>
          </w:p>
        </w:tc>
        <w:tc>
          <w:tcPr>
            <w:tcW w:w="1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15,265,416</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12,521,864</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election for term loan facility</w:t>
            </w: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988,142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988,142</w:t>
            </w:r>
          </w:p>
        </w:tc>
      </w:tr>
      <w:tr>
        <w:trPr>
          <w:trHeight w:val="24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warrant</w:t>
            </w:r>
          </w:p>
        </w:tc>
        <w:tc>
          <w:tcPr>
            <w:tcW w:w="1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730,769</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730,769</w:t>
            </w:r>
          </w:p>
        </w:tc>
      </w:tr>
      <w:tr>
        <w:trPr>
          <w:trHeight w:val="24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2,999,389</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1,907,976</w:t>
            </w:r>
          </w:p>
        </w:tc>
      </w:tr>
      <w:tr>
        <w:trPr>
          <w:trHeight w:val="262"/>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19,983,716</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16,148,751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financial information is available for evaluation by the chief operating decision maker (“CODM”) in deciding how to allocate resources and assess performance. The Company’s CODM is its chief executive officer. The Company has one operating segment focused on the research and development of treatments for AD, including both sabirnetug and its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therapy. </w:t>
      </w:r>
      <w:r>
        <w:rPr>
          <w:rFonts w:ascii="Times New Roman" w:cs="Times New Roman" w:eastAsia="Times New Roman" w:hAnsi="Times New Roman"/>
          <w:sz w:val="18"/>
          <w:szCs w:val="18"/>
          <w:i w:val="1"/>
          <w:iCs w:val="1"/>
          <w:color w:val="auto"/>
        </w:rPr>
        <w:t>See Note 9. Segment Reporting.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has had or will have a material impact on its financial statements and disclosures.</w:t>
      </w:r>
    </w:p>
    <w:p>
      <w:pPr>
        <w:spacing w:after="0" w:line="13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2024-04,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Induced Conversions of Convertible Debt Instruments. </w:t>
      </w:r>
      <w:r>
        <w:rPr>
          <w:rFonts w:ascii="Times New Roman" w:cs="Times New Roman" w:eastAsia="Times New Roman" w:hAnsi="Times New Roman"/>
          <w:sz w:val="18"/>
          <w:szCs w:val="18"/>
          <w:color w:val="auto"/>
        </w:rPr>
        <w:t>The standard is intended to clarify the requirements for determining whether certain settlements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debt instruments should be accounted for as an induced conversion. The standard is effective for annual periods beginning after December 15, 2025, and for interim periods within those annual reporting periods. As of September 30, 2026, the Company had no induced conversions. The Company adopted this standard on a prospective basis on January 1, 2026. The adoption of this standard did not have a material impact on the Company’s financial statements and related disclosures.</w:t>
      </w:r>
    </w:p>
    <w:p>
      <w:pPr>
        <w:spacing w:after="0" w:line="155"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and in January 2025, the FASB issued ASU 2025-01</w:t>
      </w:r>
      <w:r>
        <w:rPr>
          <w:rFonts w:ascii="Times New Roman" w:cs="Times New Roman" w:eastAsia="Times New Roman" w:hAnsi="Times New Roman"/>
          <w:sz w:val="18"/>
          <w:szCs w:val="18"/>
          <w:i w:val="1"/>
          <w:iCs w:val="1"/>
          <w:color w:val="auto"/>
        </w:rPr>
        <w:t>, Income Statement – Reporting Comprehensive Income – Expense Disaggregation Disclosures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(Subtopic 220-40): Clarifying the Effective Date. </w:t>
      </w:r>
      <w:r>
        <w:rPr>
          <w:rFonts w:ascii="Times New Roman" w:cs="Times New Roman" w:eastAsia="Times New Roman" w:hAnsi="Times New Roman"/>
          <w:sz w:val="18"/>
          <w:szCs w:val="18"/>
          <w:color w:val="auto"/>
        </w:rPr>
        <w:t>The standard is intended to require more detailed disclosures about specified categories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employee compensation, depreciation and amortization, included in certain expense captions presented on the face of the income statement. The new standard, as clarified by ASU 2025-01,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evaluating the potential impact of this adoption on its financial statements and related disclosures.</w:t>
      </w:r>
    </w:p>
    <w:p>
      <w:pPr>
        <w:spacing w:after="0" w:line="14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 Narrow Scope Improvements.</w:t>
      </w:r>
      <w:r>
        <w:rPr>
          <w:rFonts w:ascii="Times New Roman" w:cs="Times New Roman" w:eastAsia="Times New Roman" w:hAnsi="Times New Roman"/>
          <w:sz w:val="18"/>
          <w:szCs w:val="18"/>
          <w:color w:val="auto"/>
        </w:rPr>
        <w:t xml:space="preserve"> The standard is intended to improve the guidance in Topic 270, Interim Reporting, by improving the navigability of the required interim disclosures and clarifying when that guidance is applicable. The amendments in this update clarify interim disclosure requirements and the applicability of Topic 270. The amendments also provide additional guidance on what disclosures should be provided in interim reporting periods. The amendments in this update are effective for interim reporting periods within annual reporting periods beginning after December 15, 2027. Early adoption is permitted. Upon adoption, the amendments may be applied on a prospective or retrospective basis. The Company is evaluating the potential impact of this adoption on its financial statements and related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marketable securities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short-term</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16,642</w:t>
            </w:r>
          </w:p>
        </w:tc>
      </w:tr>
      <w:tr>
        <w:trPr>
          <w:trHeight w:val="24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and agency - U.S.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r>
      <w:tr>
        <w:trPr>
          <w:trHeight w:val="236"/>
        </w:trPr>
        <w:tc>
          <w:tcPr>
            <w:tcW w:w="5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 short-term</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25,529</w:t>
            </w: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96"/>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short-term</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62,876</w:t>
            </w:r>
          </w:p>
        </w:tc>
      </w:tr>
      <w:tr>
        <w:trPr>
          <w:trHeight w:val="261"/>
        </w:trPr>
        <w:tc>
          <w:tcPr>
            <w:tcW w:w="5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securities, short-term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amount of unrealized losses, defined as the amount by which the amortized cost exceeds fair value, and the related fair value of available-for-sale marketable securities with unrealized losses, which have been segregated into two categories: those that have been in a continuous unrealized loss position for less than 12 months and those that have been in a continuous unrealized loss position for 12 or more months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0"/>
        </w:trPr>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7"/>
                <w:szCs w:val="17"/>
                <w:color w:val="auto"/>
              </w:rPr>
            </w:pPr>
          </w:p>
        </w:tc>
      </w:tr>
      <w:tr>
        <w:trPr>
          <w:trHeight w:val="37"/>
        </w:trPr>
        <w:tc>
          <w:tcPr>
            <w:tcW w:w="29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r>
      <w:tr>
        <w:trPr>
          <w:trHeight w:val="200"/>
        </w:trPr>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37"/>
        </w:trPr>
        <w:tc>
          <w:tcPr>
            <w:tcW w:w="29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Government and agency - U.S.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9"/>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Pr>
          <w:p>
            <w:pPr>
              <w:spacing w:after="0"/>
              <w:rPr>
                <w:sz w:val="17"/>
                <w:szCs w:val="17"/>
                <w:color w:val="auto"/>
              </w:rPr>
            </w:pPr>
          </w:p>
        </w:tc>
      </w:tr>
      <w:tr>
        <w:trPr>
          <w:trHeight w:val="37"/>
        </w:trPr>
        <w:tc>
          <w:tcPr>
            <w:tcW w:w="29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r>
      <w:tr>
        <w:trPr>
          <w:trHeight w:val="200"/>
        </w:trPr>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37"/>
        </w:trPr>
        <w:tc>
          <w:tcPr>
            <w:tcW w:w="29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color w:val="auto"/>
        </w:rPr>
        <w:t>As of September 30, 2026, all of the Company’s available-for-sale securities mature in six months or less. The Company does not intend to sell any of its available-for-sale securities and it is not more likely than not that the Company will be required to sell the investments before recovery of their amortized</w:t>
      </w:r>
    </w:p>
    <w:p>
      <w:pPr>
        <w:ind w:right="140"/>
        <w:spacing w:after="0" w:line="266" w:lineRule="auto"/>
        <w:rPr>
          <w:sz w:val="20"/>
          <w:szCs w:val="20"/>
          <w:color w:val="auto"/>
        </w:rPr>
      </w:pPr>
      <w:r>
        <w:rPr>
          <w:rFonts w:ascii="Times New Roman" w:cs="Times New Roman" w:eastAsia="Times New Roman" w:hAnsi="Times New Roman"/>
          <w:sz w:val="18"/>
          <w:szCs w:val="18"/>
          <w:color w:val="auto"/>
        </w:rPr>
        <w:t>cost bases, which may be at maturity. No credit losses were recognized on the Company’s available-for-sale securities during the three and nine months ended September 30, 2026 and 2025. The Company recorded no realized gains during the three months ended September 30, 2026 and 2025 and recorded immaterial realized gains during the nine months ended September 30, 2026 and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00" w:type="dxa"/>
            <w:vAlign w:val="bottom"/>
            <w:gridSpan w:val="6"/>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2026 using</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00" w:type="dxa"/>
            <w:vAlign w:val="bottom"/>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included in: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Money market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52,794</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Government and agency - U.S.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25,529</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included 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long-term</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Embedded derivatives liability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8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5"/>
                <w:szCs w:val="15"/>
                <w:color w:val="auto"/>
              </w:rPr>
            </w:pPr>
          </w:p>
        </w:tc>
        <w:tc>
          <w:tcPr>
            <w:tcW w:w="13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7"/>
                <w:szCs w:val="17"/>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included in: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Money market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62,876</w:t>
            </w:r>
          </w:p>
        </w:tc>
        <w:tc>
          <w:tcPr>
            <w:tcW w:w="0" w:type="dxa"/>
            <w:vAlign w:val="bottom"/>
          </w:tcPr>
          <w:p>
            <w:pPr>
              <w:spacing w:after="0"/>
              <w:rPr>
                <w:sz w:val="1"/>
                <w:szCs w:val="1"/>
                <w:color w:val="auto"/>
              </w:rPr>
            </w:pPr>
          </w:p>
        </w:tc>
      </w:tr>
      <w:tr>
        <w:trPr>
          <w:trHeight w:val="237"/>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62,876</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116,584</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included in: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long-term</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Embedded derivatives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37"/>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condensed balance sheets for cash (excluding cash equivalents, which are recorded at fair value on a recurring basis), restricted cash, accounts payable, accrued clinical trial expenses and accrued expenses and other current liabilities are reasonable estimates of their fair values due to the short-term nature of these items.</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The carrying amount of the Company’s debt approximates fair value due to its variable market interest rate and management’s opinion that current rates and terms that would be available to the Company with the same maturity and security structure would be essentially equivalent to that of the Company’s debt, long-term. Certain features of the Company’s term loan facility (the “Term Loan”) were determined to be embedded derivatives requiring separate measurement from the loan host instrument. For additional information regarding the Term Loan,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money market funds is determined using quoted market prices in active markets for identical assets.</w:t>
      </w:r>
    </w:p>
    <w:p>
      <w:pPr>
        <w:spacing w:after="0" w:line="18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fair value for the available-for-sale marketable securities is determined based on valuation models using inputs that are observable either directly or indirectly (Level 2 inputs), such as quoted prices for similar assets or liabilities, yield curve, volatility factors, credit spreads, default rates, loss severity, current market and contractual prices for the underlying instruments or debt, broker and dealer quotes, as well as other relevant economic measures.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nine months ended September 30, 2026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5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 in fair value of embedded derivatives</w:t>
            </w:r>
          </w:p>
        </w:tc>
        <w:tc>
          <w:tcPr>
            <w:tcW w:w="47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5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349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58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8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SUPPLEMENTAL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as of September 30, 2026 and December 31, 2025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85"/>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Prepaid Expenses and</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Prepaid Expenses</w:t>
            </w:r>
          </w:p>
        </w:tc>
      </w:t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 Current Assets</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Other Assets, Long-Term</w:t>
            </w:r>
          </w:p>
        </w:tc>
        <w:tc>
          <w:tcPr>
            <w:tcW w:w="160" w:type="dxa"/>
            <w:vAlign w:val="bottom"/>
          </w:tcPr>
          <w:p>
            <w:pPr>
              <w:spacing w:after="0"/>
              <w:rPr>
                <w:sz w:val="16"/>
                <w:szCs w:val="16"/>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and Other Assets</w:t>
            </w:r>
          </w:p>
        </w:tc>
      </w:tr>
      <w:tr>
        <w:trPr>
          <w:trHeight w:val="37"/>
        </w:trPr>
        <w:tc>
          <w:tcPr>
            <w:tcW w:w="62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service agreements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3,599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21"/>
                <w:szCs w:val="21"/>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Dues and subscriptions</w:t>
            </w:r>
          </w:p>
        </w:tc>
        <w:tc>
          <w:tcPr>
            <w:tcW w:w="120" w:type="dxa"/>
            <w:vAlign w:val="bottom"/>
          </w:tcPr>
          <w:p>
            <w:pPr>
              <w:spacing w:after="0"/>
              <w:rPr>
                <w:sz w:val="21"/>
                <w:szCs w:val="21"/>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(1)</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6,530</w:t>
            </w:r>
          </w:p>
        </w:tc>
        <w:tc>
          <w:tcPr>
            <w:tcW w:w="8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w:t>
            </w:r>
          </w:p>
        </w:tc>
      </w:tr>
      <w:tr>
        <w:trPr>
          <w:trHeight w:val="21"/>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7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Prepaid Expenses and</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Prepaid Expenses</w:t>
            </w:r>
          </w:p>
        </w:tc>
      </w:tr>
      <w:tr>
        <w:trPr>
          <w:trHeight w:val="204"/>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 Current Assets</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Other Assets, Long-Term</w:t>
            </w:r>
          </w:p>
        </w:tc>
        <w:tc>
          <w:tcPr>
            <w:tcW w:w="160" w:type="dxa"/>
            <w:vAlign w:val="bottom"/>
          </w:tcPr>
          <w:p>
            <w:pPr>
              <w:spacing w:after="0"/>
              <w:rPr>
                <w:sz w:val="17"/>
                <w:szCs w:val="17"/>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and Other Assets</w:t>
            </w:r>
          </w:p>
        </w:tc>
      </w:tr>
      <w:tr>
        <w:trPr>
          <w:trHeight w:val="37"/>
        </w:trPr>
        <w:tc>
          <w:tcPr>
            <w:tcW w:w="62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service agreements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Dues and subscriptions</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(1)</w:t>
            </w:r>
          </w:p>
        </w:tc>
        <w:tc>
          <w:tcPr>
            <w:tcW w:w="12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7"/>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w:t>
            </w: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00" w:firstLine="332"/>
        <w:spacing w:after="0" w:line="501"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accumulated depreciation totaled approximately $0.1 million and $0.2 million, respectively. Accrued expenses and other current liabilities as of September 30, 2026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11430</wp:posOffset>
            </wp:positionV>
            <wp:extent cx="11569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Accrued Expenses and</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 Current Liabilities</w:t>
            </w: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4280" w:type="dxa"/>
            <w:vAlign w:val="bottom"/>
            <w:tcBorders>
              <w:bottom w:val="single" w:sz="8" w:color="CCEEFF"/>
            </w:tcBorders>
          </w:tcPr>
          <w:p>
            <w:pPr>
              <w:spacing w:after="0"/>
              <w:rPr>
                <w:sz w:val="3"/>
                <w:szCs w:val="3"/>
                <w:color w:val="auto"/>
              </w:rPr>
            </w:pPr>
          </w:p>
        </w:tc>
        <w:tc>
          <w:tcPr>
            <w:tcW w:w="47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other employee liabilities</w:t>
            </w:r>
          </w:p>
        </w:tc>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4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7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10,168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76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24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2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Notes to Condensed Financial Statements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92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918"/>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as of December 31, 2025 consisted of the following (in thousands):</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34"/>
        </w:trPr>
        <w:tc>
          <w:tcPr>
            <w:tcW w:w="10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Accrued Expenses and</w:t>
            </w:r>
          </w:p>
        </w:tc>
      </w:tr>
      <w:tr>
        <w:trPr>
          <w:trHeight w:val="190"/>
        </w:trPr>
        <w:tc>
          <w:tcPr>
            <w:tcW w:w="100" w:type="dxa"/>
            <w:vAlign w:val="bottom"/>
          </w:tcPr>
          <w:p>
            <w:pPr>
              <w:spacing w:after="0"/>
              <w:rPr>
                <w:sz w:val="16"/>
                <w:szCs w:val="16"/>
                <w:color w:val="auto"/>
              </w:rPr>
            </w:pPr>
          </w:p>
        </w:tc>
        <w:tc>
          <w:tcPr>
            <w:tcW w:w="9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Other Current Liabilities</w:t>
            </w:r>
          </w:p>
        </w:tc>
      </w:tr>
      <w:tr>
        <w:trPr>
          <w:trHeight w:val="37"/>
        </w:trPr>
        <w:tc>
          <w:tcPr>
            <w:tcW w:w="100" w:type="dxa"/>
            <w:vAlign w:val="bottom"/>
          </w:tcPr>
          <w:p>
            <w:pPr>
              <w:spacing w:after="0"/>
              <w:rPr>
                <w:sz w:val="3"/>
                <w:szCs w:val="3"/>
                <w:color w:val="auto"/>
              </w:rPr>
            </w:pPr>
          </w:p>
        </w:tc>
        <w:tc>
          <w:tcPr>
            <w:tcW w:w="9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37"/>
        </w:trPr>
        <w:tc>
          <w:tcPr>
            <w:tcW w:w="100" w:type="dxa"/>
            <w:vAlign w:val="bottom"/>
          </w:tcPr>
          <w:p>
            <w:pPr>
              <w:spacing w:after="0"/>
              <w:rPr>
                <w:sz w:val="20"/>
                <w:szCs w:val="20"/>
                <w:color w:val="auto"/>
              </w:rPr>
            </w:pPr>
          </w:p>
        </w:tc>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r>
      <w:tr>
        <w:trPr>
          <w:trHeight w:val="243"/>
        </w:trPr>
        <w:tc>
          <w:tcPr>
            <w:tcW w:w="10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other employee liabilities</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43"/>
        </w:trPr>
        <w:tc>
          <w:tcPr>
            <w:tcW w:w="100" w:type="dxa"/>
            <w:vAlign w:val="bottom"/>
          </w:tcPr>
          <w:p>
            <w:pPr>
              <w:spacing w:after="0"/>
              <w:rPr>
                <w:sz w:val="21"/>
                <w:szCs w:val="21"/>
                <w:color w:val="auto"/>
              </w:rPr>
            </w:pPr>
          </w:p>
        </w:tc>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3"/>
        </w:trPr>
        <w:tc>
          <w:tcPr>
            <w:tcW w:w="10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100" w:type="dxa"/>
            <w:vAlign w:val="bottom"/>
          </w:tcPr>
          <w:p>
            <w:pPr>
              <w:spacing w:after="0"/>
              <w:rPr>
                <w:sz w:val="21"/>
                <w:szCs w:val="21"/>
                <w:color w:val="auto"/>
              </w:rPr>
            </w:pPr>
          </w:p>
        </w:tc>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7"/>
        </w:trPr>
        <w:tc>
          <w:tcPr>
            <w:tcW w:w="100" w:type="dxa"/>
            <w:vAlign w:val="bottom"/>
          </w:tcPr>
          <w:p>
            <w:pPr>
              <w:spacing w:after="0"/>
              <w:rPr>
                <w:sz w:val="20"/>
                <w:szCs w:val="20"/>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w:t>
            </w:r>
          </w:p>
        </w:tc>
      </w:tr>
      <w:tr>
        <w:trPr>
          <w:trHeight w:val="21"/>
        </w:trPr>
        <w:tc>
          <w:tcPr>
            <w:tcW w:w="10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10, 2023, the Company entered into a Loan and Security Agreement with K2 HealthVentures LLC (the “Loan Agreement”). The Loan Agreement provided the Company with a Term Loan in the aggregate principal amount of $50.0 million, of which the Company borrowed $30.0 million in the first tranche upon closing. The remaining $20.0 million is available for borrowing upon the Company’s request based on review of certain information and discretionary approval from the lenders. The principal amount of the Term Loan outstanding under the Loan Agreement bears interest per annum at the greater of (i) 9.65% or (ii) the sum of the prime rate last quoted in The Wall Street Journal plus 1.15% for such interest period. The Term Loan matures on November 1, 2027. The Loan Agreement provides for a final payment fee of an additional $1.6 million (the “Final Payment”) due upon repayment of the Term Loan. As security for its obligations under the Loan Agreement, the Company granted the lenders a security interest in substantially all of the Company’s assets (other than intellectual property).</w:t>
      </w:r>
    </w:p>
    <w:p>
      <w:pPr>
        <w:spacing w:after="0" w:line="1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principal and interest of the Term Loan are to be repaid in equal monthly installments beginning on July 1, 2026 through the maturity of the Loan Agreement. The Loan Agreement allows prepayment of the entire Term Loan or a portion of the Term Loan of more than $5.0 million, provided that any partial prepayment will leave outstanding borrowings of at least $15.0 million.</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lenders can elect to convert up to $2.5 million of the Term Loan (the “Conversion Amount”) into the Company’s common stock at a conversion price of $2.53 (the “Conversion Option”). Prior to the consummation of the Company’s Private Placement (as defined below), which constituted the Next Qualified Financing (as defined in the Loan Agreement) pursuant to which the Company received aggregate gross proceeds of at least $20.0 million, the lenders also had an option to convert the Conversion Amount at a conversion price equal to the lowest effective cash price per share of securities issued in such Next Qualified Financing (the “Share-Settled Redemption”). The Conversion Option and Share-Settled Redemption within the Loan Agreement were required to be bifurcated as a single compound embedded derivative (the “Embedded Derivatives”) at fair value, with subsequent changes in fair value recognized in the statements of operations and comprehensive loss.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On March 13, 2026, the Company entered into a securities purchase agreement with certain institutional and accredited investors for a private placement (the “Private Placement”) of shares of the Company’s common stock. See additional information regarding the Private Placement in </w:t>
      </w:r>
      <w:r>
        <w:rPr>
          <w:rFonts w:ascii="Times New Roman" w:cs="Times New Roman" w:eastAsia="Times New Roman" w:hAnsi="Times New Roman"/>
          <w:sz w:val="18"/>
          <w:szCs w:val="18"/>
          <w:i w:val="1"/>
          <w:iCs w:val="1"/>
          <w:color w:val="auto"/>
        </w:rPr>
        <w:t>Note 7.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The Private Placement was the Next Qualified Financing under the terms of the Loan Agreement and the lenders did not elect to convert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Amount at the time of the Private Placement. Therefore, the only remaining embedded derivative under the Loan Agreement is the Conversion Option as the Share-Settled Redemption is no longer an election available to the lenders.</w:t>
      </w:r>
    </w:p>
    <w:p>
      <w:pPr>
        <w:spacing w:after="0" w:line="14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In accordance with the Loan Agreement, the Company issued an equity-classified warrant to purchase 730,769 shares of common stock (the “Loan Warrant”), with an initial allocated fair value of $1.1 million. See additional discussion in </w:t>
      </w:r>
      <w:r>
        <w:rPr>
          <w:rFonts w:ascii="Times New Roman" w:cs="Times New Roman" w:eastAsia="Times New Roman" w:hAnsi="Times New Roman"/>
          <w:sz w:val="18"/>
          <w:szCs w:val="18"/>
          <w:i w:val="1"/>
          <w:iCs w:val="1"/>
          <w:color w:val="auto"/>
        </w:rPr>
        <w:t>Note 7. Stockholders’ Equity.</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initial recognition of the direct fees of $0.5 million, the Final Payment of $1.6 million, the fair value of the Embedded Derivatives at issuance of the Term Loan of $1.2 million and the fair value of the Loan Warrant of $1.1 million for the</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Loan Agreement resulted in a discount of $4.4 million, which is being amortized to interest expense over the term of the Loan Agreement using the effective interest method.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debt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 of Term Loan, including Final Payment of $1,635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bifurcated embedded derivatives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7"/>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31,161</w:t>
            </w:r>
          </w:p>
        </w:tc>
      </w:tr>
      <w:tr>
        <w:trPr>
          <w:trHeight w:val="243"/>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debt, short-term</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r>
      <w:tr>
        <w:trPr>
          <w:trHeight w:val="237"/>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 long-term</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22,396</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made principal payments of approximately $5.0 million on the Term Loan. No principal payments were made during the three and nine months ended September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interest expense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52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Interest expense based on the coupon interest rate of the outstanding</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4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2,195</w:t>
            </w: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942</w:t>
            </w:r>
          </w:p>
        </w:tc>
      </w:tr>
      <w:tr>
        <w:trPr>
          <w:trHeight w:val="262"/>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 related to debt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3,137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the effective interest rate for the Term Loan was 15.0% and 14.7%, respectively. For the three and nine months ended September 30, 2025, the effective interest rate for the Term Loan was 14.3% and 14.0%,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aggregate principal payments due for the Term Loan are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r>
      <w:tr>
        <w:trPr>
          <w:trHeight w:val="243"/>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21,531</w:t>
            </w:r>
          </w:p>
        </w:tc>
      </w:tr>
      <w:tr>
        <w:trPr>
          <w:trHeight w:val="262"/>
        </w:trPr>
        <w:tc>
          <w:tcPr>
            <w:tcW w:w="9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payments due for Term Loan</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21"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8"/>
          <w:szCs w:val="18"/>
          <w:color w:val="auto"/>
        </w:rPr>
        <w:t>As of September 30, 2026, the total number of shares of capital stock authorized to be issued per the Company’s Amended and Restated Certificate of Incorporation is 310,000,000, with 10,000,000 shares designated as preferred stock with a par value of $0.0001 per share, and 300,000,000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as common stock with a par value of $0.0001 per share. Each share of common stock issued and outstanding is entitled to one vote.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8"/>
          <w:szCs w:val="18"/>
          <w:color w:val="auto"/>
        </w:rPr>
        <w:t>On March 13, 2026, the Company entered into the Private Placement of 10,833,331 shares of the Company’s common stock, at an offering price of $3.30 per share. The Private Placement closed on March 16, 2026, for aggregate gross proceeds of approximately $35.7 million, before deducting offering costs of approximately $0.3 million. The Company intends to use the net proceeds from the Private Placement to primarily support its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including ongoing preclinical development work to support the advancement of a lead clinical candidate molecule, and for working capital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and other general corporate purposes. The Company filed a shelf registration statement on Form S-3 with the Securities and Exchange Commission on March 26, 2026 to register the shares sold in the Private Placement.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 The Market Equity Offering</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July 1, 2022, the Company filed a shelf registration statement on Form S-3 (the “2022 Registration Statement”). Pursuant to the 2022 Registration Statement, the Company may offer and sell securities having an aggregate public offering price of up to $200.0 million.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filing of the 2022 Registration Statement, the Company also entered into a sales agreement (the “Sales Agreement”) with BofA Securities, Inc. (“BofA”) and Stifel, Nicolaus &amp; Company, Incorporated (“Stifel”) as sales agents, pursuant to which the Company may issue and sell shares of its common stock for an aggregate offering price of up to $50.0 million under an at-the-market offering program (the “ATM”), which was included in the $200.0 million of securities that were registered for sale pursuant to the 2022 Registration Statement. On April 23, 2023, the Company entered into an amendment to the Sales Agreement (as amended, the “Amended Sales Agreement”) to add BTIG, LLC (“BTIG”) as a sales agent under the Amended Sales Agreement (BTIG, BofA and Stifel are collectively referred to as the “Sales Agents”). Pursuant to the Amended Sales Agreement, the Company will pay the Sales Agents a commission rate of up to 3.0% of the gross proceeds from the sale of any shares of the Company’s common stock made under the ATM. The Company is not obligated to make any sales of shares of its common stock under the ATM.</w:t>
      </w:r>
    </w:p>
    <w:p>
      <w:pPr>
        <w:spacing w:after="0" w:line="16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did not sell any shares of common stock under the ATM. The Company has issued shares of common stock for aggregate gross proceeds of $12.2 million under the ATM since the program’s inception.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27, 2024, the Company filed a shelf registration statement on Form S-3 (the “2024 Registration Statement”). Pursuant to the 2024 Registration Statement, the Company may offer and sell securities having an aggregate public offering price of up to $200.0 million. On November 13, 2025, the Company filed a prospectus supplement to the 2024 Registration Statement with respect to its ATM, designating up to $50.0 million of the $200.0 million of securities that may be offered pursuant to the 2024 Registration Statement for issuance under the ATM.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issued 791,052 and 446,756 shares, respectively, of its common stock in settlement of fully vested RSUs.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10, 2023, in accordance with the Loan Agreement, the Company issued the Loan Warrant to purchase 730,769 shares of its common stock at an exercise price of $1.95 with a ten-year contractual term and an allocated fair value of $1.1 million. This equity-classified warrant is outstanding as of September 30,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2021 Equity Incentive Plan (the “2021 Plan”), which provides for the grant of incentive stock options to employees and the grant of nonstatutory stock options, stock appreciation rights, restricted stock awards, RSUs, performance awards and other forms of stock awards to employees, directors and consultants, became effective on June 30, 2021. The 2021 Plan is a successor to the Company’s Amended and Restated Stock Performance Plan that was adopted by the Company’s board of directors and stockholders on April 8, 2013 (as amended from time to time, most recently on November 20, 2020, the “2013 Plan”). Following the effectiveness of the 2021 Plan, no further grants may be made under the 2013 Plan; however, any outstanding equity awards granted under the 2013 Plan continue to be governed by the terms of the 2013 Plan. As of September 30, 2026, there were 3,028,936 options outstanding under the 2013 Plan. On June 3, 2026, Acumen’s stockholders approved the adoption of the Company’s Amended and Restated 2021 Equity Incentive Plan (the “Amended and Restated 2021 Plan”) to (i) increase the number of shares available for issuance by 10,000,000 shares, (ii) remove the automatic “evergreen” share pool increase provision, and (iii) prohibit repricing of stock options without stockholder approval (other than in connection with certain corporate transactions).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Prior to the effectiveness of the Amended and Restated 2021 Plan, the number of shares of common stock reserved for issuance under the 2021 Plan automatically increased on January 1 of each calendar year, in an amount equal to 5% of the total number of shares of common stock outstanding on December 31 of the fiscal year before the date of each automatic increase, or a lesser number of shares determined by the board of directors prior to the applicable January 1. On January 1, 2026, the number of shares of common stock reserved for issuance under the 2021 Plan automatically increased by 3,028,768 shares.</w:t>
      </w:r>
    </w:p>
    <w:p>
      <w:pPr>
        <w:spacing w:after="0" w:line="14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maximum number of shares of common stock that may be issued upon the exercise of incentive stock options under the Amended and Restated 2021 Plan is 29,040,630. As of September 30, 2026, a total of 30,702,193 shares were authorized for issuance under the Amended and Restated 2021 Plan and 10,676,085 shares remained available for issuance under the Amended and Restated 2021 Plan.</w:t>
      </w:r>
    </w:p>
    <w:p>
      <w:pPr>
        <w:spacing w:after="0" w:line="14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and RSUs in the following expense categories of its condensed statements of operations and comprehensive loss for the periods shown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1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r>
      <w:tr>
        <w:trPr>
          <w:trHeight w:val="24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r>
      <w:tr>
        <w:trPr>
          <w:trHeight w:val="262"/>
        </w:trPr>
        <w:tc>
          <w:tcPr>
            <w:tcW w:w="4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Black-Scholes option-pricing model was used to estimate the fair value of stock options granted during the nine months ended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with the following weighted average assumptions: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420" w:type="dxa"/>
            <w:vAlign w:val="bottom"/>
            <w:gridSpan w:val="5"/>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8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r>
      <w:tr>
        <w:trPr>
          <w:trHeight w:val="186"/>
        </w:trPr>
        <w:tc>
          <w:tcPr>
            <w:tcW w:w="7820" w:type="dxa"/>
            <w:vAlign w:val="bottom"/>
          </w:tcPr>
          <w:p>
            <w:pPr>
              <w:spacing w:after="0"/>
              <w:rPr>
                <w:sz w:val="16"/>
                <w:szCs w:val="16"/>
                <w:color w:val="auto"/>
              </w:rPr>
            </w:pP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6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- 4.52%</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- 90%</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76% - 92%</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16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0%</w:t>
            </w: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nine months ended September 30, 2026 and 2025 was $1.47 per share and $1.25 per share, respectively.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Stock options granted after December 31, 2017 generally vest monthly over a range of 12 to 48 months or vest monthly over a total of 48 months following a one-year cliff and all have a 10-year contractual term. Beginning January 1, 2024, stock options granted to consultants vest quarterly over a one-year period, provided that such consultants continue to perform services as dictated by their respective consulting agreements with the Company. Annual option awards issued to members of the Company’s board of directors vest in full on the first anniversary of the grant date. Stock options granted prior to December 31, 2017 were either fully vested upon grant or generally vested monthly over a range of three to 24 months and also have a 10-year term. The Company’s common stock became publicly traded in July 2021. Prior to January 1, 2025, the Company lacked sufficient company-specific historical and implied volatility information for its common stock and estimated its expected stock volatility using a weighted average blend of historical volatility of a publicly traded set of peer companies, as well as its own historical volatility. Beginning on January 1, 2025, based on the availability of sufficient historical trading data of the Company’s common stock, the Company began using its historical volatility to estimate expected stock volatility. Due to the lack of historical exercise history, the expected term of the Company’s stock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summarized stock option activity during the nine months ended September 30,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5"/>
                <w:szCs w:val="15"/>
                <w:color w:val="auto"/>
              </w:rPr>
            </w:pPr>
          </w:p>
        </w:tc>
        <w:tc>
          <w:tcPr>
            <w:tcW w:w="13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 (in</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0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12,578,766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3,135,539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(193,052)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15,265,416</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September 30,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10,188,714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intrinsic value of stock options exercised during the nine months ended September 30, 2026 was approximately $0.2 million and the intrinsic value of stock options exercised during the nine months ended September 30, 2025 was immaterial. As of September 30, 2026, total unrecognized compensation costs related to unvested stock option awards were approximately $8.7 million, which the Company expects to recognize over a weighted-average period of approximately 2.1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RSUs granted to employees vest in equal annual installments on the first three anniversaries of the grant date and RSUs granted to members of the Company’s board of directors vest in full on the first anniversary of the grant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summarized RSU activity during the nine months ended September 30, 2026: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6"/>
        </w:trPr>
        <w:tc>
          <w:tcPr>
            <w:tcW w:w="79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1,907,976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3"/>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2,045,683</w:t>
            </w:r>
          </w:p>
        </w:tc>
        <w:tc>
          <w:tcPr>
            <w:tcW w:w="100" w:type="dxa"/>
            <w:vAlign w:val="bottom"/>
          </w:tcPr>
          <w:p>
            <w:pPr>
              <w:spacing w:after="0"/>
              <w:rPr>
                <w:sz w:val="21"/>
                <w:szCs w:val="21"/>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62"/>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2,999,389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September 30, 2026, total unrecognized compensation costs related to unvested RSUs were approximately $4.0 million, which the Company expects to recognize over a weighted-average period of approximately 1.6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2021 Employee Stock Purchase Plan (the “ESPP”), which permits employees to purchase shares of common stock, became effective on June 30, 2021. The number of shares of common stock reserved for issuance automatically increases on January 1 of each calendar year through January 1, 2031, by the lesser of (1) 1% of the total number of shares of common stock outstanding on the last day of the fiscal year before the date of the automatic increase, and</w:t>
      </w:r>
    </w:p>
    <w:p>
      <w:pPr>
        <w:spacing w:after="0" w:line="1" w:lineRule="exact"/>
        <w:rPr>
          <w:sz w:val="20"/>
          <w:szCs w:val="20"/>
          <w:color w:val="auto"/>
        </w:rPr>
      </w:pPr>
    </w:p>
    <w:p>
      <w:pPr>
        <w:ind w:firstLine="8"/>
        <w:spacing w:after="0" w:line="253"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 shares; provided, however, that before the date of any such increase, the board of directors may determine that such increase will be less than the amount set forth in clauses (1) and (2). On January 1, 2026, the number of shares of common stock reserved for issuance under the ESPP automatically increased by 605,754 shares. As of September 30, 2026, there were a total of 2,975,783 shares reserved for issuance under the ESPP and there have been no purchases of shares under the ESPP, as the ESPP has not yet been implemented.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SEGMENT REPORTING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manages its operations as a single reportable segment which includes research and development efforts for the treatment of AD. The CODM assesses performance and allocates resources for the segment based on segment net loss, which is reported on the statement of operations and comprehensive loss as net loss. The CODM uses segment net loss to monitor spending, assess performance for the Company and management, evaluate the progress of completing corporate goals and make decisions regarding the allocation of resources. Substantially all long-lived assets are located in the United States. The measure of segment assets is reported on the balance sheet as total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about the Company’s single operating segment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External costs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48,948</w:t>
            </w: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67,243</w:t>
            </w:r>
          </w:p>
        </w:tc>
      </w:tr>
      <w:tr>
        <w:trPr>
          <w:trHeight w:val="243"/>
        </w:trPr>
        <w:tc>
          <w:tcPr>
            <w:tcW w:w="3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Internally managed costs (1)</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w:t>
            </w:r>
          </w:p>
        </w:tc>
      </w:tr>
      <w:tr>
        <w:trPr>
          <w:trHeight w:val="243"/>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(2)</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r>
      <w:tr>
        <w:trPr>
          <w:trHeight w:val="24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segment expenses (3)</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78,824</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96,197</w:t>
            </w:r>
          </w:p>
        </w:tc>
      </w:tr>
      <w:tr>
        <w:trPr>
          <w:trHeight w:val="21"/>
        </w:trPr>
        <w:tc>
          <w:tcPr>
            <w:tcW w:w="3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60" w:hanging="252"/>
        <w:spacing w:after="0" w:line="261" w:lineRule="auto"/>
        <w:tabs>
          <w:tab w:leader="none" w:pos="2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Company-managed research, consultants and contractors, as well as internal personnel and operating expenses, and excludes stock-based compensation expense and depreciation.</w:t>
      </w:r>
    </w:p>
    <w:p>
      <w:pPr>
        <w:ind w:left="260" w:hanging="252"/>
        <w:spacing w:after="0" w:line="236" w:lineRule="auto"/>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stock-based compensation expense and depreciation.</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 stock-based compensation expense and depreciation.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58"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In July 2025, the Company entered into a collaboration, option and license agreement with JCR to develop an Aβ oligomer-targeted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therapy for the treatment of AD. Under the terms of the agreement, the Company paid JCR an upfront license payment, which was recognized as in-process research and development expense during the year ended December 31, 2025. In June 2026, the Company nominated two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candidates for the treatment of AD pursuant to its collaboration agreement with JCR and exercised its exclusive option to license and develop such development candidates. The option exercise payment of $9.25 million was recognized as in-process research and development expense during the nine months ended September 30, 2026. JCR will also be eligible to receive future milestone payments of up to $40.0 million related to development, and up to $515.0 million related to sales, for a total of up to $555.0 million, as well as single-digit percentage royalties on sales of any products that emerge from the collaboration.</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2023, the Company entered into a Non-exclusive Collaboration and License Agreement (the “Halozyme License Agreement”) with Halozyme, Inc. (“Halozyme”). Under the terms of the Halozyme License Agreement, Halozyme granted the Company a non-exclusive license to Halozyme’s drug delivery technology for the development of a subcutaneous formulation of sabirnetug (such combination, the “Halozyme Product”). In January 2024, the Company paid a seven-figure upfront license payment for the Halozyme Product. The Company is required to make milestone payments upon the achievement of certain development and commercialization events with respect to the Halozyme Product, as well as milestone payments based on achievement of certain net sales levels of the Halozyme Product. The Company will also make single-digit royalty payments based on worldwide net sales of the Halozyme Product. The upfront license payment and milestones are recorded as in-process research and development expense when incurred.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2022, the Company entered into a License Agreement (the “Lonza License Agreement”) with Lonza Sales AG (“Lonza”). Under the terms of the Lonza License Agreement, Lonza granted the Company a worldwide non-exclusive license to use Lonza’s glutamine synthetase gene expression system to manufacture and commercialize sabirnetug (the “Lonza Product”). Under the terms of the Lonza License Agreement, in consideration of the licenses and consents granted to the Company, the Company paid an upfront fee of 1.0 million Swiss Francs. The Company is also required to pay certain royalties upon commercialization and annual payments on a country-by-country basis in respect of the manufacturing and sale of the Lonza Product, which include (i) a royalty of less than 1% on net sales where Lonza manufactures the Lonza Product, (ii) an annual royalty payment in Swiss Francs in the low six figures and a royalty of less than 1% on net sales where the Company manufactures the Lonza Product and (iii) an annual payment in Swiss Francs in the mid-six figures per sublicense and a royalty on net sales in the low single digits where a third party manufactures the Lonza Product. These payment obligations expire ten years from the first commercial sales of the Lonza Product in such country of sale.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related notes included elsewhere in this Quarterly Report on Form 10-Q and in the audited financial statements and notes thereto as of and for the year ended December 31, 2025 and the related Management’s Discussion and Analysis of Financial Condition and Results of Operations, included in our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the Annual Report for a discussion of important factors that could cause our actual results to differ materially from those described in or implied by these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a novel disease-modifying approach targeting what we believe to be a key underlying cause of Alzheimer’s disease, or AD. Alzheimer’s disease is a progressive neurodegenerative disease of the brain that leads to loss of memory and cognitive functions and ultimately results in death. Our scientific founders pioneered research on soluble amyloid-beta oligomers, or AβOs, which are globular assemblies of the amyloid-beta, or Aβ, peptide that are distinct from Aβ monomers and amyloid plaques. Based on decades of research and supporting evidence, AβOs have gained increasing scientific acceptance as a primary toxin involved in the initiation and propagation of AD pathology. We are currently focused on advancing a targeted immunotherapy drug candidate, sabirnetug, in our Phase 2 ALTITUDE-AD clinical trial. We plan to announce top-line results in November 2026. Top-line results are expected to include the difference compared to placebo after 18 months as measured by the Integrated Alzheimer’s Disease Rating Scale, or iADRS, our primary clinical efficacy endpoint, as well as key secondary endpoints, such as Clinical Dementia Rating – Sum of the Boxes, or CDR-SB, certain safety measures such as adverse event rates, including amyloid-related imaging abnormalities, or ARIA rates, and key biomarkers. ALTITUDE-AD is a randomized, double-blind, placebo-controlled, three-arm clinical trial designed to evaluate the clinical efficacy, safety and tolerability of sabirnetug with up to 180 participants per arm for a total of 542 participants with mild cognitive impairment or mild dementia due to AD. We plan to use iADRS at 18 months as the primary outcome measure. The active doses for ALTITUDE-AD are 35 mg/kg and 50 mg/kg, dosed intravenously every four weeks. These dose levels and frequency were selected based on extensive pharmacokinetic and pharmacodynamic modeling of our Phase 1 INTERCEPT-AD clinical trial of sabirnetug. Participants who complete the double-blind portion of ALTITUDE-AD are eligible to enroll in an open-label extension portion of the clinical trial. Sabirnetug is a recombinant humanized immunoglobulin gamma 2, or IgG2, monoclonal antibody, or mAb, that was designed to selectively target AβOs. In July 2023, we announced top-line results from INTERCEPT-AD, which demonstrated that sabirnetug met the primary and secondary objectives of this clinical trial in 62 participants with early AD.</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announced the results of a Phase 1 clinical trial investigating a subcutaneous dosing option of sabirnetug in March 2025. This study in healthy volunteers enrolled 16 subjects who received four weekly subcutaneous doses of 1,200 mg of sabirnetug and 12 subjects who received a single intravenous dose of 2,800 mg of sabirnetug. The most frequently reported adverse events included injection site reactions (62.5%), all of which were mild (Grade 1) in severity and resolved. No other safety issues were identified. Additionally, subcutaneous administration of sabirnetug was shown to produce sufficient systemic exposure to support further development of this formulation as a more convenient administration option for patients.</w:t>
      </w:r>
    </w:p>
    <w:p>
      <w:pPr>
        <w:spacing w:after="0" w:line="153" w:lineRule="exact"/>
        <w:rPr>
          <w:sz w:val="20"/>
          <w:szCs w:val="20"/>
          <w:color w:val="auto"/>
        </w:rPr>
      </w:pPr>
    </w:p>
    <w:p>
      <w:pPr>
        <w:ind w:right="120"/>
        <w:spacing w:after="0" w:line="219" w:lineRule="auto"/>
        <w:rPr>
          <w:sz w:val="20"/>
          <w:szCs w:val="20"/>
          <w:color w:val="auto"/>
        </w:rPr>
      </w:pPr>
      <w:r>
        <w:rPr>
          <w:rFonts w:ascii="Times New Roman" w:cs="Times New Roman" w:eastAsia="Times New Roman" w:hAnsi="Times New Roman"/>
          <w:sz w:val="18"/>
          <w:szCs w:val="18"/>
          <w:color w:val="auto"/>
        </w:rPr>
        <w:t>In addition, we are investigating a blood-brain barrier-penetrating, Aβ oligomer-targeted Enhanced Brain Delivery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therapy for the treatment of AD. In March 2026, we announced certain preclinical data from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candidates,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non-human primate study results, supporting the advancement of the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(1)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candidates achieved 14-40x higher brain levels in non-human primates compared to native antibodies 24 hours after dosing; (2) hematology data in non-human primates indicated low potential for anemia, including that, at 24 hours after subcutaneous dosing,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candidates demonstrated no observed change in red blood cell count, hematocrit, hemoglobin or reticulocyte count; and (3) favorable stability profile and enhanced brain delivery support a path to subcutaneous administration with low-volume devices. Following these robust preclinical data from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in June 2026 we announced the nomination of two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candidates, ACU301 and ACU401. Based on these developments, an investigational new drug, or IND, application for the lead candidate is targeted for mid-2027. This stems from our July 2025 entry into a collaboration, option and license agreement with JCR Pharmaceuticals Co. Ltd., or JCR, to develop an Aβ oligomer-targeted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therapy for the treatment of AD. Under the terms of the agreement, during the year ended December 31, 2025, we made an upfront license payment to JCR and, in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June 2026, we exercised our exclusive option to license and develop two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candidates, which required an option exercise payment of $9.25 million that was paid to JCR in July 2026. JCR will also be eligible to receive future milestone payments of up to $40.0 million related to development, and up to $515.0 million related to sales, for a total of up to $555.0 million, as well as single-digit percentage royalties on sales of any products that emerge from the collaboration. The combination of sabirnetug or additional, novel, AβO-selective antibodies with JCR’s blood-brain barrier-penetrating technology, J-Brain Cargo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strengthens our portfolio of AβO-targeted therapies. The partnership is designed to advance potential next-generation treatment options for people living with AD, by targeting the development of products with enhanced efficacy, safety and convenience.</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were incorporated in 1996 and were party to an exclusive license and research collaboration with Merck &amp; Co., Inc., or Merck, in 2003. Although we acquired the exclusive rights to sabirnetug from Merck in 2011 following Merck’s strategic decision to focus its AD development efforts on a different product candidate, we did not recommence meaningful operations until we completed our first institutional fundraising in 2018. Since 2018, we have devoted substantially all of our efforts to organizing and staffing our company, business planning, raising capital, conducting discovery, research and development activities, and providing general and administrative support for these operations. We do not have any products approved for sale and have not generated any revenue from product sales. We have funded our operations primarily through the sale of our convertible preferred stock and common stock, the issuance of notes, entry into a term loan facility, grant revenue and, during our collaboration with Merck, certain payments received under our collaboration agreement.</w:t>
      </w:r>
    </w:p>
    <w:p>
      <w:pPr>
        <w:spacing w:after="0" w:line="1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November 2023, we entered into a loan and security agreement, or the Loan Agreement, with K2 HealthVentures LLC, or, together with its affiliates, K2HV. The Loan Agreement provides us with a term loan facility in the aggregate principal amount of up to $50.0 million, of which we have borrowed $30.0 million in the first tranche and which was funded upon closing. The remaining $20.0 million is available for borrowing upon our request, subject to review by the lenders of certain information from us and discretionary approval by the lenders. The term loan facility matures on November 1, 2027. In accordance with the Loan Agreement, we issued to K2HV a warrant to purchase up to 730,769 shares of our common stock at an exercise price of $1.95 per share. During the three and nine months ended September 30, 2026, we made principal payments of approximately $5.0 million in connection with the Loan Agreement.</w:t>
      </w:r>
    </w:p>
    <w:p>
      <w:pPr>
        <w:spacing w:after="0" w:line="14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On March 13, 2026, we entered into a securities purchase agreement with certain institutional and accredited investors for a private placement, or the Private Placement, of 10,833,331 shares of our common stock, at an offering price of $3.30 per share. The Private Placement closed on March 16, 2026, for aggregate gross proceeds of approximately $35.7 million, before deducting offering costs of approximately $0.3 million. We intend to use the net proceeds from the Private Placement to primarily support our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including ongoing preclinical development work to support the advancement of a lead clinical candidate molecule, and for working capital and other general corporate purposes.</w:t>
      </w:r>
    </w:p>
    <w:p>
      <w:pPr>
        <w:spacing w:after="0" w:line="1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have incurred net losses and negative cash flows from operations since our inception. Our net losses were $78.8 million and $96.2 million for the nine months ended September 30, 2026 and 2025, respectively. Approximately $65.4 million, or 83%, of the net loss for the nine months ended September 30, 2026 was due to research and development spending. As of September 30, 2026, we had an accumulated deficit of $525.3 million and cash and cash equivalents and marketable securities of $78.6 million. We expect our expenses and operating losses will increase substantially for the foreseeable future as we continue clinical development activities for sabirnetug, advance our EBD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program, seek to expand our product candidate portfolio through developing additional product candidates, and incur ongoing costs associated with operating as a public company. It is likely that we will seek third-party collaborators for the future commercialization of sabirnetug or any other product candidate that is approved for marketing. Should we seek to commercialize our products at our own expense, we would incur significant additional expenses for marketing, sales, manufacturing and distribution. We will not generate revenue from product sales unless and until we successfully complete clinical development and obtain regulatory approval for our product candidates.</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In addition, global economic conditions may impact our ability to raise additional funds, and we may be impacted by disruptions to, and volatility in, the credit and financial markets in the United States and worldwide, tariff policy and geopolitical tensions between the United States and foreign countries, rising inflation and supply disruptions, the ongoing conflicts between Russia and Ukraine, the recent military actions involving Iran, and the Israel-Hamas war and related sanctions, and otherwise. If these conditions persist and deepen, we could experience an inability to access additional capital, or our liquidity could otherwise be impacted. If</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unable to raise capital when needed or on attractive terms, we would be forced to delay, reduce or eliminate our research and development programs and/or future commercialization efforts. Our failure to raise capital or enter into such agreements as and when needed could have a material adverse effect on our business, results of operations and financial condition.</w:t>
      </w:r>
    </w:p>
    <w:p>
      <w:pPr>
        <w:spacing w:after="0" w:line="14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evaluated whether there are conditions and events, considered in the aggregate, that raise substantial doubt about our ability to continue as a going concern. Based on our current operating plan, we expect that our current balance of cash and cash equivalents and marketable securities will fund our operations into early 2027, but we believe it will not be enough to fund our operations for at least 12 months from the date of issuance of our financial statements included in this Quarterly Report on Form 10-Q. Our cash forecast contains estimates and assumptions related to our ongoing clinical trial and other research and development expenses, and we cannot predict the amount or timing of all expenditures with certainty. Accordingly, we have concluded that substantial doubt exists about our ability to continue as a going concern. See “Liquidity, Capital Resources and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expenses and general and administrative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Research and development costs primarily consist of direct costs associated with consultants and materials, biologic shipping and storage, third-party contract research organizations, or CROs, and contract manufacturing organizations, or CMOs, license agreements, salaries and other personnel-related expenses. Research and development costs are expensed as incurred. More specifically, these costs include:</w:t>
      </w:r>
    </w:p>
    <w:p>
      <w:pPr>
        <w:spacing w:after="0" w:line="68" w:lineRule="exact"/>
        <w:rPr>
          <w:sz w:val="20"/>
          <w:szCs w:val="20"/>
          <w:color w:val="auto"/>
        </w:rPr>
      </w:pPr>
    </w:p>
    <w:p>
      <w:pPr>
        <w:ind w:left="980" w:right="42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that conduct research and development and nonclinical and clinical activities on our behalf;</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manufacturing drug supply and drug product;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conducting nonclinical studies and clinical trials of our product candidates;</w:t>
      </w:r>
    </w:p>
    <w:p>
      <w:pPr>
        <w:spacing w:after="0" w:line="117" w:lineRule="exact"/>
        <w:rPr>
          <w:rFonts w:ascii="Times New Roman" w:cs="Times New Roman" w:eastAsia="Times New Roman" w:hAnsi="Times New Roman"/>
          <w:sz w:val="18"/>
          <w:szCs w:val="18"/>
          <w:color w:val="auto"/>
        </w:rPr>
      </w:pPr>
    </w:p>
    <w:p>
      <w:pPr>
        <w:ind w:left="980" w:right="70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professional fees related to research and development activities, including noncash stock-based compensation to non-employees;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pursuant to our license agreements;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 and</w:t>
      </w:r>
    </w:p>
    <w:p>
      <w:pPr>
        <w:spacing w:after="0" w:line="117"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noncash stock-based compensation expenses for our research and development personnel.</w:t>
      </w:r>
    </w:p>
    <w:p>
      <w:pPr>
        <w:spacing w:after="0" w:line="12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color w:val="auto"/>
        </w:rPr>
        <w:t>We do not separately track expenses by program as we currently have only one clinical-stage product candidate, sabirnetug, and our preclinical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candidates, all of which are focused on the research and development of treatments for AD. Further, we have historically relied primarily on consultants for research and development activities; our internal research and development personnel costs currently represent approximately 20% of our total research and development expenses. Our total research and development expenses have increased substantially since initiating the clinical trial program for sabirnetug in 2021. Our research and development expenses could increase in connection with our continued clinical development activities for sabirnetug and the advancement of our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noncash stock-based compensation costs, as well as business insurance, management and business consultants and other related costs. General and administrative expenses also include professional fees for legal, consulting, accounting, auditing, tax and patent services, investor and public relations, board of directors’ expenses, information technology, franchise taxes, rent, travel expenses and subscriptions.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remain consistent for the foreseeable future and may increase as our organization and headcount required in the future grows to support continued research and development activities and potential commercialization of our product candidates. These increases will likely include increased costs related to the hiring of additional personnel and fees incurred for outside consultants, attorneys and accountants, among other expenses.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Additionally, we expect to continue to incur significant expenses associated with being a public company, including costs of additional personnel, accounting, audit, legal, regulatory and tax-related services associated with maintaining compliance with exchange listing and Securities and Exchange Commission, or SEC, requirements, director and officer insurance costs, and investor and public relations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Other income (expense) includes interest income, interest expense, change in fair value of embedded derivatives and other expense, net. Interest income consists of interest income earned, as well as amortization and accretion of premiums and discounts, related to our investments in marketable securities. Interest expense includes interest due under the Loan Agreement, as well as the amortization of the related debt discount. The change in fair value of embedded derivatives relates to the embedded derivatives that were bifurcated from the term loan, borrowed under the Loan Agreement, and accounted for as a derivative at fair value which is remeasured at each reporting period for the term of the loan. Other expense, net generally consists of fees incurred on our investments in marketable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2026 and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92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7"/>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embedded derivatives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were $21.1 million and $22.0 million for the three months ended September 30, 2026 and 2025, respectively. The $0.9 million decrease was primarily due to reductions of $0.9 million for manufacturing and materials costs and $0.7 million for CRO costs, which are both associated with our ALTITUDE-AD clinical trial. Additionally, we realized decreases of $0.8 million for license agreements related to our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and $0.2 million for other ALTITUDE-AD clinical trial costs. Partially offsetting the decreased expenses was an increase of $1.7 million for other research and development expenses primarily due to preclinical and IND-enabling work on our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candidates.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$4.7 million and $4.5 million for the three months ended September 30, 2026 and 2025, respectively. The $0.2 million increase was primarily due to increases in personnel costs of $0.4 million, including a $0.2 million increase for stock-based compensation expense, and legal fees of $0.1 million, which were partially offset by a decrease for state tax expenses of $0.3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Other income was $0.4 million and $0.1 million for the three months ended September 30, 2026 and 2025, respectively. The $0.3 million increase was primarily attributable to $1.1 million of increased income recognized with the change in fair value of our embedded derivatives related to the Loan Agreement, and was partially offset by a $0.8 million decrease in interest income on our portfolio of marketable securities due primarily to a lower average investment balance during the three months ended September 30, 2026, with the utilization of cash from investment maturities supporting our ongoing operating cash needs.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2026 and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16"/>
                <w:szCs w:val="16"/>
                <w:color w:val="auto"/>
              </w:rPr>
            </w:pPr>
          </w:p>
        </w:tc>
        <w:tc>
          <w:tcPr>
            <w:tcW w:w="18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92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84,359</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embedded derivatives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(96,197)</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color w:val="auto"/>
        </w:rPr>
        <w:t>Not meaningful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$65.4 million and $84.4 million for the nine months ended September 30, 2026 and 2025, respectively. The</w:t>
      </w:r>
    </w:p>
    <w:p>
      <w:pPr>
        <w:spacing w:after="0" w:line="2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$19.0 million decrease was primarily due to reductions of $22.7 million for manufacturing and materials costs and $7.4 million for CRO costs, which are both associated with our ALTITUDE-AD clinical trial. The majority of the manufacturing activity needed for ALTITUDE-AD concluded by the end of 2025, resulting in a significant reduction in expense for the nine months ended September 30, 2026. CRO expenses incurred in the nine months ended September 30, 2026 also decreased as compared to the prior year period as certain CRO activities have been completed at this stage of the ALTITUDE-AD clinical trial, and investigator grant expenses are lower for patients enrolled in the open-label extension portion of the ALTITUDE-AD clinical trial as compared to the double-blind portion of the clinical trial. Additionally, we realized a decrease of $0.2 million for contractors and consultants. The decrease in research and development expense was partially offset by increases of $8.5 million for license agreements related to our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$1.2 million for other ALTITUDE-AD clinical trial expenses, $1.1 million for other research and development expenses primarily due to preclinical and IND-enabling work on our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candidates, and $0.5 million in personnel-related costs, including a $0.2 million increase for stock-based compensation expenses. License agreement expense for the nine months ended September 30, 2026 includes the $9.3 million option exercise payment, as compared to the $0.8 million upfront license payment made during the nine months ended September 30, 2025; both were paid pursuant to our collaboration, option and license agreement with JCR.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were $14.1 million and $14.3 million for the nine months ended September 30, 2026 and 2025, respectively. The $0.2 million decrease was primarily due to reductions in state tax expenses of $0.3 million, consulting expenses of $0.2 million, insurance expenses of $0.2 million and audit and other accounting services expenses of $0.2 million, partially offset by an increase in personnel costs of approximately $0.7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Other income was $0.7 million and $2.4 million for the nine months ended September 30, 2026 and 2025, respectively. The $1.7 million decrease was primarily attributable to a $3.1 million decrease in interest income on our portfolio of marketable securities due primarily to a lower average investment balance during the nine months ended September 30, 2026 with the utilization of cash from investment maturities supporting our ongoing operating cash needs. This decrease was partially offset by increased income of $1.2 million associated with the change in fair value of our embedded derivatives related to the Loan Agreement and a decrease of $0.2 million for other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Going Concern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inception. We have not generated any revenue from product sales or any other sources other than grant revenue and have incurred significant operating losses. We have not yet commercialized any products and we do not expect to generate revenue from sales of any drug candidates for at least several years, if ever.</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operations have been financed primarily by net proceeds from the sale and issuance of our common stock and convertible preferred stock, net proceeds from our initial and subsequent public offerings, the Private Placement and from sales of shares of our common stock under our ATM, borrowings under the Loan Agreement, the issuance of notes, grant revenue and, during our collaboration with Merck, which was in place from 2003 to 2011, certain payments received under our collaboration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27, 2024, we filed a shelf registration statement on Form S-3, or the 2024 Registration Statement. Pursuant to the 2024 Registration Statement,</w:t>
      </w:r>
    </w:p>
    <w:p>
      <w:pPr>
        <w:spacing w:after="0" w:line="5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may offer and sell securities having an aggregate public offering price of up to $200.0 million. On November 13, 2025, we filed a prospectus supplement to the 2024 Registration Statement with respect to our ATM, designating up to $50.0 million of the $200.0 million of securities that may be offered pursuant to the 2024 Registration Statement for issuance under the ATM.</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 sales agreement, or, as amended, the Sales Agreement, with BofA Securities, Inc., Stifel, Nicolaus &amp; Company, Incorporated and BTIG, LLC as sales agents, pursuant to which we may issue and sell shares of our common stock for an aggregate offering price of up to $50.0 million under the ATM, which is included in the $200.0 million of securities that may be offered pursuant to the 2024 Registration Statement. Pursuant to the Sales Agreement, we will pay the sales agents a commission rate of up to 3.0% of the gross proceeds from the sale of any shares of our common stock. We are not obligated to make any sales of shares of our common stock under the ATM.</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no shares of common stock were issued under our ATM. We have issued shares of common stock for aggregate gross proceeds of $12.2 million under the ATM since the program’s inception.</w:t>
      </w:r>
    </w:p>
    <w:p>
      <w:pPr>
        <w:spacing w:after="0" w:line="12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On March 13, 2026, we entered into a Private Placement of 10,833,331 shares of our common stock, at an offering price of $3.30 per share. The Private Placement closed on March 16, 2026, for aggregate gross proceeds of approximately $35.7 million, before deducting offering costs of approximately $0.3 million. We intend to use the net proceeds from the Private Placement to primarily support our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including ongoing preclinical development work to support the advancement of a lead clinical candidate molecule, and for working capital and other general corporate purposes.</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2026, we had cash and cash equivalents and marketable securities totaling $78.6 million. Our available-for-sale marketable securities mature in six months or less. We could exhaust our available capital resources sooner than we expect, including if we decide to initiate other clinical trials or programs. We evaluated whether there are conditions and events, considered in the aggregate, that raise substantial doubt about our ability to continue as a going concern. Based on our current operating plan, we do not expect the current balance of our cash and cash equivalents and marketable securities will be sufficient to fund our operations for at least 12 months from the date of issuance of our unaudited condensed financial statements included in this Quarterly Report on Form 10-Q. The current balance of our cash and cash equivalents and marketable securities is expected to fund our operations into early 2027. Accordingly, management has concluded that substantial doubt exists regarding our ability to continue as a going concern.</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CMOs for clinical trials, nonclinical research studies and testing, manufacturing and other services and products for operating purposes. These contracts do not contain any minimum purchase commitments and are generally cancellable by us after giving a certain amount of notice. Payments due upon cancellation consist only of payments for services provided and expenses incurred up to the date of cancellation.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107,683</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7"/>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decrease in net cash used in operations of $27.5 million to $68.9 million for the nine months ended September 30, 2026, from $96.4 million for the nine months ended September 30, 2025, is primarily attributable to a decrease in net loss for the nine months ended September 30, 2026 of $17.3 million, a decrease in noncash adjustments of $0.2 million and working capital changes of $10.4 million. Significant changes in noncash items consisted of the change in fair value of embedded derivatives of $1.2 million, a decrease in noncash income for amortization and accretion on marketable securities of $0.7 million, an increase in stock-based compensation expense of $0.2 million and an increase in noncash interest expense of $0.1 million. Working capital changes contributed $10.4 million to the reduction in cash used in operations, including decreases in cash used for accounts payable and accrued clinical trial expenses of $10.4 million and $3.3 million, respectively, which were partially offset by a decrease in cash provided by prepaid expenses and other current assets of $2.3 million and an increase in cash used for accrued expenses and other liabilities of $1.0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decreased by $70.3 million to $37.4 million for the nine months ended September 30, 2026 from $107.7 million for the nine months ended September 30, 2025. This decrease was primarily due to a decrease in proceeds from maturities and sales of marketable securities of $67.6 million and an increase in purchases of marketable securities of $2.8 million, partially offset by a $0.1 million decrease in purchases of property and equipment.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Net cash provided by financing activities during the nine months ended September 30, 2026 increased to $30.5 million from net cash used in financing activities of less than $0.1 million during the nine months ended September 30, 2025. Cash provided by financing activities during the nine months ended September 30, 2026 was primarily due to net proceeds of $35.4 million from the issuance of common stock in connection with the Private Placement and $0.2 million of proceeds from the exercise of stock options, which were partially offset by $5.0 million of principal payments made in connection with the Loan Agreement and $0.1 million paid for employee withholding taxes resulting from the repurchase of common shares following the vesting of RSUs.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our research and development, conduct clinical trials and seek marketing approval for our current and any of our future product candidates. Furthermore, we expect to incur additional costs associated with operating as a public company. It is likely that we will seek third-party collaborators for the future commercialization of sabirnetug or any other product candidate that is approved for marketing. Should we seek to commercialize our products at our own expense, we would incur significant additional expenses for marketing, sales, manufacturing and distribution, which costs we may seek to offset through entry into collaboration agreements with third parties. As a result, we expect that we will need to obtain substantial additional funding in connection with our future operations. If we are unable to raise capital when needed or on acceptable terms, we could be forced to delay, reduce or eliminate our research and development programs or future commercialization efforts.</w:t>
      </w:r>
    </w:p>
    <w:p>
      <w:pPr>
        <w:spacing w:after="0" w:line="1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believe there is substantial doubt about our ability to continue as a going concern for at least 12 months following the date of issuance of our unaudited condensed financial statements included in this Quarterly Report on Form 10-Q. We could exhaust our available capital resources sooner than we expect, including if we decide to initiate other clinical trials or programs. In addition, changing circumstances may cause us to increase our spending significantly faster than we currently anticipate, and we may need to spend more money than currently expected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because of circumstances beyond our control. We may need to raise additional funds sooner than anticipated if we choose to expand more rapidly than we presently anticipate.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some of which are outside of our control, including but not limited to:</w:t>
      </w:r>
    </w:p>
    <w:p>
      <w:pPr>
        <w:spacing w:after="0" w:line="54" w:lineRule="exact"/>
        <w:rPr>
          <w:sz w:val="20"/>
          <w:szCs w:val="20"/>
          <w:color w:val="auto"/>
        </w:rPr>
      </w:pPr>
    </w:p>
    <w:p>
      <w:pPr>
        <w:ind w:left="980" w:right="2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timing and results of ALTITUDE-AD and other potential clinical trials of sabirnetug, including for potential additional indications that we may pursue beyond AD;</w:t>
      </w:r>
    </w:p>
    <w:p>
      <w:pPr>
        <w:spacing w:after="0" w:line="53" w:lineRule="exact"/>
        <w:rPr>
          <w:rFonts w:ascii="Times New Roman" w:cs="Times New Roman" w:eastAsia="Times New Roman" w:hAnsi="Times New Roman"/>
          <w:sz w:val="18"/>
          <w:szCs w:val="18"/>
          <w:color w:val="auto"/>
        </w:rPr>
      </w:pPr>
    </w:p>
    <w:p>
      <w:pPr>
        <w:ind w:left="980" w:right="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U.S. Food and Drug Administration, or the FDA, and European Medicines Agency, or EMA, and comparable foreign regulatory authorities, for clinical trials and nonclinical studies and other work, for review and approval of sabirnetug for AD;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EMA and any other regulatory approvals;</w:t>
      </w:r>
    </w:p>
    <w:p>
      <w:pPr>
        <w:spacing w:after="0" w:line="127"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our progress and success in investigating EBD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therapy for AD;</w:t>
      </w:r>
    </w:p>
    <w:p>
      <w:pPr>
        <w:spacing w:after="0" w:line="62" w:lineRule="exact"/>
        <w:rPr>
          <w:rFonts w:ascii="Arial" w:cs="Arial" w:eastAsia="Arial" w:hAnsi="Arial"/>
          <w:sz w:val="20"/>
          <w:szCs w:val="20"/>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quantities of our product candidates from our third-party manufacturers;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commercialization capabilities if we were to elect to commercialize one or more products on our own;</w:t>
      </w:r>
    </w:p>
    <w:p>
      <w:pPr>
        <w:spacing w:after="0" w:line="53" w:lineRule="exact"/>
        <w:rPr>
          <w:rFonts w:ascii="Times New Roman" w:cs="Times New Roman" w:eastAsia="Times New Roman" w:hAnsi="Times New Roman"/>
          <w:sz w:val="18"/>
          <w:szCs w:val="18"/>
          <w:color w:val="auto"/>
        </w:rPr>
      </w:pPr>
    </w:p>
    <w:p>
      <w:pPr>
        <w:ind w:left="980" w:right="20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economics and other terms, timing of and success of any collaboration, licensing or other arrangements into which we may enter for the commercialization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other terms, timing and success, of acquiring, in-licensing or investing in businesses, product candidates and technologies;</w:t>
      </w:r>
    </w:p>
    <w:p>
      <w:pPr>
        <w:spacing w:after="0" w:line="117" w:lineRule="exact"/>
        <w:rPr>
          <w:rFonts w:ascii="Times New Roman" w:cs="Times New Roman" w:eastAsia="Times New Roman" w:hAnsi="Times New Roman"/>
          <w:sz w:val="18"/>
          <w:szCs w:val="18"/>
          <w:color w:val="auto"/>
        </w:rPr>
      </w:pPr>
    </w:p>
    <w:p>
      <w:pPr>
        <w:ind w:left="980" w:right="14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management and hire scientific and clinical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drugs and product candidates and other market developments;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 funding may not be available to us on acceptable terms or at all. Any such funding may result in dilution to stockholders, imposition of debt covenants and repayment obligations or other restrictions that may affect our business. We also could be required to seek funds through arrangements with collaborative partners or otherwise that may require us to relinquish rights to some of our technologies or product candidates or otherwise agree to terms unfavorable to us. Any funds we raise may not be sufficient to enable us to continue to implement our long-term business strategy. Further, our ability to raise additional capital may be adversely impacted by global economic conditions and the recent disruptions to and volatility in the credit and financial markets in the United States and worldwide, as well as tariff policy and geopolitical tensions between the United States and foreign countries. Additionally, escalation in interest rates may lead financial institutions to become more selective with capital deployment and to tighten lending practices. If we are unable to raise sufficient additional capital on a timely basis, we could be forced to curtail our planned operations and the pursuit of our business strategy, which would have a material adverse effect on the value of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or U.S. GAAP, requires management to make estimates and assumptions that affect the reported amounts of assets and liabilities and the disclosure of contingent assets and liabilities at the date of the unaudited condensed financial statements and the reported amounts of expenses incurred during the reporting periods. Our estimates and assumptions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description of our significant accounting policies is included in our Annual Report on Form 10-K. Please read the unaudited condensed financial statements and notes included in this Quarterly Report on Form 10-Q in conjunction with our audited financial statements and accompanying notes in our Annual Report on Form 10-K.</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that require significant judgments and estimates are more fully described under the heading “Management’s Discussion and Analysis of Financial Condition and Results of Operations—Critical Accounting Policies, Significant Judgments and Use of Estimates” in our Annual Report and in Note 2 to our audited financial statements contained in our Annual Report. There have been no significant changes to our critical accounting policies that require significant judgments and estimates from those disclosed in our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to use the extended transition period for complying with new or revised accounting standards, which delays the adoption of these accounting standards until they would apply to private companies.</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4"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17" w:lineRule="exact"/>
        <w:rPr>
          <w:rFonts w:ascii="Times New Roman" w:cs="Times New Roman" w:eastAsia="Times New Roman" w:hAnsi="Times New Roman"/>
          <w:sz w:val="18"/>
          <w:szCs w:val="18"/>
          <w:color w:val="auto"/>
        </w:rPr>
      </w:pPr>
    </w:p>
    <w:p>
      <w:pPr>
        <w:ind w:left="980" w:right="20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w:t>
      </w:r>
    </w:p>
    <w:p>
      <w:pPr>
        <w:spacing w:after="0" w:line="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color w:val="auto"/>
        </w:rPr>
        <w:t>$1.0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14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is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September 30, 2026. Based on the evaluation of our disclosure controls and procedures, our management concluded that, as of September 30, 2026, our disclosure controls and procedures were effective to provide reasonable assurance that the information required to be disclosed by us in this Quarterly Report on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September 30, 2026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“Risk Factors” of our Annual Report on Form 10-K for the year ended December 31, 2025. There have been no material changes to the risk factors as described in our Annual Report on Form 10-K for the year ended December 31, 2025, except as follows:</w:t>
      </w:r>
    </w:p>
    <w:p>
      <w:pPr>
        <w:spacing w:after="0" w:line="13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we will no longer qualify as an “emerging growth company” as of December 31, 2026, but that we will remain a “smaller reporting company.” As a smaller reporting company, we continue to be eligible to utilize certain reduced disclosure requirements, and we cannot be certain if our use of such scaled disclosure requirements will make our common stock less attractive to investors.</w:t>
      </w:r>
    </w:p>
    <w:p>
      <w:pPr>
        <w:spacing w:after="0" w:line="6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of December 31, 2026 (the last day of the fiscal year following the fifth anniversary of our initial public offering), we anticipate that we will cease to qualify as an “emerging growth company,” as defined in the Jumpstart Our Business Startups Act of 2012, or JOBS Act. As a result, we will no longer be able to rely on certain exemptions from various reporting and governance requirements that are currently available to us, including the exemption from compliance with the auditor attestation requirements of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w:t>
      </w:r>
    </w:p>
    <w:p>
      <w:pPr>
        <w:spacing w:after="0" w:line="16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elected to avail ourselves of this exemption from new or revised accounting standards and, therefore, we were not subject to the same new or revised accounting standards as other public companies during the period we were an emerging growth company. As a result, our financial statements while we were an emerging growth company may not be comparable to companies that complied with new or revised accounting pronouncements as of public company effective dates.</w:t>
      </w:r>
    </w:p>
    <w:p>
      <w:pPr>
        <w:spacing w:after="0" w:line="14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However, we are also a “smaller reporting company” as defined in the Exchange Act, and we anticipate that we will continue to be a smaller reporting company even after we are no longer an emerging growth company. We may continue to qualify as a smaller reporting company until the fiscal year following the determination that the worldwide market value of our voting and non-voting common stock held by non-affiliates is more than $250 million, as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smaller reporting company, we are eligible to take advantage of many of the same scaled disclosures available to emerging growth companies, including scaled executive compensation disclosures and the exemption from the auditor attestation requirements of Section 404 of the Sarbanes-Oxley Act. We have elected to utilize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w:t>
      </w:r>
    </w:p>
    <w:p>
      <w:pPr>
        <w:spacing w:after="0" w:line="1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17" w:lineRule="exact"/>
        <w:rPr>
          <w:sz w:val="20"/>
          <w:szCs w:val="20"/>
          <w:color w:val="auto"/>
        </w:rPr>
      </w:pPr>
    </w:p>
    <w:p>
      <w:pPr>
        <w:ind w:left="980" w:right="6660" w:hanging="486"/>
        <w:spacing w:after="0" w:line="375" w:lineRule="auto"/>
        <w:tabs>
          <w:tab w:leader="none" w:pos="97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980" w:right="9020" w:hanging="486"/>
        <w:spacing w:after="0" w:line="375" w:lineRule="auto"/>
        <w:tabs>
          <w:tab w:leader="none" w:pos="9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980" w:right="7380" w:hanging="486"/>
        <w:spacing w:after="0" w:line="412" w:lineRule="auto"/>
        <w:tabs>
          <w:tab w:leader="none" w:pos="97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 and Director Trading Arrangements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plans (as each such term is defined in Item 408 of Regulation S-K). The trading plans are intended to satisfy the affirmative defense in Rule 10b5-1(c). During the three months ended September 30, 2026, our officers and directors took the following actions with respect to Rule 10b5-1 trading plans:</w:t>
      </w:r>
    </w:p>
    <w:p>
      <w:pPr>
        <w:spacing w:after="0" w:line="13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2026, Eric Siemers, our Chief Medical Officer, entered into a Rule 10b5-1 trading plan that provides that Mr. Siemers, acting through a broker, may sell the number of shares of common stock sufficient to cover the taxes, commissions and any fees associated with the vesting of up to 99,133 RSU awards granted to Mr. Siemers as equity incentive compensation, which sales may occur from January 19, 2027 to December 31, 2029.</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29, 2026, Russell Barton, our Chief Operating Officer, entered into a Rule 10b5-1 trading plan that provides that Mr. Barton, acting through a broker, may sell the number of shares of common stock sufficient to cover the taxes, commissions and any fees associated with the vesting of up to 84,600 RSU awards granted to Mr. Barton as equity incentive compensation, which sales may occur from January 19, 2027 to December 31, 2029. On September 29, 2026, Mr. Barton also entered into a separate Rule 10b5-1 trading plan that provides that Mr. Barton, acting through a broker, may sell 331,859 shares of our common stock received upon the exercise of option awards granted to Mr. Barton as equity incentive compensation, which sales may occur from January 4, 2027 to December 31, 2027.</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30, 2026, James Doherty, our President and Chief Development Officer, entered into a Rule 10b5-1 trading plan that provides that Mr. Doherty, acting through a broker, may sell the number of shares of common stock sufficient to cover the taxes, commissions and any fees associated with the vesting of up to 166,867 RSU awards granted to Mr. Doherty as equity incentive compensation, which sales may occur from January 19, 2027 to December 31, 2029. On September 30, 2026, Mr. Doherty also entered into a separate Rule 10b5-1 trading plan that provides that Mr. Doherty, acting through a broker, may sell (1) 5,000 shares of our common stock and (2) 200,000 shares of our common stock received upon the exercise of option awards granted to Mr. Doherty as equity incentive compensation, which sales may occur from February 5, 2027 to December 31, 2027.</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380" w:type="dxa"/>
            <w:vAlign w:val="bottom"/>
            <w:gridSpan w:val="10"/>
          </w:tcPr>
          <w:p>
            <w:pPr>
              <w:ind w:left="28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45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1"/>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Certificate of Incorporation (incorporated by reference to Exhibit 3.1 to the Company’s Current Report on</w:t>
              </w:r>
            </w:hyperlink>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Form 8-K (File No. 001-40551), filed with the Securities and Exchange Commission on June 8, 2023).</w:t>
              </w:r>
            </w:hyperlink>
          </w:p>
        </w:tc>
        <w:tc>
          <w:tcPr>
            <w:tcW w:w="194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1"/>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Amended and Restated Bylaws (incorporated by reference to Exhibit 3.1 to the Company’s Current Report on Form 8-K (File No. 001-</w:t>
              </w:r>
            </w:hyperlink>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40551)</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Securities and Exchange Commission on March 15, 2023).</w:t>
              </w:r>
            </w:hyperlink>
          </w:p>
        </w:tc>
        <w:tc>
          <w:tcPr>
            <w:tcW w:w="388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tcBorders>
              <w:top w:val="single" w:sz="8" w:color="0000FF"/>
            </w:tcBorders>
            <w:gridSpan w:val="7"/>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39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58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220" w:type="dxa"/>
            <w:vAlign w:val="bottom"/>
            <w:tcBorders>
              <w:top w:val="single" w:sz="8" w:color="0000FF"/>
            </w:tcBorders>
            <w:gridSpan w:val="7"/>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9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5"/>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5"/>
          </w:tcPr>
          <w:p>
            <w:pPr>
              <w:spacing w:after="0"/>
              <w:rPr>
                <w:sz w:val="13"/>
                <w:szCs w:val="13"/>
                <w:color w:val="auto"/>
              </w:rPr>
            </w:pPr>
          </w:p>
        </w:tc>
        <w:tc>
          <w:tcPr>
            <w:tcW w:w="220" w:type="dxa"/>
            <w:vAlign w:val="bottom"/>
            <w:gridSpan w:val="5"/>
          </w:tcPr>
          <w:p>
            <w:pPr>
              <w:spacing w:after="0"/>
              <w:rPr>
                <w:sz w:val="13"/>
                <w:szCs w:val="13"/>
                <w:color w:val="auto"/>
              </w:rPr>
            </w:pPr>
          </w:p>
        </w:tc>
      </w:tr>
      <w:tr>
        <w:trPr>
          <w:trHeight w:val="38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1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0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0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0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0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71" w:lineRule="exact"/>
        <w:rPr>
          <w:sz w:val="20"/>
          <w:szCs w:val="20"/>
          <w:color w:val="auto"/>
        </w:rPr>
      </w:pPr>
    </w:p>
    <w:p>
      <w:pPr>
        <w:ind w:left="1480" w:hanging="1454"/>
        <w:spacing w:after="0"/>
        <w:tabs>
          <w:tab w:leader="none" w:pos="14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1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500" w:right="560" w:hanging="492"/>
        <w:spacing w:after="0" w:line="255" w:lineRule="auto"/>
        <w:tabs>
          <w:tab w:leader="none" w:pos="2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ACUMEN PHARMACEUTICALS, INC.</w:t>
      </w:r>
    </w:p>
    <w:p>
      <w:pPr>
        <w:spacing w:after="0" w:line="310"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Daniel O’Connell</w:t>
      </w:r>
    </w:p>
    <w:p>
      <w:pPr>
        <w:spacing w:after="0" w:line="5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15" w:lineRule="exact"/>
        <w:rPr>
          <w:sz w:val="20"/>
          <w:szCs w:val="20"/>
          <w:color w:val="auto"/>
        </w:rPr>
      </w:pPr>
    </w:p>
    <w:p>
      <w:pPr>
        <w:ind w:left="20"/>
        <w:spacing w:after="0"/>
        <w:tabs>
          <w:tab w:leader="none" w:pos="5400" w:val="left"/>
          <w:tab w:leader="none" w:pos="790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Zuga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Matthew Zuga</w:t>
      </w:r>
    </w:p>
    <w:p>
      <w:pPr>
        <w:spacing w:after="0" w:line="5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3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60"/>
          </w:cols>
          <w:pgMar w:left="320" w:top="117" w:right="819" w:bottom="1440" w:gutter="0" w:footer="0" w:header="0"/>
        </w:sectPr>
      </w:pPr>
    </w:p>
    <w:bookmarkStart w:id="38" w:name="page39"/>
    <w:bookmarkEnd w:id="38"/>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O’Connell, certify that:</w:t>
      </w:r>
    </w:p>
    <w:p>
      <w:pPr>
        <w:spacing w:after="0" w:line="117"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Acumen Pharmaceuticals, Inc.;</w:t>
      </w:r>
    </w:p>
    <w:p>
      <w:pPr>
        <w:spacing w:after="0" w:line="117"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Daniel O’Connell</w:t>
      </w:r>
    </w:p>
    <w:p>
      <w:pPr>
        <w:spacing w:after="0" w:line="5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Zuga, certify that:</w:t>
      </w:r>
    </w:p>
    <w:p>
      <w:pPr>
        <w:spacing w:after="0" w:line="117"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Acumen Pharmaceuticals, Inc.;</w:t>
      </w:r>
    </w:p>
    <w:p>
      <w:pPr>
        <w:spacing w:after="0" w:line="117"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00" w:val="left"/>
          <w:tab w:leader="none" w:pos="790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Zuga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Matthew Zuga</w:t>
      </w:r>
    </w:p>
    <w:p>
      <w:pPr>
        <w:spacing w:after="0" w:line="5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3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4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Acumen Pharmaceuticals, Inc. (the “Company”) for the period ended September 30, 2026 as filed with the Securities and Exchange Commission on the date hereof (the “Report”), I, Daniel O’Connell, President and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Daniel O’Connell</w:t>
      </w:r>
    </w:p>
    <w:p>
      <w:pPr>
        <w:spacing w:after="0" w:line="5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Acumen Pharmaceuticals, Inc. (the “Company”) for the period ended September 30, 2026 as filed with the Securities and Exchange Commission on the date hereof (the “Report”), I, Matthew Zuga, Chief Financial Officer and Chief Business Officer of the Company, certify, pursuant to 18 U.S.C. Section 1350, as adopted pursuant to Section 906 of the Sarbanes-Oxley Act of 2002, that to my knowledge:</w:t>
      </w:r>
    </w:p>
    <w:p>
      <w:pPr>
        <w:spacing w:after="0" w:line="50"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5400" w:val="left"/>
          <w:tab w:leader="none" w:pos="790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Zuga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Matthew Zuga</w:t>
      </w:r>
    </w:p>
    <w:p>
      <w:pPr>
        <w:spacing w:after="0" w:line="5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Chief Financial Officer and Chief Business Officer</w:t>
      </w:r>
    </w:p>
    <w:p>
      <w:pPr>
        <w:spacing w:after="0" w:line="3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3" Type="http://schemas.openxmlformats.org/officeDocument/2006/relationships/hyperlink" Target="https://www.sec.gov/Archives/edgar/data/1576885/000157688523000039/active_136401491x1xacume.htm" TargetMode="External"/><Relationship Id="rId54" Type="http://schemas.openxmlformats.org/officeDocument/2006/relationships/hyperlink" Target="https://www.sec.gov/Archives/edgar/data/1576885/000157688523000008/abos-20230309xex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2026-10-26T15:06:50Z</dcterms:created>
  <dcterms:modified xsi:type="dcterms:W3CDTF">2026-10-26T15:06:50Z</dcterms:modified>
</cp:coreProperties>
</file>