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As filed with the Securities and Exchange Commission on June 9, 2021.</w:t>
      </w:r>
    </w:p>
    <w:p>
      <w:pPr>
        <w:spacing w:after="0" w:line="6" w:lineRule="exact"/>
        <w:rPr>
          <w:sz w:val="24"/>
          <w:szCs w:val="24"/>
          <w:color w:val="auto"/>
        </w:rPr>
      </w:pPr>
    </w:p>
    <w:p>
      <w:pPr>
        <w:ind w:left="914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124460</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125730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Acumen Pharmaceuticals, Inc.</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114300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62" w:lineRule="exact"/>
        <w:rPr>
          <w:sz w:val="24"/>
          <w:szCs w:val="24"/>
          <w:color w:val="auto"/>
        </w:rPr>
      </w:pPr>
    </w:p>
    <w:tbl>
      <w:tblPr>
        <w:tblLayout w:type="fixed"/>
        <w:tblInd w:w="1040" w:type="dxa"/>
        <w:tblCellMar>
          <w:top w:w="0" w:type="dxa"/>
          <w:left w:w="0" w:type="dxa"/>
          <w:bottom w:w="0" w:type="dxa"/>
          <w:right w:w="0" w:type="dxa"/>
        </w:tblCellMar>
      </w:tblPr>
      <w:tr>
        <w:trPr>
          <w:trHeight w:val="172"/>
        </w:trPr>
        <w:tc>
          <w:tcPr>
            <w:tcW w:w="2840" w:type="dxa"/>
            <w:vAlign w:val="bottom"/>
          </w:tcPr>
          <w:p>
            <w:pPr>
              <w:jc w:val="center"/>
              <w:ind w:right="867"/>
              <w:spacing w:after="0"/>
              <w:rPr>
                <w:sz w:val="20"/>
                <w:szCs w:val="20"/>
                <w:color w:val="auto"/>
              </w:rPr>
            </w:pPr>
            <w:r>
              <w:rPr>
                <w:rFonts w:ascii="Arial" w:cs="Arial" w:eastAsia="Arial" w:hAnsi="Arial"/>
                <w:sz w:val="15"/>
                <w:szCs w:val="15"/>
                <w:b w:val="1"/>
                <w:bCs w:val="1"/>
                <w:color w:val="auto"/>
                <w:w w:val="94"/>
              </w:rPr>
              <w:t>Delaware</w:t>
            </w:r>
          </w:p>
        </w:tc>
        <w:tc>
          <w:tcPr>
            <w:tcW w:w="3860" w:type="dxa"/>
            <w:vAlign w:val="bottom"/>
          </w:tcPr>
          <w:p>
            <w:pPr>
              <w:jc w:val="center"/>
              <w:ind w:right="67"/>
              <w:spacing w:after="0"/>
              <w:rPr>
                <w:sz w:val="20"/>
                <w:szCs w:val="20"/>
                <w:color w:val="auto"/>
              </w:rPr>
            </w:pPr>
            <w:r>
              <w:rPr>
                <w:rFonts w:ascii="Arial" w:cs="Arial" w:eastAsia="Arial" w:hAnsi="Arial"/>
                <w:sz w:val="15"/>
                <w:szCs w:val="15"/>
                <w:b w:val="1"/>
                <w:bCs w:val="1"/>
                <w:color w:val="auto"/>
                <w:w w:val="95"/>
              </w:rPr>
              <w:t>2836</w:t>
            </w:r>
          </w:p>
        </w:tc>
        <w:tc>
          <w:tcPr>
            <w:tcW w:w="2200" w:type="dxa"/>
            <w:vAlign w:val="bottom"/>
          </w:tcPr>
          <w:p>
            <w:pPr>
              <w:jc w:val="center"/>
              <w:ind w:left="987"/>
              <w:spacing w:after="0"/>
              <w:rPr>
                <w:sz w:val="20"/>
                <w:szCs w:val="20"/>
                <w:color w:val="auto"/>
              </w:rPr>
            </w:pPr>
            <w:r>
              <w:rPr>
                <w:rFonts w:ascii="Arial" w:cs="Arial" w:eastAsia="Arial" w:hAnsi="Arial"/>
                <w:sz w:val="15"/>
                <w:szCs w:val="15"/>
                <w:b w:val="1"/>
                <w:bCs w:val="1"/>
                <w:color w:val="auto"/>
                <w:w w:val="92"/>
              </w:rPr>
              <w:t>13-6410829</w:t>
            </w:r>
          </w:p>
        </w:tc>
      </w:tr>
      <w:tr>
        <w:trPr>
          <w:trHeight w:val="149"/>
        </w:trPr>
        <w:tc>
          <w:tcPr>
            <w:tcW w:w="2840" w:type="dxa"/>
            <w:vAlign w:val="bottom"/>
          </w:tcPr>
          <w:p>
            <w:pPr>
              <w:jc w:val="center"/>
              <w:ind w:right="88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00" w:type="dxa"/>
            <w:vAlign w:val="bottom"/>
          </w:tcPr>
          <w:p>
            <w:pPr>
              <w:jc w:val="center"/>
              <w:ind w:left="987"/>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7"/>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67"/>
              <w:spacing w:after="0"/>
              <w:rPr>
                <w:sz w:val="20"/>
                <w:szCs w:val="20"/>
                <w:color w:val="auto"/>
              </w:rPr>
            </w:pPr>
            <w:r>
              <w:rPr>
                <w:rFonts w:ascii="Arial" w:cs="Arial" w:eastAsia="Arial" w:hAnsi="Arial"/>
                <w:sz w:val="14"/>
                <w:szCs w:val="14"/>
                <w:b w:val="1"/>
                <w:bCs w:val="1"/>
                <w:color w:val="auto"/>
                <w:w w:val="94"/>
              </w:rPr>
              <w:t>Classification Code Number)</w:t>
            </w:r>
          </w:p>
        </w:tc>
        <w:tc>
          <w:tcPr>
            <w:tcW w:w="2200" w:type="dxa"/>
            <w:vAlign w:val="bottom"/>
          </w:tcPr>
          <w:p>
            <w:pPr>
              <w:jc w:val="center"/>
              <w:ind w:left="987"/>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427 Park St.</w:t>
      </w:r>
    </w:p>
    <w:p>
      <w:pPr>
        <w:jc w:val="center"/>
        <w:ind w:right="-99"/>
        <w:spacing w:after="0" w:line="233" w:lineRule="auto"/>
        <w:rPr>
          <w:sz w:val="20"/>
          <w:szCs w:val="20"/>
          <w:color w:val="auto"/>
        </w:rPr>
      </w:pPr>
      <w:r>
        <w:rPr>
          <w:rFonts w:ascii="Arial" w:cs="Arial" w:eastAsia="Arial" w:hAnsi="Arial"/>
          <w:sz w:val="15"/>
          <w:szCs w:val="15"/>
          <w:b w:val="1"/>
          <w:bCs w:val="1"/>
          <w:color w:val="auto"/>
        </w:rPr>
        <w:t>Charlottesville, VA 22902</w:t>
      </w:r>
    </w:p>
    <w:p>
      <w:pPr>
        <w:jc w:val="center"/>
        <w:ind w:right="-99"/>
        <w:spacing w:after="0" w:line="217" w:lineRule="auto"/>
        <w:rPr>
          <w:sz w:val="20"/>
          <w:szCs w:val="20"/>
          <w:color w:val="auto"/>
        </w:rPr>
      </w:pPr>
      <w:r>
        <w:rPr>
          <w:rFonts w:ascii="Arial" w:cs="Arial" w:eastAsia="Arial" w:hAnsi="Arial"/>
          <w:sz w:val="15"/>
          <w:szCs w:val="15"/>
          <w:b w:val="1"/>
          <w:bCs w:val="1"/>
          <w:color w:val="auto"/>
        </w:rPr>
        <w:t>(434) 297-1000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116205</wp:posOffset>
            </wp:positionV>
            <wp:extent cx="140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Daniel O’Connell</w:t>
      </w:r>
    </w:p>
    <w:p>
      <w:pPr>
        <w:jc w:val="center"/>
        <w:ind w:right="-99"/>
        <w:spacing w:after="0" w:line="233" w:lineRule="auto"/>
        <w:rPr>
          <w:sz w:val="20"/>
          <w:szCs w:val="20"/>
          <w:color w:val="auto"/>
        </w:rPr>
      </w:pPr>
      <w:r>
        <w:rPr>
          <w:rFonts w:ascii="Arial" w:cs="Arial" w:eastAsia="Arial" w:hAnsi="Arial"/>
          <w:sz w:val="15"/>
          <w:szCs w:val="15"/>
          <w:b w:val="1"/>
          <w:bCs w:val="1"/>
          <w:color w:val="auto"/>
        </w:rPr>
        <w:t>Chief Executive Officer</w:t>
      </w:r>
    </w:p>
    <w:p>
      <w:pPr>
        <w:jc w:val="center"/>
        <w:ind w:right="-99"/>
        <w:spacing w:after="0" w:line="225" w:lineRule="auto"/>
        <w:rPr>
          <w:sz w:val="20"/>
          <w:szCs w:val="20"/>
          <w:color w:val="auto"/>
        </w:rPr>
      </w:pPr>
      <w:r>
        <w:rPr>
          <w:rFonts w:ascii="Arial" w:cs="Arial" w:eastAsia="Arial" w:hAnsi="Arial"/>
          <w:sz w:val="15"/>
          <w:szCs w:val="15"/>
          <w:b w:val="1"/>
          <w:bCs w:val="1"/>
          <w:color w:val="auto"/>
        </w:rPr>
        <w:t>Acumen Pharmaceuticals, Inc.</w:t>
      </w:r>
    </w:p>
    <w:p>
      <w:pPr>
        <w:jc w:val="center"/>
        <w:ind w:right="-99"/>
        <w:spacing w:after="0" w:line="225" w:lineRule="auto"/>
        <w:rPr>
          <w:sz w:val="20"/>
          <w:szCs w:val="20"/>
          <w:color w:val="auto"/>
        </w:rPr>
      </w:pPr>
      <w:r>
        <w:rPr>
          <w:rFonts w:ascii="Arial" w:cs="Arial" w:eastAsia="Arial" w:hAnsi="Arial"/>
          <w:sz w:val="15"/>
          <w:szCs w:val="15"/>
          <w:b w:val="1"/>
          <w:bCs w:val="1"/>
          <w:color w:val="auto"/>
        </w:rPr>
        <w:t>427 Park St.</w:t>
      </w:r>
    </w:p>
    <w:p>
      <w:pPr>
        <w:jc w:val="center"/>
        <w:ind w:right="-99"/>
        <w:spacing w:after="0" w:line="226" w:lineRule="auto"/>
        <w:rPr>
          <w:sz w:val="20"/>
          <w:szCs w:val="20"/>
          <w:color w:val="auto"/>
        </w:rPr>
      </w:pPr>
      <w:r>
        <w:rPr>
          <w:rFonts w:ascii="Arial" w:cs="Arial" w:eastAsia="Arial" w:hAnsi="Arial"/>
          <w:sz w:val="15"/>
          <w:szCs w:val="15"/>
          <w:b w:val="1"/>
          <w:bCs w:val="1"/>
          <w:color w:val="auto"/>
        </w:rPr>
        <w:t>Charlottesville, VA 22902</w:t>
      </w:r>
    </w:p>
    <w:p>
      <w:pPr>
        <w:jc w:val="center"/>
        <w:ind w:right="-99"/>
        <w:spacing w:after="0" w:line="218" w:lineRule="auto"/>
        <w:rPr>
          <w:sz w:val="20"/>
          <w:szCs w:val="20"/>
          <w:color w:val="auto"/>
        </w:rPr>
      </w:pPr>
      <w:r>
        <w:rPr>
          <w:rFonts w:ascii="Arial" w:cs="Arial" w:eastAsia="Arial" w:hAnsi="Arial"/>
          <w:sz w:val="15"/>
          <w:szCs w:val="15"/>
          <w:b w:val="1"/>
          <w:bCs w:val="1"/>
          <w:color w:val="auto"/>
        </w:rPr>
        <w:t>(434) 297-1000</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116205</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44" w:lineRule="exact"/>
        <w:rPr>
          <w:sz w:val="24"/>
          <w:szCs w:val="24"/>
          <w:color w:val="auto"/>
        </w:rPr>
      </w:pPr>
    </w:p>
    <w:tbl>
      <w:tblPr>
        <w:tblLayout w:type="fixed"/>
        <w:tblInd w:w="2060" w:type="dxa"/>
        <w:tblCellMar>
          <w:top w:w="0" w:type="dxa"/>
          <w:left w:w="0" w:type="dxa"/>
          <w:bottom w:w="0" w:type="dxa"/>
          <w:right w:w="0" w:type="dxa"/>
        </w:tblCellMar>
      </w:tblPr>
      <w:tr>
        <w:trPr>
          <w:trHeight w:val="194"/>
        </w:trPr>
        <w:tc>
          <w:tcPr>
            <w:tcW w:w="2460" w:type="dxa"/>
            <w:vAlign w:val="bottom"/>
          </w:tcPr>
          <w:p>
            <w:pPr>
              <w:spacing w:after="0"/>
              <w:rPr>
                <w:sz w:val="16"/>
                <w:szCs w:val="16"/>
                <w:color w:val="auto"/>
              </w:rPr>
            </w:pPr>
          </w:p>
        </w:tc>
        <w:tc>
          <w:tcPr>
            <w:tcW w:w="4600" w:type="dxa"/>
            <w:vAlign w:val="bottom"/>
          </w:tcPr>
          <w:p>
            <w:pPr>
              <w:ind w:left="780"/>
              <w:spacing w:after="0"/>
              <w:rPr>
                <w:sz w:val="20"/>
                <w:szCs w:val="20"/>
                <w:color w:val="auto"/>
              </w:rPr>
            </w:pPr>
            <w:r>
              <w:rPr>
                <w:rFonts w:ascii="Arial" w:cs="Arial" w:eastAsia="Arial" w:hAnsi="Arial"/>
                <w:sz w:val="15"/>
                <w:szCs w:val="15"/>
                <w:b w:val="1"/>
                <w:bCs w:val="1"/>
                <w:i w:val="1"/>
                <w:iCs w:val="1"/>
                <w:color w:val="auto"/>
              </w:rPr>
              <w:t>Copies to:</w:t>
            </w:r>
          </w:p>
        </w:tc>
      </w:tr>
      <w:tr>
        <w:trPr>
          <w:trHeight w:val="207"/>
        </w:trPr>
        <w:tc>
          <w:tcPr>
            <w:tcW w:w="2460" w:type="dxa"/>
            <w:vAlign w:val="bottom"/>
          </w:tcPr>
          <w:p>
            <w:pPr>
              <w:jc w:val="center"/>
              <w:ind w:right="724"/>
              <w:spacing w:after="0"/>
              <w:rPr>
                <w:sz w:val="20"/>
                <w:szCs w:val="20"/>
                <w:color w:val="auto"/>
              </w:rPr>
            </w:pPr>
            <w:r>
              <w:rPr>
                <w:rFonts w:ascii="Arial" w:cs="Arial" w:eastAsia="Arial" w:hAnsi="Arial"/>
                <w:sz w:val="15"/>
                <w:szCs w:val="15"/>
                <w:b w:val="1"/>
                <w:bCs w:val="1"/>
                <w:color w:val="auto"/>
                <w:w w:val="93"/>
              </w:rPr>
              <w:t>Darren DeStefano</w:t>
            </w:r>
          </w:p>
        </w:tc>
        <w:tc>
          <w:tcPr>
            <w:tcW w:w="4600" w:type="dxa"/>
            <w:vAlign w:val="bottom"/>
          </w:tcPr>
          <w:p>
            <w:pPr>
              <w:jc w:val="center"/>
              <w:ind w:left="3204"/>
              <w:spacing w:after="0"/>
              <w:rPr>
                <w:sz w:val="20"/>
                <w:szCs w:val="20"/>
                <w:color w:val="auto"/>
              </w:rPr>
            </w:pPr>
            <w:r>
              <w:rPr>
                <w:rFonts w:ascii="Arial" w:cs="Arial" w:eastAsia="Arial" w:hAnsi="Arial"/>
                <w:sz w:val="15"/>
                <w:szCs w:val="15"/>
                <w:b w:val="1"/>
                <w:bCs w:val="1"/>
                <w:color w:val="auto"/>
                <w:w w:val="95"/>
              </w:rPr>
              <w:t>Patrick O’Brien</w:t>
            </w:r>
          </w:p>
        </w:tc>
      </w:tr>
      <w:tr>
        <w:trPr>
          <w:trHeight w:val="162"/>
        </w:trPr>
        <w:tc>
          <w:tcPr>
            <w:tcW w:w="2460" w:type="dxa"/>
            <w:vAlign w:val="bottom"/>
          </w:tcPr>
          <w:p>
            <w:pPr>
              <w:jc w:val="center"/>
              <w:ind w:right="704"/>
              <w:spacing w:after="0" w:line="162" w:lineRule="exact"/>
              <w:rPr>
                <w:sz w:val="20"/>
                <w:szCs w:val="20"/>
                <w:color w:val="auto"/>
              </w:rPr>
            </w:pPr>
            <w:r>
              <w:rPr>
                <w:rFonts w:ascii="Arial" w:cs="Arial" w:eastAsia="Arial" w:hAnsi="Arial"/>
                <w:sz w:val="15"/>
                <w:szCs w:val="15"/>
                <w:b w:val="1"/>
                <w:bCs w:val="1"/>
                <w:color w:val="auto"/>
                <w:w w:val="93"/>
              </w:rPr>
              <w:t>Katherine Denby</w:t>
            </w:r>
          </w:p>
        </w:tc>
        <w:tc>
          <w:tcPr>
            <w:tcW w:w="4600" w:type="dxa"/>
            <w:vAlign w:val="bottom"/>
          </w:tcPr>
          <w:p>
            <w:pPr>
              <w:jc w:val="center"/>
              <w:ind w:left="3204"/>
              <w:spacing w:after="0" w:line="162" w:lineRule="exact"/>
              <w:rPr>
                <w:sz w:val="20"/>
                <w:szCs w:val="20"/>
                <w:color w:val="auto"/>
              </w:rPr>
            </w:pPr>
            <w:r>
              <w:rPr>
                <w:rFonts w:ascii="Arial" w:cs="Arial" w:eastAsia="Arial" w:hAnsi="Arial"/>
                <w:sz w:val="15"/>
                <w:szCs w:val="15"/>
                <w:b w:val="1"/>
                <w:bCs w:val="1"/>
                <w:color w:val="auto"/>
                <w:w w:val="91"/>
              </w:rPr>
              <w:t>Thomas J. Danielski</w:t>
            </w:r>
          </w:p>
        </w:tc>
      </w:tr>
      <w:tr>
        <w:trPr>
          <w:trHeight w:val="162"/>
        </w:trPr>
        <w:tc>
          <w:tcPr>
            <w:tcW w:w="2460" w:type="dxa"/>
            <w:vAlign w:val="bottom"/>
          </w:tcPr>
          <w:p>
            <w:pPr>
              <w:jc w:val="center"/>
              <w:ind w:right="704"/>
              <w:spacing w:after="0" w:line="162" w:lineRule="exact"/>
              <w:rPr>
                <w:sz w:val="20"/>
                <w:szCs w:val="20"/>
                <w:color w:val="auto"/>
              </w:rPr>
            </w:pPr>
            <w:r>
              <w:rPr>
                <w:rFonts w:ascii="Arial" w:cs="Arial" w:eastAsia="Arial" w:hAnsi="Arial"/>
                <w:sz w:val="15"/>
                <w:szCs w:val="15"/>
                <w:b w:val="1"/>
                <w:bCs w:val="1"/>
                <w:color w:val="auto"/>
                <w:w w:val="96"/>
              </w:rPr>
              <w:t>Cooley LLP</w:t>
            </w:r>
          </w:p>
        </w:tc>
        <w:tc>
          <w:tcPr>
            <w:tcW w:w="4600" w:type="dxa"/>
            <w:vAlign w:val="bottom"/>
          </w:tcPr>
          <w:p>
            <w:pPr>
              <w:jc w:val="center"/>
              <w:ind w:left="3204"/>
              <w:spacing w:after="0" w:line="162" w:lineRule="exact"/>
              <w:rPr>
                <w:sz w:val="20"/>
                <w:szCs w:val="20"/>
                <w:color w:val="auto"/>
              </w:rPr>
            </w:pPr>
            <w:r>
              <w:rPr>
                <w:rFonts w:ascii="Arial" w:cs="Arial" w:eastAsia="Arial" w:hAnsi="Arial"/>
                <w:sz w:val="15"/>
                <w:szCs w:val="15"/>
                <w:b w:val="1"/>
                <w:bCs w:val="1"/>
                <w:color w:val="auto"/>
                <w:w w:val="97"/>
              </w:rPr>
              <w:t>Ropes &amp; Gray LLP</w:t>
            </w:r>
          </w:p>
        </w:tc>
      </w:tr>
      <w:tr>
        <w:trPr>
          <w:trHeight w:val="162"/>
        </w:trPr>
        <w:tc>
          <w:tcPr>
            <w:tcW w:w="2460" w:type="dxa"/>
            <w:vAlign w:val="bottom"/>
          </w:tcPr>
          <w:p>
            <w:pPr>
              <w:jc w:val="center"/>
              <w:ind w:right="724"/>
              <w:spacing w:after="0" w:line="162" w:lineRule="exact"/>
              <w:rPr>
                <w:sz w:val="20"/>
                <w:szCs w:val="20"/>
                <w:color w:val="auto"/>
              </w:rPr>
            </w:pPr>
            <w:r>
              <w:rPr>
                <w:rFonts w:ascii="Arial" w:cs="Arial" w:eastAsia="Arial" w:hAnsi="Arial"/>
                <w:sz w:val="15"/>
                <w:szCs w:val="15"/>
                <w:b w:val="1"/>
                <w:bCs w:val="1"/>
                <w:color w:val="auto"/>
                <w:w w:val="92"/>
              </w:rPr>
              <w:t>11951 Freedom Dr. #1500</w:t>
            </w:r>
          </w:p>
        </w:tc>
        <w:tc>
          <w:tcPr>
            <w:tcW w:w="4600" w:type="dxa"/>
            <w:vAlign w:val="bottom"/>
          </w:tcPr>
          <w:p>
            <w:pPr>
              <w:jc w:val="center"/>
              <w:ind w:left="3204"/>
              <w:spacing w:after="0" w:line="162" w:lineRule="exact"/>
              <w:rPr>
                <w:sz w:val="20"/>
                <w:szCs w:val="20"/>
                <w:color w:val="auto"/>
              </w:rPr>
            </w:pPr>
            <w:r>
              <w:rPr>
                <w:rFonts w:ascii="Arial" w:cs="Arial" w:eastAsia="Arial" w:hAnsi="Arial"/>
                <w:sz w:val="15"/>
                <w:szCs w:val="15"/>
                <w:b w:val="1"/>
                <w:bCs w:val="1"/>
                <w:color w:val="auto"/>
                <w:w w:val="95"/>
              </w:rPr>
              <w:t>Prudential Tower</w:t>
            </w:r>
          </w:p>
        </w:tc>
      </w:tr>
      <w:tr>
        <w:trPr>
          <w:trHeight w:val="162"/>
        </w:trPr>
        <w:tc>
          <w:tcPr>
            <w:tcW w:w="2460" w:type="dxa"/>
            <w:vAlign w:val="bottom"/>
          </w:tcPr>
          <w:p>
            <w:pPr>
              <w:jc w:val="center"/>
              <w:ind w:right="704"/>
              <w:spacing w:after="0" w:line="162" w:lineRule="exact"/>
              <w:rPr>
                <w:sz w:val="20"/>
                <w:szCs w:val="20"/>
                <w:color w:val="auto"/>
              </w:rPr>
            </w:pPr>
            <w:r>
              <w:rPr>
                <w:rFonts w:ascii="Arial" w:cs="Arial" w:eastAsia="Arial" w:hAnsi="Arial"/>
                <w:sz w:val="15"/>
                <w:szCs w:val="15"/>
                <w:b w:val="1"/>
                <w:bCs w:val="1"/>
                <w:color w:val="auto"/>
                <w:w w:val="92"/>
              </w:rPr>
              <w:t>Reston, Virginia 20190</w:t>
            </w:r>
          </w:p>
        </w:tc>
        <w:tc>
          <w:tcPr>
            <w:tcW w:w="4600" w:type="dxa"/>
            <w:vAlign w:val="bottom"/>
          </w:tcPr>
          <w:p>
            <w:pPr>
              <w:jc w:val="center"/>
              <w:ind w:left="3204"/>
              <w:spacing w:after="0" w:line="162" w:lineRule="exact"/>
              <w:rPr>
                <w:sz w:val="20"/>
                <w:szCs w:val="20"/>
                <w:color w:val="auto"/>
              </w:rPr>
            </w:pPr>
            <w:r>
              <w:rPr>
                <w:rFonts w:ascii="Arial" w:cs="Arial" w:eastAsia="Arial" w:hAnsi="Arial"/>
                <w:sz w:val="15"/>
                <w:szCs w:val="15"/>
                <w:b w:val="1"/>
                <w:bCs w:val="1"/>
                <w:color w:val="auto"/>
                <w:w w:val="91"/>
              </w:rPr>
              <w:t>800 Boylston Street</w:t>
            </w:r>
          </w:p>
        </w:tc>
      </w:tr>
      <w:tr>
        <w:trPr>
          <w:trHeight w:val="162"/>
        </w:trPr>
        <w:tc>
          <w:tcPr>
            <w:tcW w:w="2460" w:type="dxa"/>
            <w:vAlign w:val="bottom"/>
          </w:tcPr>
          <w:p>
            <w:pPr>
              <w:jc w:val="center"/>
              <w:ind w:right="704"/>
              <w:spacing w:after="0" w:line="162" w:lineRule="exact"/>
              <w:rPr>
                <w:sz w:val="20"/>
                <w:szCs w:val="20"/>
                <w:color w:val="auto"/>
              </w:rPr>
            </w:pPr>
            <w:r>
              <w:rPr>
                <w:rFonts w:ascii="Arial" w:cs="Arial" w:eastAsia="Arial" w:hAnsi="Arial"/>
                <w:sz w:val="15"/>
                <w:szCs w:val="15"/>
                <w:b w:val="1"/>
                <w:bCs w:val="1"/>
                <w:color w:val="auto"/>
                <w:w w:val="93"/>
              </w:rPr>
              <w:t>(703) 456-8039</w:t>
            </w:r>
          </w:p>
        </w:tc>
        <w:tc>
          <w:tcPr>
            <w:tcW w:w="4600" w:type="dxa"/>
            <w:vAlign w:val="bottom"/>
          </w:tcPr>
          <w:p>
            <w:pPr>
              <w:jc w:val="center"/>
              <w:ind w:left="3204"/>
              <w:spacing w:after="0" w:line="162" w:lineRule="exact"/>
              <w:rPr>
                <w:sz w:val="20"/>
                <w:szCs w:val="20"/>
                <w:color w:val="auto"/>
              </w:rPr>
            </w:pPr>
            <w:r>
              <w:rPr>
                <w:rFonts w:ascii="Arial" w:cs="Arial" w:eastAsia="Arial" w:hAnsi="Arial"/>
                <w:sz w:val="15"/>
                <w:szCs w:val="15"/>
                <w:b w:val="1"/>
                <w:bCs w:val="1"/>
                <w:color w:val="auto"/>
                <w:w w:val="92"/>
              </w:rPr>
              <w:t>Boston, MA 02199</w:t>
            </w:r>
          </w:p>
        </w:tc>
      </w:tr>
      <w:tr>
        <w:trPr>
          <w:trHeight w:val="198"/>
        </w:trPr>
        <w:tc>
          <w:tcPr>
            <w:tcW w:w="2460" w:type="dxa"/>
            <w:vAlign w:val="bottom"/>
          </w:tcPr>
          <w:p>
            <w:pPr>
              <w:spacing w:after="0"/>
              <w:rPr>
                <w:sz w:val="17"/>
                <w:szCs w:val="17"/>
                <w:color w:val="auto"/>
              </w:rPr>
            </w:pPr>
          </w:p>
        </w:tc>
        <w:tc>
          <w:tcPr>
            <w:tcW w:w="4600" w:type="dxa"/>
            <w:vAlign w:val="bottom"/>
          </w:tcPr>
          <w:p>
            <w:pPr>
              <w:jc w:val="center"/>
              <w:ind w:left="3204"/>
              <w:spacing w:after="0"/>
              <w:rPr>
                <w:sz w:val="20"/>
                <w:szCs w:val="20"/>
                <w:color w:val="auto"/>
              </w:rPr>
            </w:pPr>
            <w:r>
              <w:rPr>
                <w:rFonts w:ascii="Arial" w:cs="Arial" w:eastAsia="Arial" w:hAnsi="Arial"/>
                <w:sz w:val="15"/>
                <w:szCs w:val="15"/>
                <w:b w:val="1"/>
                <w:bCs w:val="1"/>
                <w:color w:val="auto"/>
                <w:w w:val="93"/>
              </w:rPr>
              <w:t>(617) 951-7000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116840</wp:posOffset>
            </wp:positionV>
            <wp:extent cx="1405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7" w:lineRule="exact"/>
        <w:rPr>
          <w:sz w:val="24"/>
          <w:szCs w:val="24"/>
          <w:color w:val="auto"/>
        </w:rPr>
      </w:pPr>
    </w:p>
    <w:p>
      <w:pPr>
        <w:ind w:left="100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this Registration Statement is declared effective.</w:t>
      </w:r>
    </w:p>
    <w:p>
      <w:pPr>
        <w:spacing w:after="0" w:line="61" w:lineRule="exact"/>
        <w:rPr>
          <w:sz w:val="24"/>
          <w:szCs w:val="24"/>
          <w:color w:val="auto"/>
        </w:rPr>
      </w:pPr>
    </w:p>
    <w:p>
      <w:pPr>
        <w:ind w:left="120" w:right="100" w:firstLine="881"/>
        <w:spacing w:after="0" w:line="193"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47" w:lineRule="exact"/>
        <w:rPr>
          <w:sz w:val="24"/>
          <w:szCs w:val="24"/>
          <w:color w:val="auto"/>
        </w:rPr>
      </w:pPr>
    </w:p>
    <w:p>
      <w:pPr>
        <w:ind w:left="120" w:right="420" w:firstLine="881"/>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3" w:lineRule="exact"/>
        <w:rPr>
          <w:sz w:val="24"/>
          <w:szCs w:val="24"/>
          <w:color w:val="auto"/>
        </w:rPr>
      </w:pPr>
    </w:p>
    <w:p>
      <w:pPr>
        <w:ind w:left="120" w:right="320" w:firstLine="881"/>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3" w:lineRule="exact"/>
        <w:rPr>
          <w:sz w:val="24"/>
          <w:szCs w:val="24"/>
          <w:color w:val="auto"/>
        </w:rPr>
      </w:pPr>
    </w:p>
    <w:p>
      <w:pPr>
        <w:ind w:left="120" w:right="300" w:firstLine="881"/>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47" w:lineRule="exact"/>
        <w:rPr>
          <w:sz w:val="24"/>
          <w:szCs w:val="24"/>
          <w:color w:val="auto"/>
        </w:rPr>
      </w:pPr>
    </w:p>
    <w:p>
      <w:pPr>
        <w:ind w:left="120" w:right="60" w:firstLine="881"/>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120" w:type="dxa"/>
        <w:tblCellMar>
          <w:top w:w="0" w:type="dxa"/>
          <w:left w:w="0" w:type="dxa"/>
          <w:bottom w:w="0" w:type="dxa"/>
          <w:right w:w="0" w:type="dxa"/>
        </w:tblCellMar>
      </w:tblPr>
      <w:tr>
        <w:trPr>
          <w:trHeight w:val="240"/>
        </w:trPr>
        <w:tc>
          <w:tcPr>
            <w:tcW w:w="15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8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5320" w:type="dxa"/>
            <w:vAlign w:val="bottom"/>
          </w:tcPr>
          <w:p>
            <w:pPr>
              <w:ind w:left="3500"/>
              <w:spacing w:after="0"/>
              <w:rPr>
                <w:sz w:val="20"/>
                <w:szCs w:val="20"/>
                <w:color w:val="auto"/>
              </w:rPr>
            </w:pPr>
            <w:r>
              <w:rPr>
                <w:rFonts w:ascii="Arial" w:cs="Arial" w:eastAsia="Arial" w:hAnsi="Arial"/>
                <w:sz w:val="15"/>
                <w:szCs w:val="15"/>
                <w:color w:val="auto"/>
              </w:rPr>
              <w:t>Accelerated filer</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7"/>
        </w:trPr>
        <w:tc>
          <w:tcPr>
            <w:tcW w:w="1520" w:type="dxa"/>
            <w:vAlign w:val="bottom"/>
          </w:tcPr>
          <w:p>
            <w:pPr>
              <w:spacing w:after="0"/>
              <w:rPr>
                <w:sz w:val="20"/>
                <w:szCs w:val="20"/>
                <w:color w:val="auto"/>
              </w:rPr>
            </w:pPr>
            <w:r>
              <w:rPr>
                <w:rFonts w:ascii="Arial" w:cs="Arial" w:eastAsia="Arial" w:hAnsi="Arial"/>
                <w:sz w:val="15"/>
                <w:szCs w:val="15"/>
                <w:color w:val="auto"/>
              </w:rPr>
              <w:t>Non-accelerated filer</w:t>
            </w:r>
          </w:p>
        </w:tc>
        <w:tc>
          <w:tcPr>
            <w:tcW w:w="38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5320" w:type="dxa"/>
            <w:vAlign w:val="bottom"/>
          </w:tcPr>
          <w:p>
            <w:pPr>
              <w:ind w:left="3500"/>
              <w:spacing w:after="0"/>
              <w:rPr>
                <w:sz w:val="20"/>
                <w:szCs w:val="20"/>
                <w:color w:val="auto"/>
              </w:rPr>
            </w:pPr>
            <w:r>
              <w:rPr>
                <w:rFonts w:ascii="Arial" w:cs="Arial" w:eastAsia="Arial" w:hAnsi="Arial"/>
                <w:sz w:val="15"/>
                <w:szCs w:val="15"/>
                <w:color w:val="auto"/>
              </w:rPr>
              <w:t>Smaller reporting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7"/>
        </w:trPr>
        <w:tc>
          <w:tcPr>
            <w:tcW w:w="15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320" w:type="dxa"/>
            <w:vAlign w:val="bottom"/>
          </w:tcPr>
          <w:p>
            <w:pPr>
              <w:ind w:left="3500"/>
              <w:spacing w:after="0"/>
              <w:rPr>
                <w:sz w:val="20"/>
                <w:szCs w:val="20"/>
                <w:color w:val="auto"/>
              </w:rPr>
            </w:pPr>
            <w:r>
              <w:rPr>
                <w:rFonts w:ascii="Arial" w:cs="Arial" w:eastAsia="Arial" w:hAnsi="Arial"/>
                <w:sz w:val="15"/>
                <w:szCs w:val="15"/>
                <w:color w:val="auto"/>
              </w:rPr>
              <w:t>Emerging growth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33" w:lineRule="exact"/>
        <w:rPr>
          <w:sz w:val="24"/>
          <w:szCs w:val="24"/>
          <w:color w:val="auto"/>
        </w:rPr>
      </w:pPr>
    </w:p>
    <w:p>
      <w:pPr>
        <w:jc w:val="both"/>
        <w:ind w:left="120" w:right="100" w:firstLine="881"/>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106680</wp:posOffset>
            </wp:positionV>
            <wp:extent cx="140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CALCULATION OF REGISTRATION FEE</w:t>
      </w:r>
    </w:p>
    <w:p>
      <w:pPr>
        <w:spacing w:after="0" w:line="10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58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5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jc w:val="center"/>
              <w:ind w:left="489"/>
              <w:spacing w:after="0" w:line="106" w:lineRule="exact"/>
              <w:rPr>
                <w:sz w:val="20"/>
                <w:szCs w:val="20"/>
                <w:color w:val="auto"/>
              </w:rPr>
            </w:pPr>
            <w:r>
              <w:rPr>
                <w:rFonts w:ascii="Arial" w:cs="Arial" w:eastAsia="Arial" w:hAnsi="Arial"/>
                <w:sz w:val="12"/>
                <w:szCs w:val="12"/>
                <w:b w:val="1"/>
                <w:bCs w:val="1"/>
                <w:color w:val="auto"/>
              </w:rPr>
              <w:t>Proposed</w:t>
            </w: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60" w:type="dxa"/>
            <w:vAlign w:val="bottom"/>
            <w:tcBorders>
              <w:right w:val="single" w:sz="8" w:color="auto"/>
            </w:tcBorders>
          </w:tcPr>
          <w:p>
            <w:pPr>
              <w:jc w:val="center"/>
              <w:ind w:left="489"/>
              <w:spacing w:after="0" w:line="149" w:lineRule="exact"/>
              <w:rPr>
                <w:sz w:val="20"/>
                <w:szCs w:val="20"/>
                <w:color w:val="auto"/>
              </w:rPr>
            </w:pPr>
            <w:r>
              <w:rPr>
                <w:rFonts w:ascii="Arial" w:cs="Arial" w:eastAsia="Arial" w:hAnsi="Arial"/>
                <w:sz w:val="14"/>
                <w:szCs w:val="14"/>
                <w:b w:val="1"/>
                <w:bCs w:val="1"/>
                <w:color w:val="auto"/>
                <w:w w:val="95"/>
              </w:rPr>
              <w:t>Maximum</w:t>
            </w:r>
          </w:p>
        </w:tc>
        <w:tc>
          <w:tcPr>
            <w:tcW w:w="1780" w:type="dxa"/>
            <w:vAlign w:val="bottom"/>
            <w:vMerge w:val="restart"/>
          </w:tcPr>
          <w:p>
            <w:pPr>
              <w:jc w:val="center"/>
              <w:ind w:left="487"/>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758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jc w:val="center"/>
              <w:ind w:left="489"/>
              <w:spacing w:after="0" w:line="145" w:lineRule="exact"/>
              <w:rPr>
                <w:sz w:val="20"/>
                <w:szCs w:val="20"/>
                <w:color w:val="auto"/>
              </w:rPr>
            </w:pPr>
            <w:r>
              <w:rPr>
                <w:rFonts w:ascii="Arial" w:cs="Arial" w:eastAsia="Arial" w:hAnsi="Arial"/>
                <w:sz w:val="14"/>
                <w:szCs w:val="14"/>
                <w:b w:val="1"/>
                <w:bCs w:val="1"/>
                <w:color w:val="auto"/>
                <w:w w:val="89"/>
              </w:rPr>
              <w:t>Aggregate</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60" w:type="dxa"/>
            <w:vAlign w:val="bottom"/>
            <w:tcBorders>
              <w:bottom w:val="single" w:sz="8" w:color="auto"/>
              <w:right w:val="single" w:sz="8" w:color="auto"/>
            </w:tcBorders>
          </w:tcPr>
          <w:p>
            <w:pPr>
              <w:jc w:val="center"/>
              <w:ind w:left="489"/>
              <w:spacing w:after="0"/>
              <w:rPr>
                <w:sz w:val="20"/>
                <w:szCs w:val="20"/>
                <w:color w:val="auto"/>
              </w:rPr>
            </w:pPr>
            <w:r>
              <w:rPr>
                <w:rFonts w:ascii="Arial" w:cs="Arial" w:eastAsia="Arial" w:hAnsi="Arial"/>
                <w:sz w:val="14"/>
                <w:szCs w:val="14"/>
                <w:b w:val="1"/>
                <w:bCs w:val="1"/>
                <w:color w:val="auto"/>
                <w:w w:val="96"/>
              </w:rPr>
              <w:t>Offering Price(1)</w:t>
            </w:r>
          </w:p>
        </w:tc>
        <w:tc>
          <w:tcPr>
            <w:tcW w:w="1780" w:type="dxa"/>
            <w:vAlign w:val="bottom"/>
            <w:tcBorders>
              <w:bottom w:val="single" w:sz="8" w:color="auto"/>
            </w:tcBorders>
          </w:tcPr>
          <w:p>
            <w:pPr>
              <w:jc w:val="center"/>
              <w:ind w:left="487"/>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156"/>
        </w:trPr>
        <w:tc>
          <w:tcPr>
            <w:tcW w:w="7580" w:type="dxa"/>
            <w:vAlign w:val="bottom"/>
            <w:tcBorders>
              <w:bottom w:val="single" w:sz="8" w:color="auto"/>
              <w:right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Common Stock, $0.0001 par value per share</w:t>
            </w:r>
          </w:p>
        </w:tc>
        <w:tc>
          <w:tcPr>
            <w:tcW w:w="1660" w:type="dxa"/>
            <w:vAlign w:val="bottom"/>
            <w:tcBorders>
              <w:bottom w:val="single" w:sz="8" w:color="auto"/>
              <w:right w:val="single" w:sz="8" w:color="auto"/>
            </w:tcBorders>
            <w:shd w:val="clear" w:color="auto" w:fill="CCEEFF"/>
          </w:tcPr>
          <w:p>
            <w:pPr>
              <w:jc w:val="center"/>
              <w:ind w:left="489"/>
              <w:spacing w:after="0" w:line="156" w:lineRule="exact"/>
              <w:rPr>
                <w:sz w:val="20"/>
                <w:szCs w:val="20"/>
                <w:color w:val="auto"/>
              </w:rPr>
            </w:pPr>
            <w:r>
              <w:rPr>
                <w:rFonts w:ascii="Arial" w:cs="Arial" w:eastAsia="Arial" w:hAnsi="Arial"/>
                <w:sz w:val="15"/>
                <w:szCs w:val="15"/>
                <w:color w:val="auto"/>
                <w:w w:val="93"/>
              </w:rPr>
              <w:t>$100,000,000</w:t>
            </w:r>
          </w:p>
        </w:tc>
        <w:tc>
          <w:tcPr>
            <w:tcW w:w="1780" w:type="dxa"/>
            <w:vAlign w:val="bottom"/>
            <w:tcBorders>
              <w:bottom w:val="single" w:sz="8" w:color="auto"/>
            </w:tcBorders>
            <w:shd w:val="clear" w:color="auto" w:fill="CCEEFF"/>
          </w:tcPr>
          <w:p>
            <w:pPr>
              <w:jc w:val="center"/>
              <w:ind w:left="487"/>
              <w:spacing w:after="0" w:line="156" w:lineRule="exact"/>
              <w:rPr>
                <w:sz w:val="20"/>
                <w:szCs w:val="20"/>
                <w:color w:val="auto"/>
              </w:rPr>
            </w:pPr>
            <w:r>
              <w:rPr>
                <w:rFonts w:ascii="Arial" w:cs="Arial" w:eastAsia="Arial" w:hAnsi="Arial"/>
                <w:sz w:val="15"/>
                <w:szCs w:val="15"/>
                <w:color w:val="auto"/>
                <w:w w:val="92"/>
              </w:rPr>
              <w:t>$10,910</w:t>
            </w:r>
          </w:p>
        </w:tc>
        <w:tc>
          <w:tcPr>
            <w:tcW w:w="0" w:type="dxa"/>
            <w:vAlign w:val="bottom"/>
          </w:tcPr>
          <w:p>
            <w:pPr>
              <w:spacing w:after="0"/>
              <w:rPr>
                <w:sz w:val="1"/>
                <w:szCs w:val="1"/>
                <w:color w:val="auto"/>
              </w:rPr>
            </w:pPr>
          </w:p>
        </w:tc>
      </w:tr>
      <w:tr>
        <w:trPr>
          <w:trHeight w:val="20"/>
        </w:trPr>
        <w:tc>
          <w:tcPr>
            <w:tcW w:w="7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380" w:hanging="424"/>
        <w:spacing w:after="0" w:line="233" w:lineRule="auto"/>
        <w:tabs>
          <w:tab w:leader="none" w:pos="5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pursuant to Rule 457(o) under the Securities Act of 1933, as amended. Includes the offering price of additional shares that the underwriters have the option to purchase.</w:t>
      </w:r>
    </w:p>
    <w:p>
      <w:pPr>
        <w:spacing w:after="0" w:line="1" w:lineRule="exact"/>
        <w:rPr>
          <w:rFonts w:ascii="Arial" w:cs="Arial" w:eastAsia="Arial" w:hAnsi="Arial"/>
          <w:sz w:val="15"/>
          <w:szCs w:val="15"/>
          <w:color w:val="auto"/>
        </w:rPr>
      </w:pPr>
    </w:p>
    <w:p>
      <w:pPr>
        <w:ind w:left="540" w:hanging="424"/>
        <w:spacing w:after="0"/>
        <w:tabs>
          <w:tab w:leader="none" w:pos="540" w:val="left"/>
        </w:tabs>
        <w:numPr>
          <w:ilvl w:val="0"/>
          <w:numId w:val="1"/>
        </w:numPr>
        <w:rPr>
          <w:rFonts w:ascii="Arial" w:cs="Arial" w:eastAsia="Arial" w:hAnsi="Arial"/>
          <w:sz w:val="15"/>
          <w:szCs w:val="15"/>
          <w:color w:val="auto"/>
        </w:rPr>
      </w:pPr>
      <w:r>
        <w:rPr>
          <w:rFonts w:ascii="Arial" w:cs="Arial" w:eastAsia="Arial" w:hAnsi="Arial"/>
          <w:sz w:val="15"/>
          <w:szCs w:val="15"/>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114300</wp:posOffset>
            </wp:positionV>
            <wp:extent cx="1405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37" w:lineRule="exact"/>
        <w:rPr>
          <w:sz w:val="24"/>
          <w:szCs w:val="24"/>
          <w:color w:val="auto"/>
        </w:rPr>
      </w:pPr>
    </w:p>
    <w:p>
      <w:pPr>
        <w:ind w:left="120" w:right="100" w:firstLine="881"/>
        <w:spacing w:after="0" w:line="29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153670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769"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C21128"/>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C21128"/>
        </w:rPr>
        <w:t>Subject to completion, dated June 9, 2021</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PRELIMINARY PROSPECTUS</w:t>
      </w:r>
    </w:p>
    <w:p>
      <w:pPr>
        <w:spacing w:after="0" w:line="306" w:lineRule="exact"/>
        <w:rPr>
          <w:sz w:val="20"/>
          <w:szCs w:val="20"/>
          <w:color w:val="auto"/>
        </w:rPr>
      </w:pPr>
    </w:p>
    <w:p>
      <w:pPr>
        <w:jc w:val="center"/>
        <w:ind w:right="-439"/>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24130</wp:posOffset>
            </wp:positionV>
            <wp:extent cx="3103245" cy="574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0324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243205</wp:posOffset>
            </wp:positionV>
            <wp:extent cx="1405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000"/>
        <w:spacing w:after="0"/>
        <w:tabs>
          <w:tab w:leader="none" w:pos="7520" w:val="left"/>
        </w:tabs>
        <w:rPr>
          <w:sz w:val="20"/>
          <w:szCs w:val="20"/>
          <w:color w:val="auto"/>
        </w:rPr>
      </w:pPr>
      <w:r>
        <w:rPr>
          <w:rFonts w:ascii="Arial" w:cs="Arial" w:eastAsia="Arial" w:hAnsi="Arial"/>
          <w:sz w:val="18"/>
          <w:szCs w:val="18"/>
          <w:color w:val="auto"/>
        </w:rPr>
        <w:t>This is Acumen Pharmaceuticals, Inc.’s initial public offering. We are selling</w:t>
      </w:r>
      <w:r>
        <w:rPr>
          <w:sz w:val="20"/>
          <w:szCs w:val="20"/>
          <w:color w:val="auto"/>
        </w:rPr>
        <w:tab/>
      </w:r>
      <w:r>
        <w:rPr>
          <w:rFonts w:ascii="Arial" w:cs="Arial" w:eastAsia="Arial" w:hAnsi="Arial"/>
          <w:sz w:val="16"/>
          <w:szCs w:val="16"/>
          <w:color w:val="auto"/>
        </w:rPr>
        <w:t>shares of our common stock.</w:t>
      </w:r>
    </w:p>
    <w:p>
      <w:pPr>
        <w:spacing w:after="0" w:line="225" w:lineRule="exact"/>
        <w:rPr>
          <w:sz w:val="20"/>
          <w:szCs w:val="20"/>
          <w:color w:val="auto"/>
        </w:rPr>
      </w:pPr>
    </w:p>
    <w:p>
      <w:pPr>
        <w:ind w:left="1000"/>
        <w:spacing w:after="0"/>
        <w:tabs>
          <w:tab w:leader="none" w:pos="5460" w:val="left"/>
          <w:tab w:leader="none" w:pos="6620" w:val="left"/>
        </w:tabs>
        <w:rPr>
          <w:sz w:val="20"/>
          <w:szCs w:val="20"/>
          <w:color w:val="auto"/>
        </w:rPr>
      </w:pPr>
      <w:r>
        <w:rPr>
          <w:rFonts w:ascii="Arial" w:cs="Arial" w:eastAsia="Arial" w:hAnsi="Arial"/>
          <w:sz w:val="18"/>
          <w:szCs w:val="18"/>
          <w:color w:val="auto"/>
        </w:rPr>
        <w:t>We expect the public offering price to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per share. Currently, no public market exists for the shares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We have applied to list our common stock on The Nasdaq Global Market under the trading symbol “ABOS.”</w:t>
      </w:r>
    </w:p>
    <w:p>
      <w:pPr>
        <w:spacing w:after="0" w:line="207" w:lineRule="exact"/>
        <w:rPr>
          <w:sz w:val="20"/>
          <w:szCs w:val="20"/>
          <w:color w:val="auto"/>
        </w:rPr>
      </w:pPr>
    </w:p>
    <w:p>
      <w:pPr>
        <w:ind w:left="120" w:right="360" w:firstLine="881"/>
        <w:spacing w:after="0" w:line="282" w:lineRule="auto"/>
        <w:rPr>
          <w:sz w:val="20"/>
          <w:szCs w:val="20"/>
          <w:color w:val="auto"/>
        </w:rPr>
      </w:pPr>
      <w:r>
        <w:rPr>
          <w:rFonts w:ascii="Arial" w:cs="Arial" w:eastAsia="Arial" w:hAnsi="Arial"/>
          <w:sz w:val="18"/>
          <w:szCs w:val="18"/>
          <w:b w:val="1"/>
          <w:bCs w:val="1"/>
          <w:color w:val="auto"/>
        </w:rPr>
        <w:t>We are an “emerging growth company” as defined under the U.S. federal securities laws and, as such, will be subject to reduced public company reporting requirements for this prospectus and future filings.</w:t>
      </w:r>
    </w:p>
    <w:p>
      <w:pPr>
        <w:spacing w:after="0" w:line="152" w:lineRule="exact"/>
        <w:rPr>
          <w:sz w:val="20"/>
          <w:szCs w:val="20"/>
          <w:color w:val="auto"/>
        </w:rPr>
      </w:pPr>
    </w:p>
    <w:p>
      <w:pPr>
        <w:ind w:left="120" w:right="340" w:firstLine="88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that are described in the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section beginning on page 11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206375</wp:posOffset>
            </wp:positionV>
            <wp:extent cx="140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540" w:type="dxa"/>
            <w:vAlign w:val="bottom"/>
            <w:gridSpan w:val="2"/>
          </w:tcPr>
          <w:p>
            <w:pPr>
              <w:ind w:left="1940"/>
              <w:spacing w:after="0"/>
              <w:rPr>
                <w:sz w:val="20"/>
                <w:szCs w:val="20"/>
                <w:color w:val="auto"/>
              </w:rPr>
            </w:pPr>
            <w:r>
              <w:rPr>
                <w:rFonts w:ascii="Arial" w:cs="Arial" w:eastAsia="Arial" w:hAnsi="Arial"/>
                <w:sz w:val="14"/>
                <w:szCs w:val="14"/>
                <w:b w:val="1"/>
                <w:bCs w:val="1"/>
                <w:color w:val="auto"/>
                <w:w w:val="88"/>
              </w:rPr>
              <w:t>Per Share</w:t>
            </w:r>
          </w:p>
        </w:tc>
        <w:tc>
          <w:tcPr>
            <w:tcW w:w="2620" w:type="dxa"/>
            <w:vAlign w:val="bottom"/>
            <w:gridSpan w:val="3"/>
          </w:tcPr>
          <w:p>
            <w:pPr>
              <w:ind w:left="2240"/>
              <w:spacing w:after="0"/>
              <w:rPr>
                <w:sz w:val="20"/>
                <w:szCs w:val="20"/>
                <w:color w:val="auto"/>
              </w:rPr>
            </w:pPr>
            <w:r>
              <w:rPr>
                <w:rFonts w:ascii="Arial" w:cs="Arial" w:eastAsia="Arial" w:hAnsi="Arial"/>
                <w:sz w:val="14"/>
                <w:szCs w:val="14"/>
                <w:b w:val="1"/>
                <w:bCs w:val="1"/>
                <w:color w:val="auto"/>
              </w:rPr>
              <w:t>Total</w:t>
            </w:r>
          </w:p>
        </w:tc>
      </w:tr>
      <w:tr>
        <w:trPr>
          <w:trHeight w:val="20"/>
        </w:trPr>
        <w:tc>
          <w:tcPr>
            <w:tcW w:w="4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5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256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Underwriting discount(1)</w:t>
            </w:r>
          </w:p>
        </w:tc>
        <w:tc>
          <w:tcPr>
            <w:tcW w:w="254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256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5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256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85725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1420" w:hanging="427"/>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the section titled “Underwriting” for additional information regarding underwriting compensation.</w:t>
      </w:r>
    </w:p>
    <w:p>
      <w:pPr>
        <w:spacing w:after="0" w:line="225" w:lineRule="exact"/>
        <w:rPr>
          <w:sz w:val="20"/>
          <w:szCs w:val="20"/>
          <w:color w:val="auto"/>
        </w:rPr>
      </w:pPr>
    </w:p>
    <w:p>
      <w:pPr>
        <w:ind w:left="120" w:right="180" w:firstLine="881"/>
        <w:spacing w:after="0" w:line="311" w:lineRule="auto"/>
        <w:rPr>
          <w:sz w:val="20"/>
          <w:szCs w:val="20"/>
          <w:color w:val="auto"/>
        </w:rPr>
      </w:pPr>
      <w:r>
        <w:rPr>
          <w:rFonts w:ascii="Arial" w:cs="Arial" w:eastAsia="Arial" w:hAnsi="Arial"/>
          <w:sz w:val="16"/>
          <w:szCs w:val="16"/>
          <w:color w:val="auto"/>
        </w:rPr>
        <w:t>At our request, an affiliate of BofA Securities, Inc., a participating underwriter, has reserved for sale, at the initial public offering price, up to 5% of the shares of our common stock offered by this prospectus through a reserved share program for sale to certain of our directors, officers, employees, distributors, dealers, business associates and related persons. For additional information, see the section titled “Underwriting.”</w:t>
      </w:r>
    </w:p>
    <w:p>
      <w:pPr>
        <w:spacing w:after="0" w:line="149" w:lineRule="exact"/>
        <w:rPr>
          <w:sz w:val="20"/>
          <w:szCs w:val="20"/>
          <w:color w:val="auto"/>
        </w:rPr>
      </w:pPr>
    </w:p>
    <w:p>
      <w:pPr>
        <w:ind w:left="1000"/>
        <w:spacing w:after="0"/>
        <w:tabs>
          <w:tab w:leader="none" w:pos="7400" w:val="left"/>
        </w:tabs>
        <w:rPr>
          <w:sz w:val="20"/>
          <w:szCs w:val="20"/>
          <w:color w:val="auto"/>
        </w:rPr>
      </w:pPr>
      <w:r>
        <w:rPr>
          <w:rFonts w:ascii="Arial" w:cs="Arial" w:eastAsia="Arial" w:hAnsi="Arial"/>
          <w:sz w:val="18"/>
          <w:szCs w:val="18"/>
          <w:color w:val="auto"/>
        </w:rPr>
        <w:t>The underwriters may also exercise their option to purchase up to an additional</w:t>
      </w:r>
      <w:r>
        <w:rPr>
          <w:sz w:val="20"/>
          <w:szCs w:val="20"/>
          <w:color w:val="auto"/>
        </w:rPr>
        <w:tab/>
      </w:r>
      <w:r>
        <w:rPr>
          <w:rFonts w:ascii="Arial" w:cs="Arial" w:eastAsia="Arial" w:hAnsi="Arial"/>
          <w:sz w:val="16"/>
          <w:szCs w:val="16"/>
          <w:color w:val="auto"/>
        </w:rPr>
        <w:t>shares of common stock from us, at the public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offering price, less the underwriting discount, for 30 days after the date of this prospectus.</w:t>
      </w:r>
    </w:p>
    <w:p>
      <w:pPr>
        <w:spacing w:after="0" w:line="207" w:lineRule="exact"/>
        <w:rPr>
          <w:sz w:val="20"/>
          <w:szCs w:val="20"/>
          <w:color w:val="auto"/>
        </w:rPr>
      </w:pPr>
    </w:p>
    <w:p>
      <w:pPr>
        <w:ind w:left="120" w:right="700" w:firstLine="881"/>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20"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w w:val="98"/>
              </w:rPr>
              <w:t>The shares of common stock will be ready for delivery on or about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351"/>
        </w:trPr>
        <w:tc>
          <w:tcPr>
            <w:tcW w:w="352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bl>
    <w:p>
      <w:pPr>
        <w:spacing w:after="0" w:line="200" w:lineRule="exact"/>
        <w:rPr>
          <w:sz w:val="20"/>
          <w:szCs w:val="20"/>
          <w:color w:val="auto"/>
        </w:rPr>
      </w:pPr>
    </w:p>
    <w:p>
      <w:pPr>
        <w:spacing w:after="0" w:line="258" w:lineRule="exact"/>
        <w:rPr>
          <w:sz w:val="20"/>
          <w:szCs w:val="20"/>
          <w:color w:val="auto"/>
        </w:rPr>
      </w:pPr>
    </w:p>
    <w:p>
      <w:pPr>
        <w:ind w:left="120"/>
        <w:spacing w:after="0"/>
        <w:tabs>
          <w:tab w:leader="none" w:pos="5040" w:val="left"/>
          <w:tab w:leader="none" w:pos="10400" w:val="left"/>
        </w:tabs>
        <w:rPr>
          <w:sz w:val="20"/>
          <w:szCs w:val="20"/>
          <w:color w:val="auto"/>
        </w:rPr>
      </w:pPr>
      <w:r>
        <w:rPr>
          <w:rFonts w:ascii="Arial" w:cs="Arial" w:eastAsia="Arial" w:hAnsi="Arial"/>
          <w:sz w:val="32"/>
          <w:szCs w:val="32"/>
          <w:b w:val="1"/>
          <w:bCs w:val="1"/>
          <w:color w:val="auto"/>
        </w:rPr>
        <w:t>BofA Securities</w:t>
      </w:r>
      <w:r>
        <w:rPr>
          <w:sz w:val="20"/>
          <w:szCs w:val="20"/>
          <w:color w:val="auto"/>
        </w:rPr>
        <w:tab/>
      </w:r>
      <w:r>
        <w:rPr>
          <w:rFonts w:ascii="Arial" w:cs="Arial" w:eastAsia="Arial" w:hAnsi="Arial"/>
          <w:sz w:val="32"/>
          <w:szCs w:val="32"/>
          <w:b w:val="1"/>
          <w:bCs w:val="1"/>
          <w:color w:val="auto"/>
        </w:rPr>
        <w:t>Credit Suisse</w:t>
      </w:r>
      <w:r>
        <w:rPr>
          <w:sz w:val="20"/>
          <w:szCs w:val="20"/>
          <w:color w:val="auto"/>
        </w:rPr>
        <w:tab/>
      </w:r>
      <w:r>
        <w:rPr>
          <w:rFonts w:ascii="Arial" w:cs="Arial" w:eastAsia="Arial" w:hAnsi="Arial"/>
          <w:sz w:val="29"/>
          <w:szCs w:val="29"/>
          <w:b w:val="1"/>
          <w:bCs w:val="1"/>
          <w:color w:val="auto"/>
        </w:rPr>
        <w:t>Stifel</w:t>
      </w: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243205</wp:posOffset>
            </wp:positionV>
            <wp:extent cx="1405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3960"/>
        <w:spacing w:after="0"/>
        <w:tabs>
          <w:tab w:leader="none" w:pos="682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5"/>
          <w:szCs w:val="15"/>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760" w:type="dxa"/>
            <w:vAlign w:val="bottom"/>
            <w:gridSpan w:val="3"/>
          </w:tcPr>
          <w:p>
            <w:pPr>
              <w:ind w:left="66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40" w:type="dxa"/>
            <w:vAlign w:val="bottom"/>
            <w:gridSpan w:val="23"/>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340" w:type="dxa"/>
            <w:vAlign w:val="bottom"/>
            <w:gridSpan w:val="2"/>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55"/>
        </w:trPr>
        <w:tc>
          <w:tcPr>
            <w:tcW w:w="10640" w:type="dxa"/>
            <w:vAlign w:val="bottom"/>
            <w:gridSpan w:val="23"/>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20" w:type="dxa"/>
            <w:vAlign w:val="bottom"/>
            <w:tcBorders>
              <w:top w:val="single" w:sz="8" w:color="0000EE"/>
            </w:tcBorders>
            <w:gridSpan w:val="1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9120" w:type="dxa"/>
            <w:vAlign w:val="bottom"/>
            <w:gridSpan w:val="12"/>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Special Note Regarding Forward-Looking Statements</w:t>
              </w:r>
            </w:hyperlink>
          </w:p>
        </w:tc>
        <w:tc>
          <w:tcPr>
            <w:tcW w:w="67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Market and Industry Data</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Use of Proceeds</w:t>
              </w:r>
            </w:hyperlink>
          </w:p>
        </w:tc>
        <w:tc>
          <w:tcPr>
            <w:tcW w:w="880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82">
              <w:r>
                <w:rPr>
                  <w:rFonts w:ascii="Arial" w:cs="Arial" w:eastAsia="Arial" w:hAnsi="Arial"/>
                  <w:sz w:val="18"/>
                  <w:szCs w:val="18"/>
                  <w:color w:val="0000EE"/>
                  <w:w w:val="94"/>
                </w:rPr>
                <w:t>Dividend Policy</w:t>
              </w:r>
            </w:hyperlink>
          </w:p>
        </w:tc>
        <w:tc>
          <w:tcPr>
            <w:tcW w:w="946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Capitalization</w:t>
              </w:r>
            </w:hyperlink>
          </w:p>
        </w:tc>
        <w:tc>
          <w:tcPr>
            <w:tcW w:w="962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85">
              <w:r>
                <w:rPr>
                  <w:rFonts w:ascii="Arial" w:cs="Arial" w:eastAsia="Arial" w:hAnsi="Arial"/>
                  <w:sz w:val="18"/>
                  <w:szCs w:val="18"/>
                  <w:color w:val="0000EE"/>
                  <w:w w:val="96"/>
                </w:rPr>
                <w:t>Dilution</w:t>
              </w:r>
            </w:hyperlink>
          </w:p>
        </w:tc>
        <w:tc>
          <w:tcPr>
            <w:tcW w:w="1004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Management’s Discussion and Analysis of Financial Condition and Results of Operations</w:t>
              </w:r>
            </w:hyperlink>
          </w:p>
        </w:tc>
        <w:tc>
          <w:tcPr>
            <w:tcW w:w="41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102">
              <w:r>
                <w:rPr>
                  <w:rFonts w:ascii="Arial" w:cs="Arial" w:eastAsia="Arial" w:hAnsi="Arial"/>
                  <w:sz w:val="18"/>
                  <w:szCs w:val="18"/>
                  <w:color w:val="0000EE"/>
                  <w:w w:val="84"/>
                </w:rPr>
                <w:t>Business</w:t>
              </w:r>
            </w:hyperlink>
          </w:p>
        </w:tc>
        <w:tc>
          <w:tcPr>
            <w:tcW w:w="1000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39">
              <w:r>
                <w:rPr>
                  <w:rFonts w:ascii="Arial" w:cs="Arial" w:eastAsia="Arial" w:hAnsi="Arial"/>
                  <w:sz w:val="18"/>
                  <w:szCs w:val="18"/>
                  <w:color w:val="0000EE"/>
                  <w:w w:val="87"/>
                </w:rPr>
                <w:t>Management</w:t>
              </w:r>
            </w:hyperlink>
          </w:p>
        </w:tc>
        <w:tc>
          <w:tcPr>
            <w:tcW w:w="970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Executive Compensation</w:t>
              </w:r>
            </w:hyperlink>
          </w:p>
        </w:tc>
        <w:tc>
          <w:tcPr>
            <w:tcW w:w="884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59">
              <w:r>
                <w:rPr>
                  <w:rFonts w:ascii="Arial" w:cs="Arial" w:eastAsia="Arial" w:hAnsi="Arial"/>
                  <w:sz w:val="18"/>
                  <w:szCs w:val="18"/>
                  <w:color w:val="0000EE"/>
                  <w:w w:val="89"/>
                </w:rPr>
                <w:t>Certain Relationships and Related Party Transactions</w:t>
              </w:r>
            </w:hyperlink>
          </w:p>
        </w:tc>
        <w:tc>
          <w:tcPr>
            <w:tcW w:w="680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Principal Stockholders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73">
              <w:r>
                <w:rPr>
                  <w:rFonts w:ascii="Arial" w:cs="Arial" w:eastAsia="Arial" w:hAnsi="Arial"/>
                  <w:sz w:val="18"/>
                  <w:szCs w:val="18"/>
                  <w:color w:val="0000EE"/>
                  <w:w w:val="90"/>
                </w:rPr>
                <w:t>Shares Eligible for Future Sale</w:t>
              </w:r>
            </w:hyperlink>
          </w:p>
        </w:tc>
        <w:tc>
          <w:tcPr>
            <w:tcW w:w="842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170</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76">
              <w:r>
                <w:rPr>
                  <w:rFonts w:ascii="Arial" w:cs="Arial" w:eastAsia="Arial" w:hAnsi="Arial"/>
                  <w:sz w:val="18"/>
                  <w:szCs w:val="18"/>
                  <w:color w:val="0000EE"/>
                  <w:w w:val="89"/>
                </w:rPr>
                <w:t>Material U.S. Federal Income Tax Consequences to Non-U.S. Holders</w:t>
              </w:r>
            </w:hyperlink>
          </w:p>
        </w:tc>
        <w:tc>
          <w:tcPr>
            <w:tcW w:w="558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173</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Underwriting</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Experts</w:t>
              </w:r>
            </w:hyperlink>
          </w:p>
        </w:tc>
        <w:tc>
          <w:tcPr>
            <w:tcW w:w="964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0" w:type="dxa"/>
            <w:vAlign w:val="bottom"/>
            <w:gridSpan w:val="15"/>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Where You Can Find Additional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186</w:t>
            </w:r>
          </w:p>
        </w:tc>
        <w:tc>
          <w:tcPr>
            <w:tcW w:w="0" w:type="dxa"/>
            <w:vAlign w:val="bottom"/>
          </w:tcPr>
          <w:p>
            <w:pPr>
              <w:spacing w:after="0"/>
              <w:rPr>
                <w:sz w:val="1"/>
                <w:szCs w:val="1"/>
                <w:color w:val="auto"/>
              </w:rPr>
            </w:pPr>
          </w:p>
        </w:tc>
      </w:tr>
      <w:tr>
        <w:trPr>
          <w:trHeight w:val="196"/>
        </w:trPr>
        <w:tc>
          <w:tcPr>
            <w:tcW w:w="21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190">
              <w:r>
                <w:rPr>
                  <w:rFonts w:ascii="Arial" w:cs="Arial" w:eastAsia="Arial" w:hAnsi="Arial"/>
                  <w:sz w:val="18"/>
                  <w:szCs w:val="18"/>
                  <w:color w:val="0000EE"/>
                  <w:w w:val="89"/>
                </w:rPr>
                <w:t>Index to Financial Statements</w:t>
              </w:r>
            </w:hyperlink>
          </w:p>
        </w:tc>
        <w:tc>
          <w:tcPr>
            <w:tcW w:w="1100" w:type="dxa"/>
            <w:vAlign w:val="bottom"/>
            <w:tcBorders>
              <w:top w:val="single" w:sz="8" w:color="0000EE"/>
            </w:tcBorders>
            <w:gridSpan w:val="2"/>
          </w:tcPr>
          <w:p>
            <w:pPr>
              <w:spacing w:after="0"/>
              <w:rPr>
                <w:sz w:val="17"/>
                <w:szCs w:val="17"/>
                <w:color w:val="auto"/>
              </w:rPr>
            </w:pPr>
          </w:p>
        </w:tc>
        <w:tc>
          <w:tcPr>
            <w:tcW w:w="7400" w:type="dxa"/>
            <w:vAlign w:val="bottom"/>
            <w:gridSpan w:val="5"/>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240030</wp:posOffset>
            </wp:positionV>
            <wp:extent cx="1405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such offers and sales are permitted. The information contained in this prospectus is accurate only as of the date of this prospectus, regardless of the time of delivery of this prospectus or of any sale of the common stock.</w:t>
      </w:r>
    </w:p>
    <w:p>
      <w:pPr>
        <w:spacing w:after="0" w:line="176"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87" w:lineRule="exact"/>
        <w:rPr>
          <w:sz w:val="20"/>
          <w:szCs w:val="20"/>
          <w:color w:val="auto"/>
        </w:rPr>
      </w:pPr>
    </w:p>
    <w:p>
      <w:pPr>
        <w:ind w:left="120" w:right="400" w:firstLine="881"/>
        <w:spacing w:after="0" w:line="263" w:lineRule="auto"/>
        <w:rPr>
          <w:sz w:val="20"/>
          <w:szCs w:val="20"/>
          <w:color w:val="auto"/>
        </w:rPr>
      </w:pPr>
      <w:r>
        <w:rPr>
          <w:rFonts w:ascii="Arial" w:cs="Arial" w:eastAsia="Arial" w:hAnsi="Arial"/>
          <w:sz w:val="18"/>
          <w:szCs w:val="18"/>
          <w:color w:val="auto"/>
        </w:rPr>
        <w:t xml:space="preserve">All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80" w:firstLine="852"/>
        <w:spacing w:after="0" w:line="255" w:lineRule="auto"/>
        <w:rPr>
          <w:sz w:val="20"/>
          <w:szCs w:val="20"/>
          <w:color w:val="auto"/>
        </w:rPr>
      </w:pPr>
      <w:r>
        <w:rPr>
          <w:rFonts w:ascii="Arial" w:cs="Arial" w:eastAsia="Arial" w:hAnsi="Arial"/>
          <w:sz w:val="18"/>
          <w:szCs w:val="18"/>
          <w:i w:val="1"/>
          <w:iCs w:val="1"/>
          <w:color w:val="auto"/>
        </w:rPr>
        <w:t>This summary highlights, and is qualified in its entirety by, information contained elsewhere in this prospectus. This summary does not contain all of the information you should consider before investing in our common stock. You should read this entire prospectus carefully, especially the sections titled “Risk Factors,” “Business,” and “Management’s Discussion and Analysis of Financial Condition and Results of Operations” and our financial statements and the related notes appearing elsewhere in this prospectus, before making an investment decision. As used in this prospectus, unless the context otherwise requires, references to “we,” “us,” “our,” “the company,” “Acumen” and “Acumen Pharmaceuticals” refer to Acumen Pharmaceuticals, Inc.</w:t>
      </w:r>
    </w:p>
    <w:p>
      <w:pPr>
        <w:spacing w:after="0" w:line="18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firstLine="852"/>
        <w:spacing w:after="0" w:line="269" w:lineRule="auto"/>
        <w:rPr>
          <w:sz w:val="20"/>
          <w:szCs w:val="20"/>
          <w:color w:val="auto"/>
        </w:rPr>
      </w:pPr>
      <w:r>
        <w:rPr>
          <w:rFonts w:ascii="Arial" w:cs="Arial" w:eastAsia="Arial" w:hAnsi="Arial"/>
          <w:sz w:val="17"/>
          <w:szCs w:val="17"/>
          <w:color w:val="auto"/>
        </w:rPr>
        <w:t>We are a clinical-stage biopharmaceutical company developing a novel disease-modifying approach to target what we believe to be a key underlying cause of Alzheimer’s disease, or AD. Alzheimer’s disease is a progressive neurodegenerative disease of the brain that leads to loss of memory and cognitive functions and ultimately results in death. Our scientific founders pioneered research on soluble amyloid-beta oligomers, or AbOs, globular assemblies of the amyloid-beta, or Ab, peptide that are distinct from Ab monomers and amyloid plaques. Based on decades of research and supporting evidence, AbOs have gained increasing scientific acceptance as a primary toxin involved in the initiation and propagation of AD pathology. We are currently focused on advancing a targeted immunotherapy drug candidate, ACU193, and establishing proof of mechanism in early AD patients. ACU193 is a humanized monoclonal antibody that selectively targets AbOs, has demonstrated functional and protective effects in in vitro assays, and has demonstrated in vivo safety and pharmacologic activity in multiple animal species including transgenic models for AD. We initiated our Phase 1 clinical trial of ACU193 in the second quarter of 2021 with the objective to evaluate its safety and tolerability and explore its pharmacokinetics and target engagement. This trial is enrolling patients with mild dementia or mild cognitive impairment, or MCI, due to AD, conditions referred to as “early AD.” Our ACU193 Phase 1 data intended to evaluate safety and tolerability and demonstrate clinical proof of mechanism are expected by the fourth quarter of 2022.</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Understanding the Foundation of Our Therapeutic Approach</w:t>
      </w:r>
    </w:p>
    <w:p>
      <w:pPr>
        <w:spacing w:after="0" w:line="229" w:lineRule="exact"/>
        <w:rPr>
          <w:sz w:val="20"/>
          <w:szCs w:val="20"/>
          <w:color w:val="auto"/>
        </w:rPr>
      </w:pPr>
    </w:p>
    <w:p>
      <w:pPr>
        <w:ind w:left="300" w:right="20" w:firstLine="852"/>
        <w:spacing w:after="0" w:line="254" w:lineRule="auto"/>
        <w:rPr>
          <w:sz w:val="20"/>
          <w:szCs w:val="20"/>
          <w:color w:val="auto"/>
        </w:rPr>
      </w:pPr>
      <w:r>
        <w:rPr>
          <w:rFonts w:ascii="Arial" w:cs="Arial" w:eastAsia="Arial" w:hAnsi="Arial"/>
          <w:sz w:val="18"/>
          <w:szCs w:val="18"/>
          <w:color w:val="auto"/>
        </w:rPr>
        <w:t>Historically, the primary hypothesis of decades of AD research, known as the amyloid hypothesis, held that AD dementia is the clinical consequence of Ab peptide monomers accumulating into extracellular amyloid plaques, or amyloid plaques, which in turn contribute to the formation of intracellular neurofibrillary tangles composed of the tau protein and cause inflammation, ultimately leading to neuronal cell loss and progressive dementia. Based on this hypothesis, a number of monoclonal antibodies currently or previously in development for AD have primarily targeted either Ab monomers or amyloid plaques; we refer to this broadly defined “class” as anti-Ab/plaque antibodies. Several of these antibodies are currently in late-stage development or are awaiting regulatory approval, and collectively they have provided a biological foothold for treating AD. However, the clinical data available to date indicate some of the potential limitations of these approaches with respect to clinically meaningful patient benefit and safety.</w:t>
      </w:r>
    </w:p>
    <w:p>
      <w:pPr>
        <w:spacing w:after="0" w:line="192" w:lineRule="exact"/>
        <w:rPr>
          <w:sz w:val="20"/>
          <w:szCs w:val="20"/>
          <w:color w:val="auto"/>
        </w:rPr>
      </w:pPr>
    </w:p>
    <w:p>
      <w:pPr>
        <w:ind w:left="300" w:right="60" w:firstLine="852"/>
        <w:spacing w:after="0" w:line="293" w:lineRule="auto"/>
        <w:rPr>
          <w:sz w:val="20"/>
          <w:szCs w:val="20"/>
          <w:color w:val="auto"/>
        </w:rPr>
      </w:pPr>
      <w:r>
        <w:rPr>
          <w:rFonts w:ascii="Arial" w:cs="Arial" w:eastAsia="Arial" w:hAnsi="Arial"/>
          <w:sz w:val="16"/>
          <w:szCs w:val="16"/>
          <w:color w:val="auto"/>
        </w:rPr>
        <w:t>Our therapeutic approach focuses on targeting AbOs, which we believe are the most toxic and pathogenic form of Ab relative to Ab monomers and amyloid plaques. Growing evidence, spurred by advances in AD research and analytic techniques, supports our view that AbOs are the main instigators of AD neurodegeneration. AbOs have been observed to be potent neurotoxins that cause both acute synaptic toxicity and induce neurodegeneration. Experimentally in animal models, the accumulation of AbOs is associated with core AD neuropathologies, including synapse deterioration and loss, tau phosphorylation, and inflammation. Research has also shown that the accumulation of AbOs is associated with AD-related behavioral deficits, such as learning and memory impairment. In light of this evidence, we believe that blocking the toxicity of AbOs</w:t>
      </w: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is the most promising approach for the treatment of AD, which led us to discover and develop ACU193.</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ACU193 for the Treatment of AD</w:t>
      </w:r>
    </w:p>
    <w:p>
      <w:pPr>
        <w:spacing w:after="0" w:line="229" w:lineRule="exact"/>
        <w:rPr>
          <w:sz w:val="20"/>
          <w:szCs w:val="20"/>
          <w:color w:val="auto"/>
        </w:rPr>
      </w:pPr>
    </w:p>
    <w:p>
      <w:pPr>
        <w:ind w:left="300" w:right="40" w:firstLine="852"/>
        <w:spacing w:after="0" w:line="279" w:lineRule="auto"/>
        <w:rPr>
          <w:sz w:val="20"/>
          <w:szCs w:val="20"/>
          <w:color w:val="auto"/>
        </w:rPr>
      </w:pPr>
      <w:r>
        <w:rPr>
          <w:rFonts w:ascii="Arial" w:cs="Arial" w:eastAsia="Arial" w:hAnsi="Arial"/>
          <w:sz w:val="17"/>
          <w:szCs w:val="17"/>
          <w:color w:val="auto"/>
        </w:rPr>
        <w:t>Our product candidate, ACU193, is the first clinical-stage humanized monoclonal antibody discovered and developed to target soluble AbOs and was developed in partnership with Merck &amp; Co., Inc., or Merck. We believe that ACU193 represents a differentiated approach from current and prior AD immunotherapies because it is highly selective for AbOs. ACU193 has a nanomolar affinity for AbOs, over 500-fold greater selectivity for AbOs over Ab monomers, and limited or no binding to amyloid plaques.</w:t>
      </w:r>
    </w:p>
    <w:p>
      <w:pPr>
        <w:spacing w:after="0" w:line="171" w:lineRule="exact"/>
        <w:rPr>
          <w:sz w:val="20"/>
          <w:szCs w:val="20"/>
          <w:color w:val="auto"/>
        </w:rPr>
      </w:pPr>
    </w:p>
    <w:p>
      <w:pPr>
        <w:ind w:left="300" w:firstLine="852"/>
        <w:spacing w:after="0" w:line="279" w:lineRule="auto"/>
        <w:rPr>
          <w:sz w:val="20"/>
          <w:szCs w:val="20"/>
          <w:color w:val="auto"/>
        </w:rPr>
      </w:pPr>
      <w:r>
        <w:rPr>
          <w:rFonts w:ascii="Arial" w:cs="Arial" w:eastAsia="Arial" w:hAnsi="Arial"/>
          <w:sz w:val="17"/>
          <w:szCs w:val="17"/>
          <w:color w:val="auto"/>
        </w:rPr>
        <w:t>We believe ACU193 has characteristics that make it a promising potential treatment for AD relative to other antibodies that do not selectively target AbOs. ACU193 has been engineered to reduce immune effector function signaling and designed to avoid binding to vascular amyloid. These attributes of ACU193 are expected to reduce the incidence of amyloid-related imaging abnormalities, or ARIA, a common adverse event observed with amyloid plaque-targeting immunotherapies currently in development for AD.</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Differentiated Approach to the Treatment of AD</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believe ACU193 has several potential advantages in comparison to other AD drugs that are currently approved or in development:</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Differentiated mechanism of action:</w:t>
      </w:r>
    </w:p>
    <w:p>
      <w:pPr>
        <w:spacing w:after="0" w:line="252" w:lineRule="exact"/>
        <w:rPr>
          <w:sz w:val="20"/>
          <w:szCs w:val="20"/>
          <w:color w:val="auto"/>
        </w:rPr>
      </w:pPr>
    </w:p>
    <w:p>
      <w:pPr>
        <w:ind w:left="1540" w:hanging="297"/>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Potentially addresses an underlying cause of AD: AbOs, a novel, more toxic and more pathogenic target;</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Selectively binds to AbOs; and</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Binds to a broad spectrum of toxic AbOs.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Potential for symptomatic improvement and disease modification:</w:t>
      </w:r>
    </w:p>
    <w:p>
      <w:pPr>
        <w:spacing w:after="0" w:line="252" w:lineRule="exact"/>
        <w:rPr>
          <w:sz w:val="20"/>
          <w:szCs w:val="20"/>
          <w:color w:val="auto"/>
        </w:rPr>
      </w:pPr>
    </w:p>
    <w:p>
      <w:pPr>
        <w:jc w:val="both"/>
        <w:ind w:left="1540" w:right="520" w:hanging="297"/>
        <w:spacing w:after="0" w:line="342" w:lineRule="auto"/>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By selectively targeting and neutralizing AbO toxicity, we believe that ACU193 has the potential to provide a reduction in cognitive decline in addition to disease-modifying effects, including synaptic protection and decreased neurodegeneration.</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Potential for higher dosing:</w:t>
      </w:r>
    </w:p>
    <w:p>
      <w:pPr>
        <w:spacing w:after="0" w:line="252" w:lineRule="exact"/>
        <w:rPr>
          <w:sz w:val="20"/>
          <w:szCs w:val="20"/>
          <w:color w:val="auto"/>
        </w:rPr>
      </w:pPr>
    </w:p>
    <w:p>
      <w:pPr>
        <w:ind w:left="1540" w:hanging="297"/>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Selectivity for AbOs is likely to result in greatly reduced rates of ARIA, allowing a broad therapeutic window.</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Clinical Development Plan</w:t>
      </w:r>
    </w:p>
    <w:p>
      <w:pPr>
        <w:spacing w:after="0" w:line="229" w:lineRule="exact"/>
        <w:rPr>
          <w:sz w:val="20"/>
          <w:szCs w:val="20"/>
          <w:color w:val="auto"/>
        </w:rPr>
      </w:pPr>
    </w:p>
    <w:p>
      <w:pPr>
        <w:ind w:left="300" w:right="100" w:firstLine="852"/>
        <w:spacing w:after="0" w:line="301" w:lineRule="auto"/>
        <w:rPr>
          <w:sz w:val="20"/>
          <w:szCs w:val="20"/>
          <w:color w:val="auto"/>
        </w:rPr>
      </w:pPr>
      <w:r>
        <w:rPr>
          <w:rFonts w:ascii="Arial" w:cs="Arial" w:eastAsia="Arial" w:hAnsi="Arial"/>
          <w:sz w:val="16"/>
          <w:szCs w:val="16"/>
          <w:color w:val="auto"/>
        </w:rPr>
        <w:t>In the second quarter of 2021, we initiated a U.S.-based, multi-center, randomized, double-blind, placebo-controlled, single and multiple ascending dose Phase 1 clinical trial of ACU193 in patients with early AD. The early AD patient group is comprised of individuals who have mild dementia or MCI due to AD, and our trial excludes patients with moderate to severe AD dementia. We plan to enroll 62 patients across seven cohorts, consisting of a single-ascending dose Part A (32 participants) and an overlapping multiple-ascending dose Part B (30 participants).</w:t>
      </w:r>
    </w:p>
    <w:p>
      <w:pPr>
        <w:spacing w:after="0" w:line="200" w:lineRule="exact"/>
        <w:rPr>
          <w:sz w:val="20"/>
          <w:szCs w:val="20"/>
          <w:color w:val="auto"/>
        </w:rPr>
      </w:pPr>
    </w:p>
    <w:p>
      <w:pPr>
        <w:spacing w:after="0" w:line="3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9" w:right="6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449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firstLine="852"/>
        <w:spacing w:after="0" w:line="257" w:lineRule="auto"/>
        <w:rPr>
          <w:sz w:val="20"/>
          <w:szCs w:val="20"/>
          <w:color w:val="auto"/>
        </w:rPr>
      </w:pPr>
      <w:r>
        <w:rPr>
          <w:rFonts w:ascii="Arial" w:cs="Arial" w:eastAsia="Arial" w:hAnsi="Arial"/>
          <w:sz w:val="18"/>
          <w:szCs w:val="18"/>
          <w:color w:val="auto"/>
        </w:rPr>
        <w:t>The main objectives of the trial are to evaluate the safety, tolerability, pharmacokinetics, pharmacodynamics, and AbO target engagement of single and multiple ascending doses of ACU193 administered by intravenous infusion. Exploratory outcomes include cognitive scales and computerized cognitive testing. Our goal is to establish proof of mechanism of ACU193 in early AD patients in order to enable rapid progression into an adaptive Phase 2/3 clinical trial in 2023. We intend to provide periodic updates of the status of the Phase 1 trial and anticipate reporting proof of mechanism results in the fourth quarter of 2022.</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Our Nonclinical Data</w:t>
      </w:r>
    </w:p>
    <w:p>
      <w:pPr>
        <w:spacing w:after="0" w:line="229" w:lineRule="exact"/>
        <w:rPr>
          <w:sz w:val="20"/>
          <w:szCs w:val="20"/>
          <w:color w:val="auto"/>
        </w:rPr>
      </w:pPr>
    </w:p>
    <w:p>
      <w:pPr>
        <w:ind w:left="300" w:firstLine="852"/>
        <w:spacing w:after="0" w:line="289" w:lineRule="auto"/>
        <w:rPr>
          <w:sz w:val="20"/>
          <w:szCs w:val="20"/>
          <w:color w:val="auto"/>
        </w:rPr>
      </w:pPr>
      <w:r>
        <w:rPr>
          <w:rFonts w:ascii="Arial" w:cs="Arial" w:eastAsia="Arial" w:hAnsi="Arial"/>
          <w:sz w:val="16"/>
          <w:szCs w:val="16"/>
          <w:color w:val="auto"/>
        </w:rPr>
        <w:t>In nonclinical studies conducted by Merck and Acumen, ACU193 has demonstrated promising characteristics which indicate its potential as a therapy for the treatment of AD. ACU193 has high selectivity, with binding affinity studies showing that it has over 500-fold binding selectivity for AbOs compared to Ab monomers and an ex vivo study we conducted with brain tissue from AD patients showing limited or no binding to amyloid plaques. ACU193 binds to a broad spectrum of small to large soluble AbOs. Additionally, ACU193 has been shown in ex vivo animal studies to offer protection from synaptic toxicity by inhibiting binding of AbOs to primary hippocampal neurons. ACU193 has also demonstrated suitable in vivo pharmacology, target engagement, blood-brain barrier penetration and reduction of behavioral deficits. Based on nonclinical studies conducted using animal models, AbO target engagement has the potential to be achieved at doses of ACU193 that will be tested in the clinic. Lastly, ACU193 has been shown to have an adequate safety margin in Good Laboratory Practice, or GLP, toxicity studies conducted in two animal species. These data indicate that ACU193 has the potential to offer patients a reduction in cognitive decline.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00" w:right="80" w:firstLine="852"/>
        <w:spacing w:after="0" w:line="259" w:lineRule="auto"/>
        <w:rPr>
          <w:sz w:val="20"/>
          <w:szCs w:val="20"/>
          <w:color w:val="auto"/>
        </w:rPr>
      </w:pPr>
      <w:r>
        <w:rPr>
          <w:rFonts w:ascii="Arial" w:cs="Arial" w:eastAsia="Arial" w:hAnsi="Arial"/>
          <w:sz w:val="18"/>
          <w:szCs w:val="18"/>
          <w:color w:val="auto"/>
        </w:rPr>
        <w:t>Our objective is to transform the treatment of AD, and potentially other diseases, by developing innovative therapeutics that target the primary drivers of disease pathology. Our initial therapeutic approach is focused on inhibiting and reducing the toxic activity of AbOs, which may allow for synaptic protection and decreased neurodegeneration, leading to more effective treatment for patients with early AD. To achieve this objective, we are pursuing the following strategies:</w:t>
      </w:r>
    </w:p>
    <w:p>
      <w:pPr>
        <w:spacing w:after="0" w:line="214" w:lineRule="exact"/>
        <w:rPr>
          <w:sz w:val="20"/>
          <w:szCs w:val="20"/>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Rapidly advance ACU193 through clinical development in patients with early AD;</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 combination approaches to complement our core ACU193 monotherapy strategy;</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Selectively explore potential of ACU193 for other diseases;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product portfolio by developing additional molecules; and</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Optimize value of ACU193 and future drug candidates in major markets.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left="300" w:right="20" w:firstLine="852"/>
        <w:spacing w:after="0" w:line="271" w:lineRule="auto"/>
        <w:rPr>
          <w:sz w:val="20"/>
          <w:szCs w:val="20"/>
          <w:color w:val="auto"/>
        </w:rPr>
      </w:pPr>
      <w:r>
        <w:rPr>
          <w:rFonts w:ascii="Arial" w:cs="Arial" w:eastAsia="Arial" w:hAnsi="Arial"/>
          <w:sz w:val="17"/>
          <w:szCs w:val="17"/>
          <w:color w:val="auto"/>
        </w:rPr>
        <w:t>We are led by an experienced management team with deep scientific and drug development knowledge and a strong commitment to developing safe and effective therapies for patients. Collectively, our management team has a rich set of experiences in industry as well as in academia, leading clinical development programs for both public and venture-backed clinical-stage companies, as well as with large biopharmaceutical companies, such as Eli Lilly &amp; Co, or Eli Lilly. We are led by our President and Chief Executive Officer, Daniel O’Connell, our Chief Financial Officer and Chief Business Officer, Matthew Zuga, our Chief Medical Officer, Eric Siemers, M.D. and our Chief Operating Officer, Russell Barton. Our executive team is complemented by our drug development experts, approximately half of whom hold Ph.D. or M.D. degrees and are former members of Eli Lilly’s global AD clinical development organization. These team members, including Dr. Siemers and Mr. Barton, have worked for over a decade on early- through late-phase AD drug development, including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9" w:right="6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9" w:lineRule="auto"/>
        <w:rPr>
          <w:sz w:val="20"/>
          <w:szCs w:val="20"/>
          <w:color w:val="auto"/>
        </w:rPr>
      </w:pPr>
      <w:r>
        <w:rPr>
          <w:rFonts w:ascii="Arial" w:cs="Arial" w:eastAsia="Arial" w:hAnsi="Arial"/>
          <w:sz w:val="18"/>
          <w:szCs w:val="18"/>
          <w:color w:val="auto"/>
        </w:rPr>
        <w:t>numerous early-phase AD trials and five large multi-national Phase 3 studies in AD. Together, our management team brings expertise across relevant disciplines, including neuroscience, neurology, translational science, protein manufacturing, biomarker development and quality and regulatory affairs. We believe our team’s experience and longstanding working relationships position us to take ACU193 through late-stage clinical development and potentially through registration.</w:t>
      </w:r>
    </w:p>
    <w:p>
      <w:pPr>
        <w:spacing w:after="0" w:line="187" w:lineRule="exact"/>
        <w:rPr>
          <w:sz w:val="20"/>
          <w:szCs w:val="20"/>
          <w:color w:val="auto"/>
        </w:rPr>
      </w:pPr>
    </w:p>
    <w:p>
      <w:pPr>
        <w:ind w:left="300" w:firstLine="852"/>
        <w:spacing w:after="0" w:line="291" w:lineRule="auto"/>
        <w:rPr>
          <w:sz w:val="20"/>
          <w:szCs w:val="20"/>
          <w:color w:val="auto"/>
        </w:rPr>
      </w:pPr>
      <w:r>
        <w:rPr>
          <w:rFonts w:ascii="Arial" w:cs="Arial" w:eastAsia="Arial" w:hAnsi="Arial"/>
          <w:sz w:val="16"/>
          <w:szCs w:val="16"/>
          <w:color w:val="auto"/>
        </w:rPr>
        <w:t>Our company has been financially supported by a group of institutional investors, and we have raised approximately $67.5 million in funding as of March 31, 2021. Our key investors include BlackRock, PBM Capital, RA Capital Management, Rock Springs Capital, Sands Capital and several other private investors, each of whom has participated in our Series A, Series A-1 or Series B financings or purchased convertible notes or warrants to purchase common stock of the company. Certain of our investors have committed to invest an additional aggregate of $30 million prior to the completion of this offering in a second closing of our Series B preferred stock financing, after which they will have no commitment to make any additional investment in the company. For additional information regarding our Series B preferred stock financing, see “Certain Relationships and Related Party Transactions—Private Placements of Our Securities—Convertible Preferred Stock Financings.”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Factors Summary</w:t>
      </w:r>
    </w:p>
    <w:p>
      <w:pPr>
        <w:spacing w:after="0" w:line="225" w:lineRule="exact"/>
        <w:rPr>
          <w:sz w:val="20"/>
          <w:szCs w:val="20"/>
          <w:color w:val="auto"/>
        </w:rPr>
      </w:pPr>
    </w:p>
    <w:p>
      <w:pPr>
        <w:ind w:left="300" w:right="60" w:firstLine="852"/>
        <w:spacing w:after="0" w:line="277" w:lineRule="auto"/>
        <w:rPr>
          <w:sz w:val="20"/>
          <w:szCs w:val="20"/>
          <w:color w:val="auto"/>
        </w:rPr>
      </w:pPr>
      <w:r>
        <w:rPr>
          <w:rFonts w:ascii="Arial" w:cs="Arial" w:eastAsia="Arial" w:hAnsi="Arial"/>
          <w:sz w:val="18"/>
          <w:szCs w:val="18"/>
          <w:color w:val="auto"/>
        </w:rPr>
        <w:t>Our business is subject to numerous risks that you should be aware of before making an investment decision. These risks are described more fully in the section titled “Risk Factors” and include, among others:</w:t>
      </w:r>
    </w:p>
    <w:p>
      <w:pPr>
        <w:spacing w:after="0" w:line="197" w:lineRule="exact"/>
        <w:rPr>
          <w:sz w:val="20"/>
          <w:szCs w:val="20"/>
          <w:color w:val="auto"/>
        </w:rPr>
      </w:pPr>
    </w:p>
    <w:p>
      <w:pPr>
        <w:ind w:left="1860" w:hanging="293"/>
        <w:spacing w:after="0"/>
        <w:tabs>
          <w:tab w:leader="none" w:pos="1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limited operating history.</w:t>
      </w:r>
    </w:p>
    <w:p>
      <w:pPr>
        <w:spacing w:after="0" w:line="252" w:lineRule="exact"/>
        <w:rPr>
          <w:rFonts w:ascii="Arial" w:cs="Arial" w:eastAsia="Arial" w:hAnsi="Arial"/>
          <w:sz w:val="18"/>
          <w:szCs w:val="18"/>
          <w:color w:val="auto"/>
        </w:rPr>
      </w:pPr>
    </w:p>
    <w:p>
      <w:pPr>
        <w:ind w:left="1860" w:right="120" w:hanging="293"/>
        <w:spacing w:after="0" w:line="277" w:lineRule="auto"/>
        <w:tabs>
          <w:tab w:leader="none" w:pos="1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no product candidates approved for commercial sale, we have never generated any revenue from sales and we may never be profitable.</w:t>
      </w:r>
    </w:p>
    <w:p>
      <w:pPr>
        <w:spacing w:after="0" w:line="197" w:lineRule="exact"/>
        <w:rPr>
          <w:rFonts w:ascii="Arial" w:cs="Arial" w:eastAsia="Arial" w:hAnsi="Arial"/>
          <w:sz w:val="18"/>
          <w:szCs w:val="18"/>
          <w:color w:val="auto"/>
        </w:rPr>
      </w:pPr>
    </w:p>
    <w:p>
      <w:pPr>
        <w:ind w:left="1860" w:right="40" w:hanging="293"/>
        <w:spacing w:after="0" w:line="311" w:lineRule="auto"/>
        <w:tabs>
          <w:tab w:leader="none" w:pos="1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Even if this offering is successful, we will require substantial additional funding to finance our operations, complete the development and commercialization of ACU193 for AD and evaluate future product candidates. If we are unable to raise this funding when needed, we may be forced to delay, reduce or eliminate our drug development programs or other operations.</w:t>
      </w:r>
    </w:p>
    <w:p>
      <w:pPr>
        <w:spacing w:after="0" w:line="175" w:lineRule="exact"/>
        <w:rPr>
          <w:rFonts w:ascii="Arial" w:cs="Arial" w:eastAsia="Arial" w:hAnsi="Arial"/>
          <w:sz w:val="16"/>
          <w:szCs w:val="16"/>
          <w:color w:val="auto"/>
        </w:rPr>
      </w:pPr>
    </w:p>
    <w:p>
      <w:pPr>
        <w:jc w:val="both"/>
        <w:ind w:left="1860" w:right="80" w:hanging="293"/>
        <w:spacing w:after="0" w:line="286" w:lineRule="auto"/>
        <w:tabs>
          <w:tab w:leader="none" w:pos="1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substantially dependent on the success of ACU193, our sole product candidate, which will require significant clinical testing before we can seek regulatory approval and potentially launch commercial sales, and which may not be successful in clinical trials, receive regulatory approval or be successfully commercialized, even if approved.</w:t>
      </w:r>
    </w:p>
    <w:p>
      <w:pPr>
        <w:spacing w:after="0" w:line="192" w:lineRule="exact"/>
        <w:rPr>
          <w:rFonts w:ascii="Arial" w:cs="Arial" w:eastAsia="Arial" w:hAnsi="Arial"/>
          <w:sz w:val="17"/>
          <w:szCs w:val="17"/>
          <w:color w:val="auto"/>
        </w:rPr>
      </w:pPr>
    </w:p>
    <w:p>
      <w:pPr>
        <w:ind w:left="1860" w:right="80" w:hanging="293"/>
        <w:spacing w:after="0" w:line="277" w:lineRule="auto"/>
        <w:tabs>
          <w:tab w:leader="none" w:pos="1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concentrated our research and development efforts on the treatment of AD, a field that has to date seen very limited success in drug development.</w:t>
      </w:r>
    </w:p>
    <w:p>
      <w:pPr>
        <w:spacing w:after="0" w:line="197" w:lineRule="exact"/>
        <w:rPr>
          <w:rFonts w:ascii="Arial" w:cs="Arial" w:eastAsia="Arial" w:hAnsi="Arial"/>
          <w:sz w:val="18"/>
          <w:szCs w:val="18"/>
          <w:color w:val="auto"/>
        </w:rPr>
      </w:pPr>
    </w:p>
    <w:p>
      <w:pPr>
        <w:ind w:left="1860" w:right="400" w:hanging="293"/>
        <w:spacing w:after="0" w:line="277" w:lineRule="auto"/>
        <w:tabs>
          <w:tab w:leader="none" w:pos="1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approach to the potential treatment of AD is based on a novel therapeutic approach, which exposes us to unforeseen risks.</w:t>
      </w:r>
    </w:p>
    <w:p>
      <w:pPr>
        <w:spacing w:after="0" w:line="197" w:lineRule="exact"/>
        <w:rPr>
          <w:rFonts w:ascii="Arial" w:cs="Arial" w:eastAsia="Arial" w:hAnsi="Arial"/>
          <w:sz w:val="18"/>
          <w:szCs w:val="18"/>
          <w:color w:val="auto"/>
        </w:rPr>
      </w:pPr>
    </w:p>
    <w:p>
      <w:pPr>
        <w:jc w:val="both"/>
        <w:ind w:left="1860" w:right="280" w:hanging="293"/>
        <w:spacing w:after="0" w:line="311" w:lineRule="auto"/>
        <w:tabs>
          <w:tab w:leader="none" w:pos="1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Nonclinical and clinical drug development involves a lengthy, expensive and uncertain process. The results of nonclinical studies and early clinical trials are not always predictive of future results. ACU193 or any other product candidate that we advance into clinical trials may not achieve favorable results in later clinical trials, if any, or receive marketing approval.</w:t>
      </w:r>
    </w:p>
    <w:p>
      <w:pPr>
        <w:spacing w:after="0" w:line="175" w:lineRule="exact"/>
        <w:rPr>
          <w:rFonts w:ascii="Arial" w:cs="Arial" w:eastAsia="Arial" w:hAnsi="Arial"/>
          <w:sz w:val="16"/>
          <w:szCs w:val="16"/>
          <w:color w:val="auto"/>
        </w:rPr>
      </w:pPr>
    </w:p>
    <w:p>
      <w:pPr>
        <w:ind w:left="1860" w:right="300" w:hanging="293"/>
        <w:spacing w:after="0" w:line="277" w:lineRule="auto"/>
        <w:tabs>
          <w:tab w:leader="none" w:pos="1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failure can occur at any stage of clinical development and we have never completed a clinical trial or submitted a biologics license application, or BLA, or marketing authorization application, or MAA.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860" w:right="100" w:hanging="293"/>
        <w:spacing w:after="0" w:line="277" w:lineRule="auto"/>
        <w:tabs>
          <w:tab w:leader="none" w:pos="1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development and commercialization of our product candidates.</w:t>
      </w:r>
    </w:p>
    <w:p>
      <w:pPr>
        <w:spacing w:after="0" w:line="197" w:lineRule="exact"/>
        <w:rPr>
          <w:rFonts w:ascii="Arial" w:cs="Arial" w:eastAsia="Arial" w:hAnsi="Arial"/>
          <w:sz w:val="18"/>
          <w:szCs w:val="18"/>
          <w:color w:val="auto"/>
        </w:rPr>
      </w:pPr>
    </w:p>
    <w:p>
      <w:pPr>
        <w:ind w:left="1860" w:hanging="293"/>
        <w:spacing w:after="0" w:line="308" w:lineRule="auto"/>
        <w:tabs>
          <w:tab w:leader="none" w:pos="18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currently rely on CMOs to supply components of and manufacture ACU193. The loss of any of these CMOs or the failure of any of them to meet their obligations to us could affect our ability to develop ACU193 in a timely manner.</w:t>
      </w:r>
    </w:p>
    <w:p>
      <w:pPr>
        <w:spacing w:after="0" w:line="173" w:lineRule="exact"/>
        <w:rPr>
          <w:rFonts w:ascii="Arial" w:cs="Arial" w:eastAsia="Arial" w:hAnsi="Arial"/>
          <w:sz w:val="17"/>
          <w:szCs w:val="17"/>
          <w:color w:val="auto"/>
        </w:rPr>
      </w:pPr>
    </w:p>
    <w:p>
      <w:pPr>
        <w:ind w:left="1860" w:right="80" w:hanging="293"/>
        <w:spacing w:after="0" w:line="257" w:lineRule="auto"/>
        <w:tabs>
          <w:tab w:leader="none" w:pos="1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intend to rely on CROs and other third parties to conduct, supervise and monitor a significant portion of our research and nonclinical testing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214" w:lineRule="exact"/>
        <w:rPr>
          <w:rFonts w:ascii="Arial" w:cs="Arial" w:eastAsia="Arial" w:hAnsi="Arial"/>
          <w:sz w:val="18"/>
          <w:szCs w:val="18"/>
          <w:color w:val="auto"/>
        </w:rPr>
      </w:pPr>
    </w:p>
    <w:p>
      <w:pPr>
        <w:ind w:left="1860" w:right="100" w:hanging="293"/>
        <w:spacing w:after="0" w:line="342" w:lineRule="auto"/>
        <w:tabs>
          <w:tab w:leader="none" w:pos="1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face significant competition in an environment of rapid technological and scientific change, and there is a possibility that our competitors may achieve regulatory approval before us or develop therapies that are safer or more effective than ours.</w:t>
      </w:r>
    </w:p>
    <w:p>
      <w:pPr>
        <w:spacing w:after="0" w:line="150" w:lineRule="exact"/>
        <w:rPr>
          <w:rFonts w:ascii="Arial" w:cs="Arial" w:eastAsia="Arial" w:hAnsi="Arial"/>
          <w:sz w:val="16"/>
          <w:szCs w:val="16"/>
          <w:color w:val="auto"/>
        </w:rPr>
      </w:pPr>
    </w:p>
    <w:p>
      <w:pPr>
        <w:ind w:left="1860" w:right="120" w:hanging="293"/>
        <w:spacing w:after="0" w:line="263" w:lineRule="auto"/>
        <w:tabs>
          <w:tab w:leader="none" w:pos="1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enter into a commercial collaboration or, alternatively, establish internal sales, marketing and distribution capabilities, for ACU193 or any other product candidate that may receive regulatory approval, we may not be successful in commercializing those product candidates if and when they are approved.</w:t>
      </w:r>
    </w:p>
    <w:p>
      <w:pPr>
        <w:spacing w:after="0" w:line="210" w:lineRule="exact"/>
        <w:rPr>
          <w:rFonts w:ascii="Arial" w:cs="Arial" w:eastAsia="Arial" w:hAnsi="Arial"/>
          <w:sz w:val="18"/>
          <w:szCs w:val="18"/>
          <w:color w:val="auto"/>
        </w:rPr>
      </w:pPr>
    </w:p>
    <w:p>
      <w:pPr>
        <w:ind w:left="1860" w:right="140" w:hanging="293"/>
        <w:spacing w:after="0" w:line="301" w:lineRule="auto"/>
        <w:tabs>
          <w:tab w:leader="none" w:pos="18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are unable to obtain and maintain sufficient intellectual property protection for our product candidate, and other proprietary technologies we develop, or if the scope of the intellectual property protection obtained is not sufficiently broad, our competitors could develop and commercialize products similar or identical to ours, and our ability to successfully commercialize our product candidate, and other proprietary technologies if approved, may be adversely affected.</w:t>
      </w:r>
    </w:p>
    <w:p>
      <w:pPr>
        <w:spacing w:after="0" w:line="184" w:lineRule="exact"/>
        <w:rPr>
          <w:rFonts w:ascii="Arial" w:cs="Arial" w:eastAsia="Arial" w:hAnsi="Arial"/>
          <w:sz w:val="16"/>
          <w:szCs w:val="16"/>
          <w:color w:val="auto"/>
        </w:rPr>
      </w:pPr>
    </w:p>
    <w:p>
      <w:pPr>
        <w:ind w:left="1860" w:right="120" w:hanging="293"/>
        <w:spacing w:after="0" w:line="277" w:lineRule="auto"/>
        <w:tabs>
          <w:tab w:leader="none" w:pos="1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which could, if not remediated, result in material misstatements in our financial statements.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Implications of Being an Emerging Growth Company and a Smaller Reporting Company</w:t>
      </w:r>
    </w:p>
    <w:p>
      <w:pPr>
        <w:spacing w:after="0" w:line="225" w:lineRule="exact"/>
        <w:rPr>
          <w:sz w:val="20"/>
          <w:szCs w:val="20"/>
          <w:color w:val="auto"/>
        </w:rPr>
      </w:pPr>
    </w:p>
    <w:p>
      <w:pPr>
        <w:ind w:left="300" w:right="120" w:firstLine="852"/>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For so long as we remain an emerging growth company, we may take advantage of relief from certain reporting requirements and other burdens that are otherwise applicable generally to public companies. These provisions include:</w:t>
      </w:r>
    </w:p>
    <w:p>
      <w:pPr>
        <w:spacing w:after="0" w:line="211" w:lineRule="exact"/>
        <w:rPr>
          <w:sz w:val="20"/>
          <w:szCs w:val="20"/>
          <w:color w:val="auto"/>
        </w:rPr>
      </w:pPr>
    </w:p>
    <w:p>
      <w:pPr>
        <w:ind w:left="1540" w:right="460" w:hanging="297"/>
        <w:spacing w:after="0" w:line="263"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only being required to present two years of audited financial statements, in addition to any required unaudited interim financial statements with correspondingly reduced “Management’s Discussion and Analysis of Financial Condition and Results of Operations” disclosure;</w:t>
      </w:r>
    </w:p>
    <w:p>
      <w:pPr>
        <w:spacing w:after="0" w:line="210" w:lineRule="exact"/>
        <w:rPr>
          <w:rFonts w:ascii="Arial" w:cs="Arial" w:eastAsia="Arial" w:hAnsi="Arial"/>
          <w:sz w:val="18"/>
          <w:szCs w:val="18"/>
          <w:color w:val="auto"/>
        </w:rPr>
      </w:pPr>
    </w:p>
    <w:p>
      <w:pPr>
        <w:ind w:left="1540" w:right="38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 as amended;</w:t>
      </w:r>
    </w:p>
    <w:p>
      <w:pPr>
        <w:spacing w:after="0" w:line="197" w:lineRule="exact"/>
        <w:rPr>
          <w:rFonts w:ascii="Arial" w:cs="Arial" w:eastAsia="Arial" w:hAnsi="Arial"/>
          <w:sz w:val="18"/>
          <w:szCs w:val="18"/>
          <w:color w:val="auto"/>
        </w:rPr>
      </w:pPr>
    </w:p>
    <w:p>
      <w:pPr>
        <w:ind w:left="1540" w:right="42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obligations with respect to disclosure about our executive compensation arrangements in our periodic reports, proxy statements and registration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64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64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or golden parachute arrangements; and</w:t>
      </w:r>
    </w:p>
    <w:p>
      <w:pPr>
        <w:spacing w:after="0" w:line="197" w:lineRule="exact"/>
        <w:rPr>
          <w:rFonts w:ascii="Arial" w:cs="Arial" w:eastAsia="Arial" w:hAnsi="Arial"/>
          <w:sz w:val="18"/>
          <w:szCs w:val="18"/>
          <w:color w:val="auto"/>
        </w:rPr>
      </w:pPr>
    </w:p>
    <w:p>
      <w:pPr>
        <w:ind w:left="1540" w:right="72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70" w:lineRule="exact"/>
        <w:rPr>
          <w:sz w:val="20"/>
          <w:szCs w:val="20"/>
          <w:color w:val="auto"/>
        </w:rPr>
      </w:pPr>
    </w:p>
    <w:p>
      <w:pPr>
        <w:ind w:left="300" w:firstLine="852"/>
        <w:spacing w:after="0" w:line="270" w:lineRule="auto"/>
        <w:rPr>
          <w:sz w:val="20"/>
          <w:szCs w:val="20"/>
          <w:color w:val="auto"/>
        </w:rPr>
      </w:pPr>
      <w:r>
        <w:rPr>
          <w:rFonts w:ascii="Arial" w:cs="Arial" w:eastAsia="Arial" w:hAnsi="Arial"/>
          <w:sz w:val="17"/>
          <w:szCs w:val="17"/>
          <w:color w:val="auto"/>
        </w:rPr>
        <w:t>We may take advantage of these provisions until the last day of the fiscal year ending after the fifth anniversary of this offering or such earlier time that we no longer qualify as an emerging growth company. We will cease to qualify as an emerging growth company on the date that is the earliest of: (i) the last day of our fiscal year following the fifth anniversary of the date of the completion of this offering, (ii) the last day of the fiscal year in which we have more than $1.07 billion in total annual gross revenues, (iii) the date on which we are deemed to be a “large accelerated filer” under the rules of the U.S. Securities and Exchange Commission,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prospectus. Accordingly, the information contained herein may be different than you might obtain from other public companies in which you hold equity interests.</w:t>
      </w:r>
    </w:p>
    <w:p>
      <w:pPr>
        <w:spacing w:after="0" w:line="181" w:lineRule="exact"/>
        <w:rPr>
          <w:sz w:val="20"/>
          <w:szCs w:val="20"/>
          <w:color w:val="auto"/>
        </w:rPr>
      </w:pPr>
    </w:p>
    <w:p>
      <w:pPr>
        <w:ind w:left="300" w:right="160" w:firstLine="852"/>
        <w:spacing w:after="0" w:line="253"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share price.</w:t>
      </w:r>
    </w:p>
    <w:p>
      <w:pPr>
        <w:spacing w:after="0" w:line="196" w:lineRule="exact"/>
        <w:rPr>
          <w:sz w:val="20"/>
          <w:szCs w:val="20"/>
          <w:color w:val="auto"/>
        </w:rPr>
      </w:pPr>
    </w:p>
    <w:p>
      <w:pPr>
        <w:ind w:left="300" w:right="60" w:firstLine="852"/>
        <w:spacing w:after="0" w:line="270" w:lineRule="auto"/>
        <w:rPr>
          <w:sz w:val="20"/>
          <w:szCs w:val="20"/>
          <w:color w:val="auto"/>
        </w:rPr>
      </w:pPr>
      <w:r>
        <w:rPr>
          <w:rFonts w:ascii="Arial" w:cs="Arial" w:eastAsia="Arial" w:hAnsi="Arial"/>
          <w:sz w:val="17"/>
          <w:szCs w:val="17"/>
          <w:color w:val="auto"/>
        </w:rPr>
        <w:t>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25" w:lineRule="exact"/>
        <w:rPr>
          <w:sz w:val="20"/>
          <w:szCs w:val="20"/>
          <w:color w:val="auto"/>
        </w:rPr>
      </w:pPr>
    </w:p>
    <w:p>
      <w:pPr>
        <w:ind w:left="300" w:right="60" w:firstLine="852"/>
        <w:spacing w:after="0" w:line="259" w:lineRule="auto"/>
        <w:rPr>
          <w:sz w:val="20"/>
          <w:szCs w:val="20"/>
          <w:color w:val="auto"/>
        </w:rPr>
      </w:pPr>
      <w:r>
        <w:rPr>
          <w:rFonts w:ascii="Arial" w:cs="Arial" w:eastAsia="Arial" w:hAnsi="Arial"/>
          <w:sz w:val="18"/>
          <w:szCs w:val="18"/>
          <w:color w:val="auto"/>
        </w:rPr>
        <w:t>We were incorporated under the laws of the State of Delaware in 1996. Our principal executive offices are located at 427 Park St., Charlottesville, Virginia 22902 and our telephone number is (434) 297-1000. Our website address is http://www.acumenpharm.com/. The information contained on, or accessible through, our website is not incorporated by reference into this prospectus. We have included our website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61677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Common stock offered by us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Underwriters’ option to purchase additional shares</w:t>
      </w:r>
    </w:p>
    <w:p>
      <w:pPr>
        <w:spacing w:after="0" w:line="200" w:lineRule="exact"/>
        <w:rPr>
          <w:sz w:val="20"/>
          <w:szCs w:val="20"/>
          <w:color w:val="auto"/>
        </w:rPr>
      </w:pPr>
    </w:p>
    <w:p>
      <w:pPr>
        <w:spacing w:after="0" w:line="266" w:lineRule="exact"/>
        <w:rPr>
          <w:sz w:val="20"/>
          <w:szCs w:val="20"/>
          <w:color w:val="auto"/>
        </w:rPr>
      </w:pPr>
    </w:p>
    <w:p>
      <w:pPr>
        <w:ind w:left="480" w:hanging="179"/>
        <w:spacing w:after="0" w:line="277"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4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Reserved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55" w:lineRule="exact"/>
        <w:rPr>
          <w:sz w:val="20"/>
          <w:szCs w:val="20"/>
          <w:color w:val="auto"/>
        </w:rPr>
      </w:pPr>
    </w:p>
    <w:p>
      <w:pPr>
        <w:ind w:left="540"/>
        <w:spacing w:after="0"/>
        <w:tabs>
          <w:tab w:leader="none" w:pos="180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shares if the underwriters exercise in full their option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 additional shares).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net proceeds from this offering will be approximately</w:t>
      </w:r>
    </w:p>
    <w:p>
      <w:pPr>
        <w:spacing w:after="0" w:line="23" w:lineRule="exact"/>
        <w:rPr>
          <w:sz w:val="20"/>
          <w:szCs w:val="20"/>
          <w:color w:val="auto"/>
        </w:rPr>
      </w:pPr>
    </w:p>
    <w:p>
      <w:pPr>
        <w:spacing w:after="0"/>
        <w:tabs>
          <w:tab w:leader="none" w:pos="660" w:val="left"/>
          <w:tab w:leader="none" w:pos="3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6"/>
          <w:szCs w:val="16"/>
          <w:color w:val="auto"/>
        </w:rPr>
        <w:t>million if the underwriters exercise in</w:t>
      </w:r>
    </w:p>
    <w:p>
      <w:pPr>
        <w:spacing w:after="0" w:line="9"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color w:val="auto"/>
        </w:rPr>
        <w:t>full their option to purchase up to</w:t>
      </w:r>
      <w:r>
        <w:rPr>
          <w:sz w:val="20"/>
          <w:szCs w:val="20"/>
          <w:color w:val="auto"/>
        </w:rPr>
        <w:tab/>
      </w:r>
      <w:r>
        <w:rPr>
          <w:rFonts w:ascii="Arial" w:cs="Arial" w:eastAsia="Arial" w:hAnsi="Arial"/>
          <w:sz w:val="16"/>
          <w:szCs w:val="16"/>
          <w:color w:val="auto"/>
        </w:rPr>
        <w:t>additional shares of common stock),</w:t>
      </w:r>
    </w:p>
    <w:p>
      <w:pPr>
        <w:spacing w:after="0" w:line="9" w:lineRule="exact"/>
        <w:rPr>
          <w:sz w:val="20"/>
          <w:szCs w:val="20"/>
          <w:color w:val="auto"/>
        </w:rPr>
      </w:pPr>
    </w:p>
    <w:p>
      <w:pPr>
        <w:spacing w:after="0"/>
        <w:tabs>
          <w:tab w:leader="none" w:pos="3780" w:val="left"/>
        </w:tabs>
        <w:rPr>
          <w:sz w:val="20"/>
          <w:szCs w:val="20"/>
          <w:color w:val="auto"/>
        </w:rPr>
      </w:pPr>
      <w:r>
        <w:rPr>
          <w:rFonts w:ascii="Arial" w:cs="Arial" w:eastAsia="Arial" w:hAnsi="Arial"/>
          <w:sz w:val="18"/>
          <w:szCs w:val="18"/>
          <w:color w:val="auto"/>
        </w:rPr>
        <w:t>assuming an initial public offering price of $</w:t>
      </w:r>
      <w:r>
        <w:rPr>
          <w:sz w:val="20"/>
          <w:szCs w:val="20"/>
          <w:color w:val="auto"/>
        </w:rPr>
        <w:tab/>
      </w:r>
      <w:r>
        <w:rPr>
          <w:rFonts w:ascii="Arial" w:cs="Arial" w:eastAsia="Arial" w:hAnsi="Arial"/>
          <w:sz w:val="16"/>
          <w:szCs w:val="16"/>
          <w:color w:val="auto"/>
        </w:rPr>
        <w:t>per share, which is the midpoint</w:t>
      </w:r>
    </w:p>
    <w:p>
      <w:pPr>
        <w:spacing w:after="0" w:line="9"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color w:val="auto"/>
        </w:rPr>
        <w:t>of the price range set forth on the cover page of this prospectus, after deducting the estimated underwriting discounts and commissions and estimated offering expenses payable by us.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We currently intend to use the net proceeds from this offering, together with our</w:t>
      </w:r>
    </w:p>
    <w:p>
      <w:pPr>
        <w:spacing w:after="0" w:line="35"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existing cash and cash equivalents, to and the remainder for working capital and other general corporate purposes. See the section titled “Use of Proceeds” for additional information.</w:t>
      </w:r>
    </w:p>
    <w:p>
      <w:pPr>
        <w:spacing w:after="0" w:line="20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At our request, an affiliate of BofA Securities, Inc., a participating underwriter, has reserved for sale, at the initial public offering price, up to 5% of the shares of our common stock offered by this prospectus for sale to certain of our directors, officers, employees, distributors, dealers, business associates and related persons. If these persons purchase reserved shares, this will reduce the number of shares of our common stock available for sale to the general public. Any reserved shares that are not so purchased will be offered by the underwriters to the general public on the same terms as the other shares offered by this prospectus.</w:t>
      </w:r>
    </w:p>
    <w:p>
      <w:pPr>
        <w:spacing w:after="0" w:line="178" w:lineRule="exact"/>
        <w:rPr>
          <w:sz w:val="20"/>
          <w:szCs w:val="20"/>
          <w:color w:val="auto"/>
        </w:rPr>
      </w:pPr>
    </w:p>
    <w:p>
      <w:pPr>
        <w:sectPr>
          <w:pgSz w:w="11900" w:h="16838" w:orient="portrait"/>
          <w:cols w:equalWidth="0" w:num="2">
            <w:col w:w="4300" w:space="380"/>
            <w:col w:w="6460"/>
          </w:cols>
          <w:pgMar w:left="320" w:top="459" w:right="439" w:bottom="1440" w:gutter="0" w:footer="0" w:header="0"/>
          <w:type w:val="continuous"/>
        </w:sectPr>
      </w:pPr>
    </w:p>
    <w:p>
      <w:pPr>
        <w:ind w:left="300"/>
        <w:spacing w:after="0"/>
        <w:tabs>
          <w:tab w:leader="none" w:pos="466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You should read the section titled “Risk Factors” for a discussion of factors you should</w:t>
      </w:r>
    </w:p>
    <w:p>
      <w:pPr>
        <w:spacing w:after="0" w:line="23" w:lineRule="exact"/>
        <w:rPr>
          <w:sz w:val="20"/>
          <w:szCs w:val="20"/>
          <w:color w:val="auto"/>
        </w:rPr>
      </w:pPr>
    </w:p>
    <w:p>
      <w:pPr>
        <w:ind w:left="4680" w:right="320"/>
        <w:spacing w:after="0" w:line="260" w:lineRule="auto"/>
        <w:rPr>
          <w:sz w:val="20"/>
          <w:szCs w:val="20"/>
          <w:color w:val="auto"/>
        </w:rPr>
      </w:pPr>
      <w:r>
        <w:rPr>
          <w:rFonts w:ascii="Arial" w:cs="Arial" w:eastAsia="Arial" w:hAnsi="Arial"/>
          <w:sz w:val="18"/>
          <w:szCs w:val="18"/>
          <w:color w:val="auto"/>
        </w:rPr>
        <w:t>consider carefully, together with all the other information included in this prospectus, before deciding to invest in our common stock.</w:t>
      </w:r>
    </w:p>
    <w:p>
      <w:pPr>
        <w:spacing w:after="0" w:line="185" w:lineRule="exact"/>
        <w:rPr>
          <w:sz w:val="20"/>
          <w:szCs w:val="20"/>
          <w:color w:val="auto"/>
        </w:rPr>
      </w:pPr>
    </w:p>
    <w:p>
      <w:pPr>
        <w:ind w:left="300"/>
        <w:spacing w:after="0"/>
        <w:tabs>
          <w:tab w:leader="none" w:pos="4660" w:val="left"/>
        </w:tabs>
        <w:rPr>
          <w:sz w:val="20"/>
          <w:szCs w:val="20"/>
          <w:color w:val="auto"/>
        </w:rPr>
      </w:pPr>
      <w:r>
        <w:rPr>
          <w:rFonts w:ascii="Arial" w:cs="Arial" w:eastAsia="Arial" w:hAnsi="Arial"/>
          <w:sz w:val="18"/>
          <w:szCs w:val="18"/>
          <w:color w:val="auto"/>
        </w:rPr>
        <w:t>Proposed Nasdaq Global Market symbol</w:t>
      </w:r>
      <w:r>
        <w:rPr>
          <w:sz w:val="20"/>
          <w:szCs w:val="20"/>
          <w:color w:val="auto"/>
        </w:rPr>
        <w:tab/>
      </w:r>
      <w:r>
        <w:rPr>
          <w:rFonts w:ascii="Arial" w:cs="Arial" w:eastAsia="Arial" w:hAnsi="Arial"/>
          <w:sz w:val="18"/>
          <w:szCs w:val="18"/>
          <w:color w:val="auto"/>
        </w:rPr>
        <w:t>“ABOS”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300" w:type="dxa"/>
            <w:vAlign w:val="bottom"/>
            <w:gridSpan w:val="2"/>
          </w:tcPr>
          <w:p>
            <w:pPr>
              <w:ind w:left="1040"/>
              <w:spacing w:after="0"/>
              <w:rPr>
                <w:sz w:val="20"/>
                <w:szCs w:val="20"/>
                <w:color w:val="auto"/>
              </w:rPr>
            </w:pPr>
            <w:r>
              <w:rPr>
                <w:rFonts w:ascii="Arial" w:cs="Arial" w:eastAsia="Arial" w:hAnsi="Arial"/>
                <w:sz w:val="18"/>
                <w:szCs w:val="18"/>
                <w:color w:val="auto"/>
                <w:w w:val="99"/>
              </w:rPr>
              <w:t>The number of shares of our common stock to be outstanding after this offering is based on</w:t>
            </w:r>
          </w:p>
        </w:tc>
        <w:tc>
          <w:tcPr>
            <w:tcW w:w="2720" w:type="dxa"/>
            <w:vAlign w:val="bottom"/>
            <w:gridSpan w:val="2"/>
          </w:tcPr>
          <w:p>
            <w:pPr>
              <w:ind w:left="120"/>
              <w:spacing w:after="0"/>
              <w:rPr>
                <w:sz w:val="20"/>
                <w:szCs w:val="20"/>
                <w:color w:val="auto"/>
              </w:rPr>
            </w:pPr>
            <w:r>
              <w:rPr>
                <w:rFonts w:ascii="Arial" w:cs="Arial" w:eastAsia="Arial" w:hAnsi="Arial"/>
                <w:sz w:val="18"/>
                <w:szCs w:val="18"/>
                <w:color w:val="auto"/>
              </w:rPr>
              <w:t>shares of our common stock</w:t>
            </w:r>
          </w:p>
        </w:tc>
      </w:tr>
      <w:tr>
        <w:trPr>
          <w:trHeight w:val="216"/>
        </w:trPr>
        <w:tc>
          <w:tcPr>
            <w:tcW w:w="11020" w:type="dxa"/>
            <w:vAlign w:val="bottom"/>
            <w:gridSpan w:val="4"/>
          </w:tcPr>
          <w:p>
            <w:pPr>
              <w:ind w:left="180"/>
              <w:spacing w:after="0"/>
              <w:rPr>
                <w:sz w:val="20"/>
                <w:szCs w:val="20"/>
                <w:color w:val="auto"/>
              </w:rPr>
            </w:pPr>
            <w:r>
              <w:rPr>
                <w:rFonts w:ascii="Arial" w:cs="Arial" w:eastAsia="Arial" w:hAnsi="Arial"/>
                <w:sz w:val="18"/>
                <w:szCs w:val="18"/>
                <w:color w:val="auto"/>
                <w:w w:val="97"/>
              </w:rPr>
              <w:t>outstanding as of March 31, 2021, after giving effect to the conversion of all outstanding shares of our convertible preferred stock, including</w:t>
            </w:r>
          </w:p>
        </w:tc>
      </w:tr>
      <w:tr>
        <w:trPr>
          <w:trHeight w:val="216"/>
        </w:trPr>
        <w:tc>
          <w:tcPr>
            <w:tcW w:w="9780" w:type="dxa"/>
            <w:vAlign w:val="bottom"/>
            <w:gridSpan w:val="3"/>
          </w:tcPr>
          <w:p>
            <w:pPr>
              <w:ind w:left="180"/>
              <w:spacing w:after="0"/>
              <w:rPr>
                <w:sz w:val="20"/>
                <w:szCs w:val="20"/>
                <w:color w:val="auto"/>
              </w:rPr>
            </w:pPr>
            <w:r>
              <w:rPr>
                <w:rFonts w:ascii="Arial" w:cs="Arial" w:eastAsia="Arial" w:hAnsi="Arial"/>
                <w:sz w:val="18"/>
                <w:szCs w:val="18"/>
                <w:color w:val="auto"/>
                <w:w w:val="93"/>
              </w:rPr>
              <w:t>711,203 shares of our Series A convertible preferred stock, 11,231,511 shares of our Series A-1 convertible preferred stock, and</w:t>
            </w:r>
          </w:p>
        </w:tc>
        <w:tc>
          <w:tcPr>
            <w:tcW w:w="1240" w:type="dxa"/>
            <w:vAlign w:val="bottom"/>
          </w:tcPr>
          <w:p>
            <w:pPr>
              <w:ind w:left="400"/>
              <w:spacing w:after="0"/>
              <w:rPr>
                <w:sz w:val="20"/>
                <w:szCs w:val="20"/>
                <w:color w:val="auto"/>
              </w:rPr>
            </w:pPr>
            <w:r>
              <w:rPr>
                <w:rFonts w:ascii="Arial" w:cs="Arial" w:eastAsia="Arial" w:hAnsi="Arial"/>
                <w:sz w:val="18"/>
                <w:szCs w:val="18"/>
                <w:color w:val="auto"/>
              </w:rPr>
              <w:t>shares of</w:t>
            </w: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w w:val="98"/>
              </w:rPr>
              <w:t>our Series B convertible preferred stock, into an aggregate of</w:t>
            </w:r>
          </w:p>
        </w:tc>
        <w:tc>
          <w:tcPr>
            <w:tcW w:w="3320" w:type="dxa"/>
            <w:vAlign w:val="bottom"/>
          </w:tcPr>
          <w:p>
            <w:pPr>
              <w:jc w:val="right"/>
              <w:ind w:right="30"/>
              <w:spacing w:after="0"/>
              <w:rPr>
                <w:sz w:val="20"/>
                <w:szCs w:val="20"/>
                <w:color w:val="auto"/>
              </w:rPr>
            </w:pPr>
            <w:r>
              <w:rPr>
                <w:rFonts w:ascii="Arial" w:cs="Arial" w:eastAsia="Arial" w:hAnsi="Arial"/>
                <w:sz w:val="18"/>
                <w:szCs w:val="18"/>
                <w:color w:val="auto"/>
              </w:rPr>
              <w:t>shares of common stock, as well as the</w:t>
            </w:r>
          </w:p>
        </w:tc>
        <w:tc>
          <w:tcPr>
            <w:tcW w:w="14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0"/>
        </w:trPr>
        <w:tc>
          <w:tcPr>
            <w:tcW w:w="49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604"/>
        </w:trPr>
        <w:tc>
          <w:tcPr>
            <w:tcW w:w="4980" w:type="dxa"/>
            <w:vAlign w:val="bottom"/>
          </w:tcPr>
          <w:p>
            <w:pPr>
              <w:spacing w:after="0"/>
              <w:rPr>
                <w:sz w:val="24"/>
                <w:szCs w:val="24"/>
                <w:color w:val="auto"/>
              </w:rPr>
            </w:pPr>
          </w:p>
        </w:tc>
        <w:tc>
          <w:tcPr>
            <w:tcW w:w="3320" w:type="dxa"/>
            <w:vAlign w:val="bottom"/>
          </w:tcPr>
          <w:p>
            <w:pPr>
              <w:jc w:val="right"/>
              <w:ind w:right="2670"/>
              <w:spacing w:after="0"/>
              <w:rPr>
                <w:sz w:val="20"/>
                <w:szCs w:val="20"/>
                <w:color w:val="auto"/>
              </w:rPr>
            </w:pPr>
            <w:r>
              <w:rPr>
                <w:rFonts w:ascii="Arial" w:cs="Arial" w:eastAsia="Arial" w:hAnsi="Arial"/>
                <w:sz w:val="18"/>
                <w:szCs w:val="18"/>
                <w:color w:val="auto"/>
              </w:rPr>
              <w:t>7</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308" w:lineRule="auto"/>
        <w:rPr>
          <w:sz w:val="20"/>
          <w:szCs w:val="20"/>
          <w:color w:val="auto"/>
        </w:rPr>
      </w:pPr>
      <w:r>
        <w:rPr>
          <w:rFonts w:ascii="Arial" w:cs="Arial" w:eastAsia="Arial" w:hAnsi="Arial"/>
          <w:sz w:val="17"/>
          <w:szCs w:val="17"/>
          <w:color w:val="auto"/>
        </w:rPr>
        <w:t>automatic conversion of an outstanding preferred stock warrant convertible into shares of our common stock based on an assumed initial public offering price of $ per share, which is the midpoint of the price range set forth on the cover page of this prospectus, and excludes:</w:t>
      </w:r>
    </w:p>
    <w:p>
      <w:pPr>
        <w:spacing w:after="0" w:line="173" w:lineRule="exact"/>
        <w:rPr>
          <w:sz w:val="20"/>
          <w:szCs w:val="20"/>
          <w:color w:val="auto"/>
        </w:rPr>
      </w:pPr>
    </w:p>
    <w:p>
      <w:pPr>
        <w:ind w:left="1540" w:right="20" w:hanging="297"/>
        <w:spacing w:after="0" w:line="342" w:lineRule="auto"/>
        <w:tabs>
          <w:tab w:leader="none" w:pos="1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5,187,014 shares of our common stock issuable upon the exercise of options under our Amended and Restated Stock Performance Plan, or the Prior Plan, outstanding as of March 31, 2021, at a weighted-average exercise price of $0.79 per share;</w:t>
      </w:r>
    </w:p>
    <w:p>
      <w:pPr>
        <w:spacing w:after="0" w:line="150" w:lineRule="exact"/>
        <w:rPr>
          <w:rFonts w:ascii="Arial" w:cs="Arial" w:eastAsia="Arial" w:hAnsi="Arial"/>
          <w:sz w:val="16"/>
          <w:szCs w:val="16"/>
          <w:color w:val="auto"/>
        </w:rPr>
      </w:pPr>
    </w:p>
    <w:p>
      <w:pPr>
        <w:ind w:left="1540" w:right="200" w:hanging="297"/>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574,760 shares of our common stock issuable upon the exercise of common stock warrants outstanding as of March 31, 2021 at an exercise price of $3.00;</w:t>
      </w:r>
    </w:p>
    <w:p>
      <w:pPr>
        <w:spacing w:after="0" w:line="197" w:lineRule="exact"/>
        <w:rPr>
          <w:rFonts w:ascii="Arial" w:cs="Arial" w:eastAsia="Arial" w:hAnsi="Arial"/>
          <w:sz w:val="18"/>
          <w:szCs w:val="18"/>
          <w:color w:val="auto"/>
        </w:rPr>
      </w:pPr>
    </w:p>
    <w:p>
      <w:pPr>
        <w:ind w:left="1540" w:right="60" w:hanging="297"/>
        <w:spacing w:after="0" w:line="263"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993,875 shares of our common stock reserved for future issuance under the Prior Plan, which shares will cease to be available for issuance at the time our 2021 Equity Incentive Plan, or the 2021 Plan, becomes effective and will be added to, and become available for issuance under, the 2021 Plan;</w:t>
      </w:r>
    </w:p>
    <w:p>
      <w:pPr>
        <w:spacing w:after="0" w:line="210" w:lineRule="exact"/>
        <w:rPr>
          <w:rFonts w:ascii="Arial" w:cs="Arial" w:eastAsia="Arial" w:hAnsi="Arial"/>
          <w:sz w:val="18"/>
          <w:szCs w:val="18"/>
          <w:color w:val="auto"/>
        </w:rPr>
      </w:pPr>
    </w:p>
    <w:p>
      <w:pPr>
        <w:ind w:left="1540" w:right="340" w:hanging="297"/>
        <w:spacing w:after="0" w:line="263" w:lineRule="auto"/>
        <w:tabs>
          <w:tab w:leader="none" w:pos="23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2021 Plan, which will become effective in connection with this offering, as well as any automatic increases in the number of shares of common stock reserved for future issuance under the 2021 Plan; and</w:t>
      </w:r>
    </w:p>
    <w:p>
      <w:pPr>
        <w:spacing w:after="0" w:line="210" w:lineRule="exact"/>
        <w:rPr>
          <w:rFonts w:ascii="Arial" w:cs="Arial" w:eastAsia="Arial" w:hAnsi="Arial"/>
          <w:sz w:val="18"/>
          <w:szCs w:val="18"/>
          <w:color w:val="auto"/>
        </w:rPr>
      </w:pPr>
    </w:p>
    <w:p>
      <w:pPr>
        <w:ind w:left="1540" w:right="120" w:hanging="297"/>
        <w:spacing w:after="0" w:line="263" w:lineRule="auto"/>
        <w:tabs>
          <w:tab w:leader="none" w:pos="23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2021 Employee Stock Purchase Plan, or the ESPP, which will become effective in connection with this offering, as well as any automatic increases in the number of shares of common stock reserved for future issuance under the ESPP.</w:t>
      </w:r>
    </w:p>
    <w:p>
      <w:pPr>
        <w:spacing w:after="0" w:line="184" w:lineRule="exact"/>
        <w:rPr>
          <w:sz w:val="20"/>
          <w:szCs w:val="20"/>
          <w:color w:val="auto"/>
        </w:rPr>
      </w:pPr>
    </w:p>
    <w:p>
      <w:pPr>
        <w:ind w:left="300" w:right="160" w:firstLine="852"/>
        <w:spacing w:after="0" w:line="277" w:lineRule="auto"/>
        <w:rPr>
          <w:sz w:val="20"/>
          <w:szCs w:val="20"/>
          <w:color w:val="auto"/>
        </w:rPr>
      </w:pPr>
      <w:r>
        <w:rPr>
          <w:rFonts w:ascii="Arial" w:cs="Arial" w:eastAsia="Arial" w:hAnsi="Arial"/>
          <w:sz w:val="18"/>
          <w:szCs w:val="18"/>
          <w:color w:val="auto"/>
        </w:rPr>
        <w:t>Unless otherwise indicated, all information contained in this prospectus, including the number of shares of common stock that will be outstanding after this offering, assumes or gives effect to:</w:t>
      </w:r>
    </w:p>
    <w:p>
      <w:pPr>
        <w:sectPr>
          <w:pgSz w:w="11900" w:h="16838" w:orient="portrait"/>
          <w:cols w:equalWidth="0" w:num="1">
            <w:col w:w="10920"/>
          </w:cols>
          <w:pgMar w:left="320" w:top="459" w:right="659" w:bottom="1440" w:gutter="0" w:footer="0" w:header="0"/>
        </w:sectPr>
      </w:pPr>
    </w:p>
    <w:p>
      <w:pPr>
        <w:spacing w:after="0" w:line="197"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automatic conversion of all outstanding shares of our convertible preferred stock into which will occur upon the closing of this offering;</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w:t>
      </w:r>
    </w:p>
    <w:p>
      <w:pPr>
        <w:spacing w:after="0" w:line="490" w:lineRule="exact"/>
        <w:rPr>
          <w:sz w:val="20"/>
          <w:szCs w:val="20"/>
          <w:color w:val="auto"/>
        </w:rPr>
      </w:pPr>
    </w:p>
    <w:p>
      <w:pPr>
        <w:sectPr>
          <w:pgSz w:w="11900" w:h="16838" w:orient="portrait"/>
          <w:cols w:equalWidth="0" w:num="3">
            <w:col w:w="1300" w:space="240"/>
            <w:col w:w="6480" w:space="720"/>
            <w:col w:w="2180"/>
          </w:cols>
          <w:pgMar w:left="320" w:top="459" w:right="659" w:bottom="1440" w:gutter="0" w:footer="0" w:header="0"/>
          <w:type w:val="continuous"/>
        </w:sectPr>
      </w:pPr>
    </w:p>
    <w:p>
      <w:pPr>
        <w:ind w:left="1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the automatic exercise and conversion of an outstanding preferred stock warrant convertible into shares of our common stock, which will occur upon the closing of this offering (based on an assumed initial public offering price of $ per share, which is the midpoint of the price range set forth on the cover page of this prospectus);</w:t>
      </w:r>
    </w:p>
    <w:p>
      <w:pPr>
        <w:spacing w:after="0" w:line="200" w:lineRule="exact"/>
        <w:rPr>
          <w:sz w:val="20"/>
          <w:szCs w:val="20"/>
          <w:color w:val="auto"/>
        </w:rPr>
      </w:pPr>
    </w:p>
    <w:p>
      <w:pPr>
        <w:sectPr>
          <w:pgSz w:w="11900" w:h="16838" w:orient="portrait"/>
          <w:cols w:equalWidth="0" w:num="2">
            <w:col w:w="1300" w:space="240"/>
            <w:col w:w="9380"/>
          </w:cols>
          <w:pgMar w:left="320" w:top="459" w:right="659" w:bottom="1440" w:gutter="0" w:footer="0" w:header="0"/>
          <w:type w:val="continuous"/>
        </w:sectPr>
      </w:pPr>
    </w:p>
    <w:p>
      <w:pPr>
        <w:spacing w:after="0" w:line="11" w:lineRule="exact"/>
        <w:rPr>
          <w:sz w:val="20"/>
          <w:szCs w:val="20"/>
          <w:color w:val="auto"/>
        </w:rPr>
      </w:pPr>
    </w:p>
    <w:p>
      <w:pPr>
        <w:ind w:left="1540" w:hanging="297"/>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30-for-1 reverse stock split of our common stock and preferred stock effected on November 20, 2020;</w:t>
      </w:r>
    </w:p>
    <w:p>
      <w:pPr>
        <w:spacing w:after="0" w:line="252" w:lineRule="exact"/>
        <w:rPr>
          <w:sz w:val="20"/>
          <w:szCs w:val="20"/>
          <w:color w:val="auto"/>
        </w:rPr>
      </w:pPr>
    </w:p>
    <w:p>
      <w:pPr>
        <w:ind w:left="1240"/>
        <w:spacing w:after="0"/>
        <w:tabs>
          <w:tab w:leader="none" w:pos="1520" w:val="left"/>
          <w:tab w:leader="none" w:pos="2360" w:val="left"/>
          <w:tab w:leader="none" w:pos="3420" w:val="left"/>
          <w:tab w:leader="none" w:pos="7860" w:val="left"/>
        </w:tabs>
        <w:rPr>
          <w:sz w:val="20"/>
          <w:szCs w:val="20"/>
          <w:color w:val="auto"/>
        </w:rPr>
      </w:pPr>
      <w:r>
        <w:rPr>
          <w:rFonts w:ascii="Arial" w:cs="Arial" w:eastAsia="Arial" w:hAnsi="Arial"/>
          <w:sz w:val="18"/>
          <w:szCs w:val="18"/>
          <w:color w:val="auto"/>
        </w:rPr>
        <w:t>•</w:t>
        <w:tab/>
        <w:t>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reverse stock split of our common stock effected on</w:t>
      </w:r>
      <w:r>
        <w:rPr>
          <w:sz w:val="20"/>
          <w:szCs w:val="20"/>
          <w:color w:val="auto"/>
        </w:rPr>
        <w:tab/>
      </w:r>
      <w:r>
        <w:rPr>
          <w:rFonts w:ascii="Arial" w:cs="Arial" w:eastAsia="Arial" w:hAnsi="Arial"/>
          <w:sz w:val="16"/>
          <w:szCs w:val="16"/>
          <w:color w:val="auto"/>
        </w:rPr>
        <w:t>, 2021;</w:t>
      </w:r>
    </w:p>
    <w:p>
      <w:pPr>
        <w:spacing w:after="0" w:line="252" w:lineRule="exact"/>
        <w:rPr>
          <w:sz w:val="20"/>
          <w:szCs w:val="20"/>
          <w:color w:val="auto"/>
        </w:rPr>
      </w:pPr>
    </w:p>
    <w:p>
      <w:pPr>
        <w:ind w:left="1540" w:hanging="297"/>
        <w:spacing w:after="0"/>
        <w:tabs>
          <w:tab w:leader="none" w:pos="1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upon the closing of this offering;</w:t>
      </w:r>
    </w:p>
    <w:p>
      <w:pPr>
        <w:spacing w:after="0" w:line="263" w:lineRule="exact"/>
        <w:rPr>
          <w:rFonts w:ascii="Arial" w:cs="Arial" w:eastAsia="Arial" w:hAnsi="Arial"/>
          <w:sz w:val="17"/>
          <w:szCs w:val="17"/>
          <w:color w:val="auto"/>
        </w:rPr>
      </w:pPr>
    </w:p>
    <w:p>
      <w:pPr>
        <w:ind w:left="1540" w:hanging="297"/>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the outstanding options and common stock warrants referred to above after March 31, 2021;</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 and</w:t>
      </w:r>
    </w:p>
    <w:p>
      <w:pPr>
        <w:spacing w:after="0" w:line="252" w:lineRule="exact"/>
        <w:rPr>
          <w:rFonts w:ascii="Arial" w:cs="Arial" w:eastAsia="Arial" w:hAnsi="Arial"/>
          <w:sz w:val="18"/>
          <w:szCs w:val="18"/>
          <w:color w:val="auto"/>
        </w:rPr>
      </w:pPr>
    </w:p>
    <w:p>
      <w:pPr>
        <w:ind w:left="1540" w:right="340" w:hanging="297"/>
        <w:spacing w:after="0" w:line="342" w:lineRule="auto"/>
        <w:tabs>
          <w:tab w:leader="none" w:pos="1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 purchase of our shares of our common stock by certain of our directors, officers, employees, distributors, dealers, business associates and related persons designated by us through the reserved share program described under “Underwriting.”</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9" w:right="6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76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300" w:firstLine="852"/>
        <w:spacing w:after="0" w:line="270" w:lineRule="auto"/>
        <w:rPr>
          <w:sz w:val="20"/>
          <w:szCs w:val="20"/>
          <w:color w:val="auto"/>
        </w:rPr>
      </w:pPr>
      <w:r>
        <w:rPr>
          <w:rFonts w:ascii="Arial" w:cs="Arial" w:eastAsia="Arial" w:hAnsi="Arial"/>
          <w:sz w:val="17"/>
          <w:szCs w:val="17"/>
          <w:color w:val="auto"/>
        </w:rPr>
        <w:t>The following tables set forth our summary financial data for our business. We have derived the statement of operations data for the years ended December 31, 2019 and 2020 and the balance sheet data as of December 31, 2020 from our audited financial statements appearing elsewhere in this prospectus. The statement of operations data for the three months ended March 31, 2020 and 2021 and the balance sheet data as of March 31, 2021 have been derived from our unaudited interim financial statements included elsewhere in this prospectus and have been prepared on the same basis as the audited financial statements. In the opinion of management, the unaudited data reflects all adjustments, consisting only of normal recurring adjustments, necessary for a fair presentation of the financial information in those statements. Our historical results are not necessarily indicative of the results that should be expected in the future and our operating results for the three months ended March 31, 2021 are not necessarily indicative of the results that may be expected for the full year ended December 31, 2021 or any other interim periods or any future year or period.</w:t>
      </w:r>
    </w:p>
    <w:p>
      <w:pPr>
        <w:spacing w:after="0" w:line="181" w:lineRule="exact"/>
        <w:rPr>
          <w:sz w:val="20"/>
          <w:szCs w:val="20"/>
          <w:color w:val="auto"/>
        </w:rPr>
      </w:pPr>
    </w:p>
    <w:p>
      <w:pPr>
        <w:ind w:left="300" w:right="20" w:firstLine="852"/>
        <w:spacing w:after="0" w:line="259" w:lineRule="auto"/>
        <w:rPr>
          <w:sz w:val="20"/>
          <w:szCs w:val="20"/>
          <w:color w:val="auto"/>
        </w:rPr>
      </w:pPr>
      <w:r>
        <w:rPr>
          <w:rFonts w:ascii="Arial" w:cs="Arial" w:eastAsia="Arial" w:hAnsi="Arial"/>
          <w:sz w:val="18"/>
          <w:szCs w:val="18"/>
          <w:color w:val="auto"/>
        </w:rPr>
        <w:t>You should read the following summary financial data together with our financial statements and the related notes thereto included elsewhere in this prospectus and the section of this prospectus titled “Management’s Discussion and Analysis of Financial Condition and Results of Operations.” The summary financial data in this section are not intended to replace our financial statements and are qualified in their entirety by our financial statements and related notes included elsewhere in this prospectus.</w:t>
      </w:r>
    </w:p>
    <w:p>
      <w:pPr>
        <w:spacing w:after="0" w:line="205"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5"/>
          </w:tcPr>
          <w:p>
            <w:pPr>
              <w:ind w:left="580"/>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36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421"/>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gridSpan w:val="9"/>
          </w:tcPr>
          <w:p>
            <w:pPr>
              <w:jc w:val="right"/>
              <w:ind w:right="41"/>
              <w:spacing w:after="0" w:line="142"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Grant and other revenue</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1,697</w:t>
            </w:r>
          </w:p>
        </w:tc>
        <w:tc>
          <w:tcPr>
            <w:tcW w:w="80" w:type="dxa"/>
            <w:vAlign w:val="bottom"/>
          </w:tcPr>
          <w:p>
            <w:pPr>
              <w:spacing w:after="0"/>
              <w:rPr>
                <w:sz w:val="18"/>
                <w:szCs w:val="18"/>
                <w:color w:val="auto"/>
              </w:rPr>
            </w:pPr>
          </w:p>
        </w:tc>
        <w:tc>
          <w:tcPr>
            <w:tcW w:w="6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1,436</w:t>
            </w: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226</w:t>
            </w:r>
          </w:p>
        </w:tc>
        <w:tc>
          <w:tcPr>
            <w:tcW w:w="4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8,576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7,997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926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(7,912)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(2,046)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587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(23,204)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(7,325)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(2,045)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(26,997)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w w:val="98"/>
              </w:rPr>
              <w:t>Contribution related to common stock exchanged</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for Series A convertible preferred stock</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6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(7,325)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(2,045)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(26,997)</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460" w:type="dxa"/>
            <w:vAlign w:val="bottom"/>
          </w:tcPr>
          <w:p>
            <w:pPr>
              <w:jc w:val="right"/>
              <w:ind w:right="32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Weighted average shares outstanding, basic and</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642,053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624,635</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624,635</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624,635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w w:val="99"/>
              </w:rPr>
              <w:t>Pro forma net loss per common share, basic and</w:t>
            </w: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diluted (1)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80"/>
        <w:spacing w:after="0"/>
        <w:rPr>
          <w:sz w:val="20"/>
          <w:szCs w:val="20"/>
          <w:color w:val="auto"/>
        </w:rPr>
      </w:pPr>
      <w:r>
        <w:rPr>
          <w:rFonts w:ascii="Arial" w:cs="Arial" w:eastAsia="Arial" w:hAnsi="Arial"/>
          <w:sz w:val="18"/>
          <w:szCs w:val="18"/>
          <w:color w:val="auto"/>
        </w:rPr>
        <w:t>Weighted average shares used to compute pro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forma net loss per share, basic and diluted (1)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01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60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right="20" w:hanging="422"/>
        <w:spacing w:after="0" w:line="275"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unaudited pro forma net loss per share for the year ended December 31, 2020 and the three months ended March 31, 2021 were computed using the weighted-average number of shares of common stock outstanding, including the pro forma effect of the conversion of all outstanding shares of convertible preferred stock into shares of common stock, as well as the automatic exercise and conversion of an outstanding preferred stock warrant into common stock and the settlement of the preferred stock tranche rights liability, as if such conversions had occurred at the beginning of the period, regardless of their issuance dates.</w:t>
      </w:r>
    </w:p>
    <w:p>
      <w:pPr>
        <w:spacing w:after="0" w:line="195"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96"/>
              </w:rPr>
              <w:t>As of March 31, 2021</w:t>
            </w:r>
          </w:p>
        </w:tc>
        <w:tc>
          <w:tcPr>
            <w:tcW w:w="10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Actual</w:t>
            </w:r>
          </w:p>
        </w:tc>
        <w:tc>
          <w:tcPr>
            <w:tcW w:w="1540" w:type="dxa"/>
            <w:vAlign w:val="bottom"/>
          </w:tcPr>
          <w:p>
            <w:pPr>
              <w:jc w:val="center"/>
              <w:ind w:right="45"/>
              <w:spacing w:after="0" w:line="119" w:lineRule="exact"/>
              <w:rPr>
                <w:sz w:val="20"/>
                <w:szCs w:val="20"/>
                <w:color w:val="auto"/>
              </w:rPr>
            </w:pPr>
            <w:r>
              <w:rPr>
                <w:rFonts w:ascii="Arial" w:cs="Arial" w:eastAsia="Arial" w:hAnsi="Arial"/>
                <w:sz w:val="13"/>
                <w:szCs w:val="13"/>
                <w:b w:val="1"/>
                <w:bCs w:val="1"/>
                <w:color w:val="auto"/>
              </w:rPr>
              <w:t>Pro</w:t>
            </w:r>
          </w:p>
        </w:tc>
        <w:tc>
          <w:tcPr>
            <w:tcW w:w="104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540" w:type="dxa"/>
            <w:vAlign w:val="bottom"/>
          </w:tcPr>
          <w:p>
            <w:pPr>
              <w:jc w:val="center"/>
              <w:ind w:right="45"/>
              <w:spacing w:after="0"/>
              <w:rPr>
                <w:sz w:val="20"/>
                <w:szCs w:val="20"/>
                <w:color w:val="auto"/>
              </w:rPr>
            </w:pPr>
            <w:r>
              <w:rPr>
                <w:rFonts w:ascii="Arial" w:cs="Arial" w:eastAsia="Arial" w:hAnsi="Arial"/>
                <w:sz w:val="14"/>
                <w:szCs w:val="14"/>
                <w:b w:val="1"/>
                <w:bCs w:val="1"/>
                <w:color w:val="auto"/>
                <w:w w:val="96"/>
              </w:rPr>
              <w:t>Forma(1)</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w w:val="99"/>
              </w:rPr>
              <w:t>As Adjusted(2)</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340" w:type="dxa"/>
            <w:vAlign w:val="bottom"/>
            <w:gridSpan w:val="2"/>
          </w:tcPr>
          <w:p>
            <w:pPr>
              <w:jc w:val="right"/>
              <w:ind w:right="168"/>
              <w:spacing w:after="0"/>
              <w:rPr>
                <w:sz w:val="20"/>
                <w:szCs w:val="20"/>
                <w:color w:val="auto"/>
              </w:rPr>
            </w:pPr>
            <w:r>
              <w:rPr>
                <w:rFonts w:ascii="Arial" w:cs="Arial" w:eastAsia="Arial" w:hAnsi="Arial"/>
                <w:sz w:val="18"/>
                <w:szCs w:val="18"/>
                <w:color w:val="auto"/>
              </w:rPr>
              <w:t>$ 41,407</w:t>
            </w:r>
          </w:p>
        </w:tc>
        <w:tc>
          <w:tcPr>
            <w:tcW w:w="1540" w:type="dxa"/>
            <w:vAlign w:val="bottom"/>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capital(3)</w:t>
            </w:r>
          </w:p>
        </w:tc>
        <w:tc>
          <w:tcPr>
            <w:tcW w:w="23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10,921</w:t>
            </w: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assets</w:t>
            </w:r>
          </w:p>
        </w:tc>
        <w:tc>
          <w:tcPr>
            <w:tcW w:w="2340" w:type="dxa"/>
            <w:vAlign w:val="bottom"/>
            <w:gridSpan w:val="2"/>
          </w:tcPr>
          <w:p>
            <w:pPr>
              <w:jc w:val="right"/>
              <w:ind w:right="168"/>
              <w:spacing w:after="0"/>
              <w:rPr>
                <w:sz w:val="20"/>
                <w:szCs w:val="20"/>
                <w:color w:val="auto"/>
              </w:rPr>
            </w:pPr>
            <w:r>
              <w:rPr>
                <w:rFonts w:ascii="Arial" w:cs="Arial" w:eastAsia="Arial" w:hAnsi="Arial"/>
                <w:sz w:val="18"/>
                <w:szCs w:val="18"/>
                <w:color w:val="auto"/>
              </w:rPr>
              <w:t>42,373</w:t>
            </w: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tranche rights liability</w:t>
            </w:r>
          </w:p>
        </w:tc>
        <w:tc>
          <w:tcPr>
            <w:tcW w:w="23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26,557</w:t>
            </w: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Preferred stock warrant liability</w:t>
            </w:r>
          </w:p>
        </w:tc>
        <w:tc>
          <w:tcPr>
            <w:tcW w:w="2340" w:type="dxa"/>
            <w:vAlign w:val="bottom"/>
            <w:gridSpan w:val="2"/>
          </w:tcPr>
          <w:p>
            <w:pPr>
              <w:jc w:val="right"/>
              <w:ind w:right="168"/>
              <w:spacing w:after="0"/>
              <w:rPr>
                <w:sz w:val="20"/>
                <w:szCs w:val="20"/>
                <w:color w:val="auto"/>
              </w:rPr>
            </w:pPr>
            <w:r>
              <w:rPr>
                <w:rFonts w:ascii="Arial" w:cs="Arial" w:eastAsia="Arial" w:hAnsi="Arial"/>
                <w:sz w:val="18"/>
                <w:szCs w:val="18"/>
                <w:color w:val="auto"/>
              </w:rPr>
              <w:t>2,073</w:t>
            </w: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3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56,653</w:t>
            </w: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Accumulated deficit</w:t>
            </w:r>
          </w:p>
        </w:tc>
        <w:tc>
          <w:tcPr>
            <w:tcW w:w="2340" w:type="dxa"/>
            <w:vAlign w:val="bottom"/>
            <w:gridSpan w:val="2"/>
          </w:tcPr>
          <w:p>
            <w:pPr>
              <w:jc w:val="right"/>
              <w:ind w:right="108"/>
              <w:spacing w:after="0"/>
              <w:rPr>
                <w:sz w:val="20"/>
                <w:szCs w:val="20"/>
                <w:color w:val="auto"/>
              </w:rPr>
            </w:pPr>
            <w:r>
              <w:rPr>
                <w:rFonts w:ascii="Arial" w:cs="Arial" w:eastAsia="Arial" w:hAnsi="Arial"/>
                <w:sz w:val="18"/>
                <w:szCs w:val="18"/>
                <w:color w:val="auto"/>
              </w:rPr>
              <w:t>(53,962)</w:t>
            </w: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23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(45,462)</w:t>
            </w: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720" w:right="80" w:hanging="419"/>
        <w:spacing w:after="0" w:line="271" w:lineRule="auto"/>
        <w:tabs>
          <w:tab w:leader="none" w:pos="700" w:val="left"/>
        </w:tabs>
        <w:rPr>
          <w:sz w:val="20"/>
          <w:szCs w:val="20"/>
          <w:color w:val="auto"/>
        </w:rPr>
      </w:pPr>
      <w:r>
        <w:rPr>
          <w:rFonts w:ascii="Arial" w:cs="Arial" w:eastAsia="Arial" w:hAnsi="Arial"/>
          <w:sz w:val="17"/>
          <w:szCs w:val="17"/>
          <w:color w:val="auto"/>
        </w:rPr>
        <w:t>(1)</w:t>
        <w:tab/>
        <w:t>Gives effect to the conversion of all of the outstanding shares of our convertible preferred stock into an aggregate of shares of our common stock upon the closing of this offering, as well as the automatic exercise and conversion of an outstanding preferred stock warrant into shares of our common stock (based on assumed initial public offering price of $ per share, which is the midpoint of</w:t>
      </w:r>
    </w:p>
    <w:p>
      <w:pPr>
        <w:ind w:left="720"/>
        <w:spacing w:after="0" w:line="250" w:lineRule="auto"/>
        <w:rPr>
          <w:sz w:val="20"/>
          <w:szCs w:val="20"/>
          <w:color w:val="auto"/>
        </w:rPr>
      </w:pPr>
      <w:r>
        <w:rPr>
          <w:rFonts w:ascii="Arial" w:cs="Arial" w:eastAsia="Arial" w:hAnsi="Arial"/>
          <w:sz w:val="18"/>
          <w:szCs w:val="18"/>
          <w:color w:val="auto"/>
        </w:rPr>
        <w:t>the price range set forth on the cover page of this prospectus) as well as the settlement of the preferred stock tranche rights liability, as if such conversions had occurred on March 31, 2021.</w:t>
      </w:r>
    </w:p>
    <w:p>
      <w:pPr>
        <w:spacing w:after="0" w:line="1" w:lineRule="exact"/>
        <w:rPr>
          <w:sz w:val="20"/>
          <w:szCs w:val="20"/>
          <w:color w:val="auto"/>
        </w:rPr>
      </w:pPr>
    </w:p>
    <w:p>
      <w:pPr>
        <w:ind w:left="300"/>
        <w:spacing w:after="0"/>
        <w:tabs>
          <w:tab w:leader="none" w:pos="700" w:val="left"/>
          <w:tab w:leader="none" w:pos="3800" w:val="left"/>
        </w:tabs>
        <w:rPr>
          <w:sz w:val="20"/>
          <w:szCs w:val="20"/>
          <w:color w:val="auto"/>
        </w:rPr>
      </w:pPr>
      <w:r>
        <w:rPr>
          <w:rFonts w:ascii="Arial" w:cs="Arial" w:eastAsia="Arial" w:hAnsi="Arial"/>
          <w:sz w:val="18"/>
          <w:szCs w:val="18"/>
          <w:color w:val="auto"/>
        </w:rPr>
        <w:t>(2)</w:t>
        <w:tab/>
        <w:t>Gives further effect to the sale of</w:t>
      </w:r>
      <w:r>
        <w:rPr>
          <w:sz w:val="20"/>
          <w:szCs w:val="20"/>
          <w:color w:val="auto"/>
        </w:rPr>
        <w:tab/>
      </w:r>
      <w:r>
        <w:rPr>
          <w:rFonts w:ascii="Arial" w:cs="Arial" w:eastAsia="Arial" w:hAnsi="Arial"/>
          <w:sz w:val="16"/>
          <w:szCs w:val="16"/>
          <w:color w:val="auto"/>
        </w:rPr>
        <w:t>shares of common stock in this offering at an assumed initial public offering price of $</w:t>
      </w:r>
    </w:p>
    <w:p>
      <w:pPr>
        <w:spacing w:after="0" w:line="9" w:lineRule="exact"/>
        <w:rPr>
          <w:sz w:val="20"/>
          <w:szCs w:val="20"/>
          <w:color w:val="auto"/>
        </w:rPr>
      </w:pPr>
    </w:p>
    <w:p>
      <w:pPr>
        <w:jc w:val="both"/>
        <w:ind w:left="720" w:right="80"/>
        <w:spacing w:after="0" w:line="281" w:lineRule="auto"/>
        <w:rPr>
          <w:sz w:val="20"/>
          <w:szCs w:val="20"/>
          <w:color w:val="auto"/>
        </w:rPr>
      </w:pPr>
      <w:r>
        <w:rPr>
          <w:rFonts w:ascii="Arial" w:cs="Arial" w:eastAsia="Arial" w:hAnsi="Arial"/>
          <w:sz w:val="16"/>
          <w:szCs w:val="16"/>
          <w:color w:val="auto"/>
        </w:rPr>
        <w:t>per share, which is the midpoint of the price range set forth on the cover page of this prospectus, after deducting estimated underwriting fees and commissions and estimated offering expenses payable by us. This pro forma as adjusted information is illustrative only and will depend on the actual initial public offering price and other terms of this offering determined at pricing. Each $1.00 increase or decrease in the</w:t>
      </w:r>
    </w:p>
    <w:p>
      <w:pPr>
        <w:spacing w:after="0" w:line="2" w:lineRule="exact"/>
        <w:rPr>
          <w:sz w:val="20"/>
          <w:szCs w:val="20"/>
          <w:color w:val="auto"/>
        </w:rPr>
      </w:pPr>
    </w:p>
    <w:p>
      <w:pPr>
        <w:ind w:left="720" w:right="180"/>
        <w:spacing w:after="0" w:line="281" w:lineRule="auto"/>
        <w:rPr>
          <w:sz w:val="20"/>
          <w:szCs w:val="20"/>
          <w:color w:val="auto"/>
        </w:rPr>
      </w:pPr>
      <w:r>
        <w:rPr>
          <w:rFonts w:ascii="Arial" w:cs="Arial" w:eastAsia="Arial" w:hAnsi="Arial"/>
          <w:sz w:val="16"/>
          <w:szCs w:val="16"/>
          <w:color w:val="auto"/>
        </w:rPr>
        <w:t>assumed initial public offering price of $ per share, which is the midpoint of the price range set forth on the cover page of this prospectus, would increase or decrease the pro forma as adjusted amount of each of cash and cash equivalents, working capital, total assets</w:t>
      </w:r>
    </w:p>
    <w:p>
      <w:pPr>
        <w:spacing w:after="0" w:line="1" w:lineRule="exact"/>
        <w:rPr>
          <w:sz w:val="20"/>
          <w:szCs w:val="20"/>
          <w:color w:val="auto"/>
        </w:rPr>
      </w:pPr>
    </w:p>
    <w:p>
      <w:pPr>
        <w:ind w:left="720" w:right="80"/>
        <w:spacing w:after="0" w:line="281" w:lineRule="auto"/>
        <w:rPr>
          <w:sz w:val="20"/>
          <w:szCs w:val="20"/>
          <w:color w:val="auto"/>
        </w:rPr>
      </w:pPr>
      <w:r>
        <w:rPr>
          <w:rFonts w:ascii="Arial" w:cs="Arial" w:eastAsia="Arial" w:hAnsi="Arial"/>
          <w:sz w:val="16"/>
          <w:szCs w:val="16"/>
          <w:color w:val="auto"/>
        </w:rPr>
        <w:t>and total stockholders’ equity by $ million, assuming that the number of shares offered by us, as set forth on the cover page of this prospectus, remains the same and after deducting the estimated underwriting discounts and commissions and estimated offering expenses payable by us. Each increase or decrease of 1.0 million in the number of shares we are offering would increase or decrease the pro forma as</w:t>
      </w:r>
    </w:p>
    <w:p>
      <w:pPr>
        <w:spacing w:after="0" w:line="2" w:lineRule="exact"/>
        <w:rPr>
          <w:sz w:val="20"/>
          <w:szCs w:val="20"/>
          <w:color w:val="auto"/>
        </w:rPr>
      </w:pPr>
    </w:p>
    <w:p>
      <w:pPr>
        <w:ind w:left="720" w:right="20"/>
        <w:spacing w:after="0" w:line="250" w:lineRule="auto"/>
        <w:rPr>
          <w:sz w:val="20"/>
          <w:szCs w:val="20"/>
          <w:color w:val="auto"/>
        </w:rPr>
      </w:pPr>
      <w:r>
        <w:rPr>
          <w:rFonts w:ascii="Arial" w:cs="Arial" w:eastAsia="Arial" w:hAnsi="Arial"/>
          <w:sz w:val="18"/>
          <w:szCs w:val="18"/>
          <w:color w:val="auto"/>
        </w:rPr>
        <w:t>adjusted amount of each of cash and cash equivalents, working capital, total assets and stockholders’ equity by $ million, assuming no change in the assumed initial public offering price per share and after deducting the estimated underwriting discounts and commissions and estimated offering expenses payable by us.</w:t>
      </w:r>
    </w:p>
    <w:p>
      <w:pPr>
        <w:spacing w:after="0" w:line="1" w:lineRule="exact"/>
        <w:rPr>
          <w:sz w:val="20"/>
          <w:szCs w:val="20"/>
          <w:color w:val="auto"/>
        </w:rPr>
      </w:pPr>
    </w:p>
    <w:p>
      <w:pPr>
        <w:ind w:left="720" w:right="160" w:hanging="422"/>
        <w:spacing w:after="0" w:line="26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 For further details regarding our current assets and current liabilities, see our financial statements appearing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before deciding whether to purchase shares of our common stock. The risks and uncertainties described below are not the only ones we face. Additional risks and uncertainties that we are unaware of, or that we currently believe are not material, may also become important factors that affect us. If any of the following risks are realized, our business, financial condition, results of operations and prospects could be materially and adversely affected. In that event, the price of our common stock could decline, and you could lose part or all of your investment.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w:t>
      </w:r>
    </w:p>
    <w:p>
      <w:pPr>
        <w:spacing w:after="0" w:line="225"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We are a clinical-stage biopharmaceutical company with a limited operating history focused on pioneering a novel disease-modifying therapeutic approach to treat Alzheimer’s disease, or AD. We were incorporated in 1996 and were party to an exclusive license and research collaboration with Merck &amp; Co., Inc., or Merck, in 2003. Although we acquired the exclusive rights to ACU193 from Merck in 2011, following Merck’s strategic decision to focus its AD development efforts on a different product candidate, we did not recommence meaningful operations until we completed our first institutional fundraising in 2018. As a result, we have a very limited operating history, which may make it difficult to evaluate the success of our business to date and assess our future viability. Drug development is a highly uncertain undertaking and involves a substantial degree of risk. We received clearance of our Investigational New Drug application, or IND, for our sole product candidate, ACU193, and initiated our Phase 1 clinical trial in the second quarter of 2021. To date, we have not completed a clinical trial, initiated a pivotal trial, obtained marketing approval for any product candidate, manufactured a commercial scale product candidate, arranged for a third party to do so on our behalf or conducted sales or marketing activities necessary for successful product candidate commercialization. Our short operating history makes any assessment of our future success and viability subject to significant uncertainty. We will likely encounter risks and difficulties frequently experienced by early-stage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have no product candidates approved for commercial sale, we have never generated any revenue from sales and we may never be profitable.</w:t>
      </w:r>
    </w:p>
    <w:p>
      <w:pPr>
        <w:spacing w:after="0" w:line="26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We have no product candidates approved for sale, have never generated any revenue from sales, have never been profitable and do not expect to be profitable in the foreseeable future. We have incurred net losses in each year since our inception. For the years ended December 31, 2019 and 2020 and for the three months ended March 31, 2021, our net losses were $7.9 million, $7.3 million and $27.0 million, respectively. We had an accumulated deficit of $54.0 million as of March 31, 2021.</w:t>
      </w:r>
    </w:p>
    <w:p>
      <w:pPr>
        <w:spacing w:after="0" w:line="18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To date, we have devoted most of our financial resources to research and development of ACU193, including our nonclinical development activities of ACU193, and corporate overhead. We expect that it will be several years, if ever, before we have a product candidate approved and ready for commercialization. We expect to continue to incur losses for the foreseeable future, and we expect these losses to increase as we continue our development of, and seek regulatory approvals for, ACU193 and any other product candidate we may develop in the future, prepare for and begin the commercialization of any approved product candidates and add infrastructure and personnel to support our drug development efforts and operations as a public company. We anticipate that any such losses could be significant for the next several years. These net losses and negative cash flows have had, and will continue to have, an adverse effect on our stockholders’ equity and working capital. Further, these net losses may fluctuate significantly from quarter-to-quarter or year-to-year. To become and remain profitable, we must develop and eventually commercialize ACU193 or another drug with significant revenue.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may never succeed in developing a commercial drug and, even if we succeed in commercializing one or more product candidates, we may never generate revenues that are large enough to achieve profitability. In addition, we may encounter unforeseen expenses, difficulties, complications, delays and other known or unknown challenges. Because of these numerous risks and uncertainties, we are unable to accurately predict the timing or amount of increased expenses or when, or if, we will be able to generate revenues or achieve profitability. If we do achieve profitability, we may not be able to sustain or increase profitability on a quarterly or annual basis, and we will continue to incur substantial research and development costs and other expenditures to develop and market additional product candidates.</w:t>
      </w:r>
    </w:p>
    <w:p>
      <w:pPr>
        <w:spacing w:after="0" w:line="1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funding to finance our operations, complete the development and commercialization of ACU193 for AD and evaluate future product candidates. If we are unable to raise this funding when needed, we may be forced to delay, reduce or eliminate our drug development programs or other operations.</w:t>
      </w:r>
    </w:p>
    <w:p>
      <w:pPr>
        <w:spacing w:after="0" w:line="184"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To date, we have used substantial amounts of cash to fund our operations, and we expect our expenses to increase substantially in the foreseeable future in connection with our ongoing activities, particularly as we continue the research and development, conduct clinical trials of, and seek marketing approval for, ACU193. Developing ACU193 and conducting clinical trials for the treatment of AD and any other product candidates or indications that we may pursue in the future will require substantial amounts of capital. In addition, if we obtain marketing approval for ACU193 or any future product candidates, we expect to incur significant commercialization expenses related to the commercialization of the product, whether we are commercializing alone or with a collaborator. Furthermore, upon the closing of this offering, we expect to incur additional significant expenses associated with operating as a public company.</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Accordingly, we will need to obtain substantial additional funding in connection with our continuing operations. As of March 31, 2021, we had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$41.4 million in cash and cash equivalents. We believe that our existing capital resources, together with the net proceeds from this offering, will be</w:t>
      </w:r>
    </w:p>
    <w:p>
      <w:pPr>
        <w:spacing w:after="0" w:line="21" w:lineRule="exact"/>
        <w:rPr>
          <w:sz w:val="20"/>
          <w:szCs w:val="20"/>
          <w:color w:val="auto"/>
        </w:rPr>
      </w:pPr>
    </w:p>
    <w:p>
      <w:pPr>
        <w:jc w:val="both"/>
        <w:ind w:left="120" w:right="240"/>
        <w:spacing w:after="0" w:line="277" w:lineRule="auto"/>
        <w:rPr>
          <w:sz w:val="20"/>
          <w:szCs w:val="20"/>
          <w:color w:val="auto"/>
        </w:rPr>
      </w:pPr>
      <w:r>
        <w:rPr>
          <w:rFonts w:ascii="Arial" w:cs="Arial" w:eastAsia="Arial" w:hAnsi="Arial"/>
          <w:sz w:val="17"/>
          <w:szCs w:val="17"/>
          <w:color w:val="auto"/>
        </w:rPr>
        <w:t>sufficient to fund our projected operations through .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17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amount and timing of our future funding requirements will depend on many factors, some of which are outside of our control, including but not limited to:</w:t>
      </w:r>
    </w:p>
    <w:p>
      <w:pPr>
        <w:spacing w:after="0" w:line="197" w:lineRule="exact"/>
        <w:rPr>
          <w:sz w:val="20"/>
          <w:szCs w:val="20"/>
          <w:color w:val="auto"/>
        </w:rPr>
      </w:pPr>
    </w:p>
    <w:p>
      <w:pPr>
        <w:ind w:left="1420" w:right="50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progress, costs, timing and results of our Phase 1 trial and other clinical trials of ACU193, including for potential additional indications that we may pursue beyond AD;</w:t>
      </w:r>
    </w:p>
    <w:p>
      <w:pPr>
        <w:spacing w:after="0" w:line="197"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requirements of the U.S. Food and Drug Administration, or the FDA, and European Medicines Agency, or the EMA, for clinical trials and nonclinical studies and other work, for review and approval of ACU193 for AD;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sufficient quantities of our product candidates from our third-party manufacturers;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6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commercialization capabilities if we were to elect to commercialize one or more products on our own;</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economics and other terms, timing of and success of any collaboration, licensing or other arrangements into which we may enter for the commercialization of our products;</w:t>
      </w:r>
    </w:p>
    <w:p>
      <w:pPr>
        <w:spacing w:after="0" w:line="197" w:lineRule="exact"/>
        <w:rPr>
          <w:rFonts w:ascii="Arial" w:cs="Arial" w:eastAsia="Arial" w:hAnsi="Arial"/>
          <w:sz w:val="18"/>
          <w:szCs w:val="18"/>
          <w:color w:val="auto"/>
        </w:rPr>
      </w:pPr>
    </w:p>
    <w:p>
      <w:pPr>
        <w:ind w:left="1420" w:right="84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other terms, timing and success, of acquiring, in-licensing or investing in businesses, product candidates and technologies;</w:t>
      </w:r>
    </w:p>
    <w:p>
      <w:pPr>
        <w:spacing w:after="0" w:line="197" w:lineRule="exact"/>
        <w:rPr>
          <w:rFonts w:ascii="Arial" w:cs="Arial" w:eastAsia="Arial" w:hAnsi="Arial"/>
          <w:sz w:val="18"/>
          <w:szCs w:val="18"/>
          <w:color w:val="auto"/>
        </w:rPr>
      </w:pPr>
    </w:p>
    <w:p>
      <w:pPr>
        <w:ind w:left="1420" w:right="260" w:hanging="319"/>
        <w:spacing w:after="0" w:line="263"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need and ability to retain management and hire scientific and clinical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Additional funding may not be available to us on acceptable terms or at all. Any such funding may result in dilution to stockholders, imposition of debt covenants and repayment obligations or other restrictions that may affect our business. We also could be required to seek funds through arrangements with collaborative partners or otherwise that may require us to relinquish rights to some of our technologies or product candidates or otherwise agree to terms unfavorable to us. Any funds we raise may not be sufficient to enable us to continue to implement our long-term business strategy. Further,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we are unable to raise sufficient additional capital on a timely basis, we could be forced to curtail our planned operations and the pursuit of our business strategy, which would have a material adverse effect on the value of our common stock.</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 of ACU193, our sole product candidate, which will require significant clinical testing before we can seek regulatory approval and potentially launch commercial sales, and which may not be successful in clinical trials, receive regulatory approval or be successfully commercialized, even if approved.</w:t>
      </w:r>
    </w:p>
    <w:p>
      <w:pPr>
        <w:spacing w:after="0" w:line="184"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We are early in our development efforts. To date, we have invested substantially all of our efforts and financial resources in the research and development of ACU193, which is currently our only product candidate. Before seeking marketing approval from regulatory authorities for the sale of ACU193, we must conduct extensive clinical trials to demonstrate the safety and efficacy of the drug in humans. We are not permitted to market or promote any of our product candidates before we receive regulatory approval from the FDA, or comparable foreign regulatory authorities, and we may never receive such regulatory approval. We cannot be certain that ACU193 will be successful in clinical trials. Further, ACU193 may not receive regulatory approval even if it is successful in clinical trials. If we do not receive regulatory approvals for ACU193, we may not be able to continue our operations. Our prospects, including our ability to finance our operations and generate revenue, will depend entirely on the successful development, regulatory approval and commercialization of ACU193 by us or</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320" w:top="459" w:right="5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by one or more of our partners. The clinical and commercial success of ACU193 will depend on a number of factors, including the following:</w:t>
      </w:r>
    </w:p>
    <w:p>
      <w:pPr>
        <w:spacing w:after="0" w:line="264" w:lineRule="exact"/>
        <w:rPr>
          <w:sz w:val="20"/>
          <w:szCs w:val="20"/>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patient enrollment in our Phase 1 and other clinical trials of ACU193;</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from our Phase 1 clinical trial and future clinical trials of ACU193;</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frequency and severity of adverse effects of ACU193;</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third-party manufacturers to manufacture supplies of ACU193 and to develop, validate and maintain a commercial-scale manufacturing process that is compliant with current good manufacturing practices, or cGMP;</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demonstrate ACU193’s safety and efficacy to the satisfaction of the FDA and foreign regulatory authorities in order to receive necessary marketing approvals for ACU193;</w:t>
      </w:r>
    </w:p>
    <w:p>
      <w:pPr>
        <w:spacing w:after="0" w:line="197" w:lineRule="exact"/>
        <w:rPr>
          <w:rFonts w:ascii="Arial" w:cs="Arial" w:eastAsia="Arial" w:hAnsi="Arial"/>
          <w:sz w:val="18"/>
          <w:szCs w:val="18"/>
          <w:color w:val="auto"/>
        </w:rPr>
      </w:pPr>
    </w:p>
    <w:p>
      <w:pPr>
        <w:ind w:left="1420" w:right="340" w:hanging="319"/>
        <w:spacing w:after="0" w:line="308" w:lineRule="auto"/>
        <w:tabs>
          <w:tab w:leader="none" w:pos="1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whether we are required by the FDA to conduct additional clinical trials prior to the approval to market ACU193 and whether the FDA may disagree with the number, design, size, conduct, implementation or other aspects of our clinical trials;</w:t>
      </w:r>
    </w:p>
    <w:p>
      <w:pPr>
        <w:spacing w:after="0" w:line="173" w:lineRule="exact"/>
        <w:rPr>
          <w:rFonts w:ascii="Arial" w:cs="Arial" w:eastAsia="Arial" w:hAnsi="Arial"/>
          <w:sz w:val="17"/>
          <w:szCs w:val="17"/>
          <w:color w:val="auto"/>
        </w:rPr>
      </w:pPr>
    </w:p>
    <w:p>
      <w:pPr>
        <w:ind w:left="1420" w:right="14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FDA may require implementation of a Risk Evaluation and Mitigation Strategy, or REMS, as a condition of approval or post-approval;</w:t>
      </w:r>
    </w:p>
    <w:p>
      <w:pPr>
        <w:spacing w:after="0" w:line="197"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commercialize ACU193, if approved for marketing and sale by the FDA or foreign regulatory authorities, whether alone or in collaboration with others;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success in educating physicians and patients about the benefits, administration and use of ACU193;</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ACU193 as safe and effective by patients and the medical community;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availability, perceived advantages, relative cost, relative safety and relative efficacy of alternative and competing treatments;</w:t>
      </w:r>
    </w:p>
    <w:p>
      <w:pPr>
        <w:spacing w:after="0" w:line="263" w:lineRule="exact"/>
        <w:rPr>
          <w:rFonts w:ascii="Arial" w:cs="Arial" w:eastAsia="Arial" w:hAnsi="Arial"/>
          <w:sz w:val="17"/>
          <w:szCs w:val="17"/>
          <w:color w:val="auto"/>
        </w:rPr>
      </w:pPr>
    </w:p>
    <w:p>
      <w:pPr>
        <w:ind w:left="142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and maintaining compliance with all regulatory requirements applicable to ACU193, including any required post-marketing approval commitments;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competing with other AD therapies;</w:t>
      </w:r>
    </w:p>
    <w:p>
      <w:pPr>
        <w:spacing w:after="0" w:line="252"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own or any future collaborators’ marketing, pricing, coverage and reimbursement, sales and distribution strategies and operations;</w:t>
      </w:r>
    </w:p>
    <w:p>
      <w:pPr>
        <w:spacing w:after="0" w:line="197"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our existing patents and obtain newly issued patents that cover ACU193 and to enforce such patents and other intellectual property rights in and to ACU193;</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avoid third-party intellectual property claims;</w:t>
      </w:r>
    </w:p>
    <w:p>
      <w:pPr>
        <w:spacing w:after="0" w:line="252"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ACU193 and any other product candidates, once approved;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continued acceptable safety, tolerability and efficacy profile of ACU193 following approval.</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Many of these factors are beyond our control. Accordingly, we cannot assure you that we will ever be able to generate revenue through the sale of ACU193. If we are not successful in commercializing ACU193, or are significantly delayed in doing so, our business will be materially harmed.</w:t>
      </w:r>
    </w:p>
    <w:p>
      <w:pPr>
        <w:spacing w:after="0" w:line="124"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AD, a field that has to date seen very limited success in drug development.</w:t>
      </w:r>
    </w:p>
    <w:p>
      <w:pPr>
        <w:spacing w:after="0" w:line="170"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We have focused our research and development efforts solely on developing effective treatments for AD. Collectively, efforts by pharmaceutical companies in the field of AD have seen very limited successes in drug development. There are few approved products available for patients with AD.</w:t>
      </w:r>
    </w:p>
    <w:p>
      <w:pPr>
        <w:spacing w:after="0" w:line="124"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Our future success is highly dependent on the successful development of ACU193 for treating AD. The development and, if approved, commercialization of ACU193 subjects us to a number of challenges, including ensuring that we select an effective dose of ACU193, executing appropriate clinical trials to test for safety and efficacy and obtaining regulatory approval from the FDA and other regulatory authorities. We cannot be sure that ACU193, or any other product candidate we develop, will ultimately prove to be safe and effective, scalable or profitable. Moreover, public perception of drug safety issues, including adoption of new therapeutics or novel approaches to treatment, may adversely influence the willingness of subjects to participate in clinical trials, or if approved, of physicians to prescribe novel treatments.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approach to the potential treatment of AD is based on a novel therapeutic approach, which exposes us to unforeseen risks.</w:t>
      </w:r>
    </w:p>
    <w:p>
      <w:pPr>
        <w:spacing w:after="0" w:line="225"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There is no current scientific or general consensus on the causation of AD or method of action to treat AD. We have discovered and are developing ACU193, a humanized monoclonal antibody that selectively targets amyloid-beta oligomers, or AbOs, to treat AD. Our approach is based on research on AbOs, globular assemblies of the amyloid-beta, or Ab, peptide that are distinct from other forms of amyloid. AbOs have gained scientific acceptance as primary toxins involved in the initiation and propagation of AD pathology. Based on the results of our nonclinical studies to date, we believe ACU193 is different from current and prior clinical-stage anti-amyloid drugs and product candidates based on its selectivity for AbOs. We believe that this is a novel mechanism which has the potential to provide more clinically meaningful benefits, with a possible improved safety profile, as compared to approved therapies and product candidates in development and may potentially slow disease progression. However, we may ultimately discover that ACU193 does not possess properties required for therapeutic effectiveness. We have no evidence regarding the efficacy, safety or tolerability of ACU193 in humans. We may spend substantial funds attempting to develop ACU193 or other product candidates and never succeed in doing so.</w:t>
      </w:r>
    </w:p>
    <w:p>
      <w:pPr>
        <w:spacing w:after="0" w:line="16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market for any products that we successfully develop, if any, will also depend on the cost of the product. We do not yet have sufficient information to reliably estimate what it would cost to commercially manufacture ACU193, and the actual cost to manufacture ACU193 or any drug we develop in the future could materially and adversely affect the commercial viability of the drug. We may also find that the manufacture of our product candidates is more difficult than anticipated, resulting in an inability to produce a sufficient amount of our product candidates for our clinical trials or, if approved, commercial supply. If we do not successfully develop ACU193 or any other drug we develop with drug product cannot be reliably and economically manufactured at scale, we will not become profitable, which would materially and adversely affect the value of our common stock.</w:t>
      </w:r>
    </w:p>
    <w:p>
      <w:pPr>
        <w:spacing w:after="0" w:line="16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Nonclinical and clinical drug development involves a lengthy, expensive and uncertain process. The results of nonclinical studies and early clinical trials are not always predictive of future results. ACU193 or any other product candidate that we advance into clinical trials may not achieve favorable results in later clinical trials, if any, or receive marketing approval.</w:t>
      </w:r>
    </w:p>
    <w:p>
      <w:pPr>
        <w:spacing w:after="0" w:line="18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research and development of product candidates is extremely risky. Only a small percentage of product candidates that enter the development process ever receive marketing approval. Before obtaining marketing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00"/>
        <w:spacing w:after="0" w:line="263" w:lineRule="auto"/>
        <w:rPr>
          <w:sz w:val="20"/>
          <w:szCs w:val="20"/>
          <w:color w:val="auto"/>
        </w:rPr>
      </w:pPr>
      <w:r>
        <w:rPr>
          <w:rFonts w:ascii="Arial" w:cs="Arial" w:eastAsia="Arial" w:hAnsi="Arial"/>
          <w:sz w:val="18"/>
          <w:szCs w:val="18"/>
          <w:color w:val="auto"/>
        </w:rPr>
        <w:t>approval from regulatory authorities for the sale of any product candidate, we must complete nonclinical development and then conduct extensive clinical trials to demonstrate the safety and efficacy of our product candidates in humans. Clinical testing is expensive and can take many years to complete, and its outcome is inherently uncertain.</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results of nonclinical studies and early clinical trials are not necessarily predictive of future results and ACU193, or any other product candidate that we may develop, may not be further developed or have favorable results in later studies or trials. Clinical trial failure may result from a multitude of factors including, but not limited to, flaws in study design, dose selection, placebo effect, patient enrollment criteria and failure to demonstrate favorable safety or efficacy traits. As such, failure in clinical trials can occur at any stage of testing. A number of companies in the pharmaceutical industry have suffered setbacks in the advancement of their product candidates into later-stage clinical trials due to lack of efficacy or adverse safety profiles, notwithstanding results in earlier nonclinical studies or clinical trials. We intend to enroll 62 patients with early AD in our Phase 1 clinical trial of ACU193. Even if the results of our Phase 1 clinical trial are positive, it may not be predictive of the results of outcomes in our later-stage clinical trials. The results of clinical trials in one set of patients or disease indications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A number of companies in the pharmaceutical industry have suffered significant setbacks in advanced clinical trials due to lack of efficacy or unacceptable safety issues, notwithstanding promising results in earlier trials. This is particularly true in AD, where failure rates historically are higher than in most other disease areas.</w:t>
      </w:r>
    </w:p>
    <w:p>
      <w:pPr>
        <w:spacing w:after="0" w:line="174"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In the event of negative or inconclusive results, we may decide, or regulatory authorities may require us, to conduct additional clinical trials or nonclinical studies. In addition, data obtained from clinical trials and nonclinical studies is susceptible to varying interpretations, and regulatory authorities may not interpret our data as favorably as we do, which may further delay, limit or prevent development efforts, clinical trials or marketing approval. Furthermore, as more competing product candidates within a particular class of drugs proceed through clinical development to regulatory review and approval, the amount and type of clinical data that may be required by regulatory authorities may increase or change.</w:t>
      </w:r>
    </w:p>
    <w:p>
      <w:pPr>
        <w:spacing w:after="0" w:line="161"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If we are unable to complete nonclinical studies or clinical trials of ACU193 or future product candidates, due to safety concerns or otherwise, or if the results of these trials are not sufficient to convince regulatory authorities of their safety or efficacy, we will not be able to obtain marketing approval for commercialization on a timely basis or at all. Even if we are able to obtain marketing approval for ACU193 or any future product candidates, those approvals may be for indications or dose levels that deviate from our desired approach or may contain other limitations that would adversely affect our ability to generate revenue from sales of those product candidates. Moreover, if we are not able to differentiate our product candidate against other approved product candidates within the same class of drugs, or if any of the other circumstances described above occur, our business would be harmed and our ability to generate revenue from that class of drugs would be severely impaired.</w:t>
      </w:r>
    </w:p>
    <w:p>
      <w:pPr>
        <w:spacing w:after="0" w:line="177"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Clinical failure can occur at any stage of clinical development and we have never completed a clinical trial or submitted a biologics license application, or BLA, or marketing authorization application, or MAA.</w:t>
      </w:r>
    </w:p>
    <w:p>
      <w:pPr>
        <w:spacing w:after="0" w:line="170"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are early in our development efforts for ACU193, and will need to successfully complete our ongoing and planned clinical trials, including pivotal clinical trials, in order to obtain FDA approval to market ACU193 or any other product candidate we seek to develop. Carrying out clinical trials and the submission of a successful BLA is a complicated process. Although members of the Acumen team have significant experience in clinical development of drugs through regulatory approval, as an organization, Acumen has just begun conducting its first clinical trial, has no experience in conducting any clinical trials, has limited experience in preparing regulatory submissions and has not previously submitted a BLA for any product candidate.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addition, we have had limited interactions with the FDA and cannot be certain how many clinical trials of ACU193 will be required or how such trials should be designed. Consequently, we may be unable to successfully and efficiently execute and complete necessary clinical trials in a way that leads to BLA submission and approval of ACU193 or any other product candidate.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ACU193 or any future product candidates we may develop, and failure to successfully complete any of these activities in a timely manner could have a material adverse impact on our business and financial performance.</w:t>
      </w:r>
    </w:p>
    <w:p>
      <w:pPr>
        <w:spacing w:after="0" w:line="16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our product candidates.</w:t>
      </w:r>
    </w:p>
    <w:p>
      <w:pPr>
        <w:spacing w:after="0" w:line="170"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197" w:lineRule="exact"/>
        <w:rPr>
          <w:sz w:val="20"/>
          <w:szCs w:val="20"/>
          <w:color w:val="auto"/>
        </w:rPr>
      </w:pPr>
    </w:p>
    <w:p>
      <w:pPr>
        <w:ind w:left="1420" w:right="120" w:hanging="319"/>
        <w:spacing w:after="0" w:line="296" w:lineRule="auto"/>
        <w:tabs>
          <w:tab w:leader="none" w:pos="1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authorities, Institutional Review Boards, or IRBs, or Ethics Committees, or ECs, may not authorize us or our investigators to commence a clinical trial or conduct a clinical trial at a prospective trial site or we may fail to reach a consensus with regulatory authorities on trial design; for example, our initial submission of the IND for ACU193 was placed on clinical hold by the FDA until we were able to address the FDA’s initial concerns regarding potential off-target binding of ACU193 with an additional nonclinical tissue cross reactivity study, after which the FDA permitted us to initiate the Phase 1 clinical trial of ACU193 in April 2021;</w:t>
      </w:r>
    </w:p>
    <w:p>
      <w:pPr>
        <w:spacing w:after="0" w:line="188" w:lineRule="exact"/>
        <w:rPr>
          <w:rFonts w:ascii="Arial" w:cs="Arial" w:eastAsia="Arial" w:hAnsi="Arial"/>
          <w:sz w:val="16"/>
          <w:szCs w:val="16"/>
          <w:color w:val="auto"/>
        </w:rPr>
      </w:pPr>
    </w:p>
    <w:p>
      <w:pPr>
        <w:ind w:left="1420" w:right="12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in jurisdictions in which we seek to conduct clinical trials may differ from each other on our trial design, and it may be difficult or impossible to satisfy all such authorities with one approach;</w:t>
      </w:r>
    </w:p>
    <w:p>
      <w:pPr>
        <w:spacing w:after="0" w:line="197" w:lineRule="exact"/>
        <w:rPr>
          <w:rFonts w:ascii="Arial" w:cs="Arial" w:eastAsia="Arial" w:hAnsi="Arial"/>
          <w:sz w:val="18"/>
          <w:szCs w:val="18"/>
          <w:color w:val="auto"/>
        </w:rPr>
      </w:pPr>
    </w:p>
    <w:p>
      <w:pPr>
        <w:ind w:left="1420" w:right="120" w:hanging="319"/>
        <w:spacing w:after="0" w:line="263"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delays in reaching or fail to reach agreement on acceptable clinical trial contracts or clinical trial protocols with prospective trial sites, the terms of which can be subject to extensive negotiation and may vary significantly among different contract research organizations, or CROs, and trial sites;</w:t>
      </w:r>
    </w:p>
    <w:p>
      <w:pPr>
        <w:spacing w:after="0" w:line="210"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add or be delayed in adding a sufficient number of clinical trial sites and obtaining IRB or independent EC approval at each clinical trial site;</w:t>
      </w:r>
    </w:p>
    <w:p>
      <w:pPr>
        <w:spacing w:after="0" w:line="197" w:lineRule="exact"/>
        <w:rPr>
          <w:rFonts w:ascii="Arial" w:cs="Arial" w:eastAsia="Arial" w:hAnsi="Arial"/>
          <w:sz w:val="18"/>
          <w:szCs w:val="18"/>
          <w:color w:val="auto"/>
        </w:rPr>
      </w:pPr>
    </w:p>
    <w:p>
      <w:pPr>
        <w:jc w:val="both"/>
        <w:ind w:left="1420" w:right="100" w:hanging="319"/>
        <w:spacing w:after="0" w:line="342" w:lineRule="auto"/>
        <w:tabs>
          <w:tab w:leader="none" w:pos="1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clinical trials of our product candidates may fail to show safety or efficacy or otherwise produce negative or inconclusive results, and we may decide, or regulatory authorities may require us, to conduct additional clinical trials or abandon drug development programs;</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enrollment in our clinical trials may be slower than we anticipate or participants may drop out of these clinical trials at a higher rate than we anticipate;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having subjects complete a clinical trial or returning for post-treatment follow-up;</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clinical trial protocols;</w:t>
      </w:r>
    </w:p>
    <w:p>
      <w:pPr>
        <w:spacing w:after="0" w:line="252"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third-party contractors, including clinical investigators, contract manufacturers and vendors may fail to comply with applicable regulatory requirements, lose their licenses or permits, or otherwise fail, or lose the ability to, meet their contractual obligations to us in a timely manner, or at all;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58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might have to suspend or terminate clinical trials of our product candidates for various reasons, including a finding that the participants are being exposed to unacceptable health risks;</w:t>
      </w:r>
    </w:p>
    <w:p>
      <w:pPr>
        <w:spacing w:after="0" w:line="197" w:lineRule="exact"/>
        <w:rPr>
          <w:rFonts w:ascii="Arial" w:cs="Arial" w:eastAsia="Arial" w:hAnsi="Arial"/>
          <w:sz w:val="18"/>
          <w:szCs w:val="18"/>
          <w:color w:val="auto"/>
        </w:rPr>
      </w:pPr>
    </w:p>
    <w:p>
      <w:pPr>
        <w:ind w:left="1420" w:right="260" w:hanging="319"/>
        <w:spacing w:after="0" w:line="286" w:lineRule="auto"/>
        <w:tabs>
          <w:tab w:leader="none" w:pos="1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regulatory authorities or IRBs may require that we or our investigators suspend or terminate clinical research for various reasons, including noncompliance with regulatory requirements, a finding that our product candidates have undesirable side effects or other unexpected characteristics, or that the participants are being exposed to unacceptable health risks;</w:t>
      </w:r>
    </w:p>
    <w:p>
      <w:pPr>
        <w:spacing w:after="0" w:line="192" w:lineRule="exact"/>
        <w:rPr>
          <w:rFonts w:ascii="Arial" w:cs="Arial" w:eastAsia="Arial" w:hAnsi="Arial"/>
          <w:sz w:val="17"/>
          <w:szCs w:val="17"/>
          <w:color w:val="auto"/>
        </w:rPr>
      </w:pPr>
    </w:p>
    <w:p>
      <w:pPr>
        <w:ind w:left="1420" w:right="16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and we may lack adequate funding to continue one or more clinical trials;</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 sites may deviate from clinical trial protocol or drop out of a clinical trial;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companies.</w:t>
      </w:r>
    </w:p>
    <w:p>
      <w:pPr>
        <w:spacing w:after="0" w:line="225"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b w:val="1"/>
          <w:bCs w:val="1"/>
          <w:i w:val="1"/>
          <w:iCs w:val="1"/>
          <w:color w:val="auto"/>
        </w:rPr>
        <w:t>Adverse side effects, properties or other safety risks associated with ACU193 or any future product candidates could delay or preclude approval, cause us to suspend or discontinue clinical trials, abandon further development, limit the commercial profile of an approved label or result in significant negative consequences following marketing approval, if any.</w:t>
      </w:r>
    </w:p>
    <w:p>
      <w:pPr>
        <w:spacing w:after="0" w:line="184"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As is the case with pharmaceuticals generally, it is possible that there may be side effects and adverse events associated with the use of ACU193 or any future product candidates we may develop. Results of our Phase 1 trial of ACU193, or future clinical trials, could reveal a high and unacceptable severity and prevalence of side effects or unexpected characteristics as the clinical trials progress to greater exposures and a larger number of patients. Undesirable side effects caused by, or unexpected or unacceptable characteristics associated with, ACU193 or any future product candidates we may develop, could result in the delay, suspension or termination of clinical trials by us, the FDA or other regulatory authorities, or IRBs for a number of reasons. We may also elect to limit their development to more narrow uses or subpopulations in which the undesirable side effects or other characteristics are less prevalent, less severe or more acceptable from a risk-benefit perspective, which may limit the commercial expectations for such product candidate if approved. If we elect or are required to further delay, suspend or terminate any clinical trial of any product candidates we may develop, the commercial prospects of such product candidates will be harmed and our ability to generate drug revenues from any such product candidates will be delayed or eliminated.</w:t>
      </w:r>
    </w:p>
    <w:p>
      <w:pPr>
        <w:spacing w:after="0" w:line="18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It is possible that, as we test ACU193 in our Phase 1 trial or future trials, or as the use of ACU193 becomes more widespread if it receives regulatory approval, we may identify additional adverse events that were not identified or not considered significant in our earlier trials. If such side effects become later known in development or upon approval, if any, such findings may harm our business, financial condition, results of operations and prospects significantly. If we or others later identify undesirable side effects, a number of potentially significant negative consequences could result, including:</w:t>
      </w:r>
    </w:p>
    <w:p>
      <w:pPr>
        <w:spacing w:after="0" w:line="184" w:lineRule="exact"/>
        <w:rPr>
          <w:sz w:val="20"/>
          <w:szCs w:val="20"/>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 of ACU193 or any future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recall a drug or change the way such drug is administered to patients;</w:t>
      </w:r>
    </w:p>
    <w:p>
      <w:pPr>
        <w:spacing w:after="0" w:line="252"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statements in the labeling, such as a boxed warning or a contraindication or issue safety alerts, press releases or other communications containing warnings or other safety information about the product candidate, for example, field alerts to physicians and pharmacies;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420" w:right="300" w:hanging="319"/>
        <w:spacing w:after="0" w:line="263"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us to implement a REMS to ensure that the benefits of the drug outweigh its risks, which could include medication guides, physician communication plans, or elements to assure safe use, such as restricted distribution methods, patient registries and other risk minimization tools;</w:t>
      </w:r>
    </w:p>
    <w:p>
      <w:pPr>
        <w:spacing w:after="0" w:line="210"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change the way a drug is distributed or administered, conduct additional clinical trials or be required to conduct additional post-marketing studies or surveillance;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the drug may decrease significantly or ACU193 or any future drug could become less competitive;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ACU193 or any future product candidates, if approved, and could significantly harm our business, financial condition, results of operations and prospects.</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may experience delays or difficulties in the enrollment and retention of patients in clinical trials, which could delay or prevent our receipt of necessary regulatory approvals.</w:t>
      </w:r>
    </w:p>
    <w:p>
      <w:pPr>
        <w:spacing w:after="0" w:line="170"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eligible for our clinical trials with competitors which 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15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EMA or foreign regulatory authorities. We cannot predict how successful we will be at enrolling subjects in future clinical trials. Subject enrollment is affected by other factors including:</w:t>
      </w:r>
    </w:p>
    <w:p>
      <w:pPr>
        <w:spacing w:after="0" w:line="214" w:lineRule="exact"/>
        <w:rPr>
          <w:sz w:val="20"/>
          <w:szCs w:val="20"/>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severity and difficulty of diagnosing the disease under investigation;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 in question;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of the patient population and process for identifying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 of the trial protocol;</w:t>
      </w:r>
    </w:p>
    <w:p>
      <w:pPr>
        <w:spacing w:after="0" w:line="252" w:lineRule="exact"/>
        <w:rPr>
          <w:rFonts w:ascii="Arial" w:cs="Arial" w:eastAsia="Arial" w:hAnsi="Arial"/>
          <w:sz w:val="18"/>
          <w:szCs w:val="18"/>
          <w:color w:val="auto"/>
        </w:rPr>
      </w:pPr>
    </w:p>
    <w:p>
      <w:pPr>
        <w:jc w:val="center"/>
        <w:ind w:left="5540" w:right="1500" w:hanging="4439"/>
        <w:spacing w:after="0" w:line="449" w:lineRule="auto"/>
        <w:tabs>
          <w:tab w:leader="none" w:pos="14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in the trial, including relating to cell therapy approaches; 19</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8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therapeutic candidates’ clinical trials for the disease or condition under investigation;</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patients to be enrolled in our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52" w:lineRule="exact"/>
        <w:rPr>
          <w:rFonts w:ascii="Arial" w:cs="Arial" w:eastAsia="Arial" w:hAnsi="Arial"/>
          <w:sz w:val="18"/>
          <w:szCs w:val="18"/>
          <w:color w:val="auto"/>
        </w:rPr>
      </w:pPr>
    </w:p>
    <w:p>
      <w:pPr>
        <w:ind w:left="1420" w:right="280" w:hanging="319"/>
        <w:spacing w:after="0" w:line="263"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disruptions caused by the COVID-19 pandemic, including difficulties in initiating clinical sites, enrolling and retaining participants, diversion of healthcare resources away from clinical trials, travel or quarantine policies that may be implemented, and other factors;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15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Furthermore, even if we are able to enroll a sufficient number of patients for our clinical trials, we may have difficulty maintaining enrollment of such patients in our clinical trials.</w:t>
      </w:r>
    </w:p>
    <w:p>
      <w:pPr>
        <w:spacing w:after="0" w:line="170"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results from our clinical trials that we announce or publish from time to time may change as more data become available and is subject to audit and verification procedures that could result in material changes in the final data.</w:t>
      </w:r>
    </w:p>
    <w:p>
      <w:pPr>
        <w:spacing w:after="0" w:line="146"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reported. Differences between preliminary, top-line or interim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19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candidate or our business. If the interim, top-line or preliminary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cannot be certain that ACU193 or any of our future product candidates will receive regulatory approval, and without regulatory approval we will not be able to market our product candidates.</w:t>
      </w:r>
    </w:p>
    <w:p>
      <w:pPr>
        <w:spacing w:after="0" w:line="170"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We currently have no product candidates approved for sale and we cannot guarantee that we will ever have marketable product candidates. ACU193 is our sole product candidate designed for the treatment of AD. Our ability to generate revenue related to sales of ACU193, if ever, will depend on the successful development and regulatory approval of ACU193 for the treatment of AD and, potentially, other indications.</w:t>
      </w:r>
    </w:p>
    <w:p>
      <w:pPr>
        <w:spacing w:after="0" w:line="16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development of a product candidate and its approval and commercialization, including their design, testing, manufacture, safety, efficacy, recordkeeping, labeling, storage, approval, advertising, promotion, sale, distribution, import and export are subject to extensive regulation by the FDA, the EMA and regulatory authorities in other countries, with regulations differing from country to country. We are not permitted to market our product candidates in the United States, Europe or other countries until we receive approval of a BLA from the FDA or MAA from the EMA, respectively. We have not submitted any marketing applications for ACU193.</w:t>
      </w:r>
    </w:p>
    <w:p>
      <w:pPr>
        <w:spacing w:after="0" w:line="188"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BLAs and MAAs must include extensive nonclinical and clinical data and supporting information to establish the product candidate’s safety and effectiveness for each desired indication. BLAs and MAAs must also include significant information regarding the chemistry, manufacturing and controls for the drug. Obtaining approval of a BLA or a MAA is a lengthy, expensive and uncertain process, and we may not be successful in obtaining approval. The FDA and the EMA review processes can take years to complete and approval is never guaranteed. If we submit a BLA to the FDA, the FDA must decide whether to accept or reject the submission for filing. We cannot be certain that any submissions will be accepted for filing and review by the FDA. Regulators of other jurisdictions, such as the EMA, have their own procedures for approval of product candidates.</w:t>
      </w:r>
    </w:p>
    <w:p>
      <w:pPr>
        <w:spacing w:after="0" w:line="164"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Even if a drug is approved, the FDA or the EMA, as the case may be, may limit the indications for which the drug may be marketed, require extensive warnings on the drug labeling or require expensive and time-consuming clinical trials or reporting as conditions of approval. Regulatory authorities in countries outside of the United States and Europe also have requirements for approval of product candidates with which we must comply prior with marketing in those countries. Obtaining regulatory approval for marketing of a product candidate in one country does not ensure that we will be able to obtain regulatory approval in any other country. In addition, delays in approvals or rejections of marketing applications in the United States, Europe or other countries may be based upon many factors, including regulatory requests for additional analyses, reports, data, nonclinical studies and clinical trials, regulatory questions regarding different interpretations of data and results, changes in regulatory policy during the period of drug development and the emergence of new information regarding ACU193 or other product candidates we may develop in the future. Also, regulatory approval for any of our product candidates may be withdrawn.</w:t>
      </w:r>
    </w:p>
    <w:p>
      <w:pPr>
        <w:spacing w:after="0" w:line="18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initiated our Phase 1 trial in patients with AD in the second quarter of 2021. Before we submit a BLA to the FDA or a MAA to the EMA for ACU193 for the treatment of patients with AD, we will be required to successfully complete our Phase 1 clinical trial and at least one additional late-stage clinical trial. The FDA generally requires two pivotal clinical trials to support approval. In addition, we must scale up manufacturing and complete other standard nonclinical and clinical studies. We cannot predict whether our current or future trials will be successful or whether regulators will agree with our conclusions regarding the nonclinical studies and the clinical trials we conduct.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may in the future conduct clinical trials for our product candidates outside the United States, and the FDA, EMA and other foreign regulatory authorities may not accept data from such trials.</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may in the future choose to conduct one or more of our clinical trials outside the United States, including in Europe. The acceptance of study data from clinical trials conducted outside the United States or another jurisdiction by the FDA, EMA or applicable foreign regulatory authorities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and (ii) the trials were performed by clinical investigators of recognized competence and pursuant to current good clinical practice, or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other foreign regulatory authority will accept data from trials conducted outside of the United States or the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additional product candidates.</w:t>
      </w:r>
    </w:p>
    <w:p>
      <w:pPr>
        <w:spacing w:after="0" w:line="22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sole product candidate is ACU193. We may not be able to identify and successfully develop new product candidates in addition to ACU193. Even if we are successful in building our product pipeline, the potential product candidates that we identify may not be suitable for clinical development or, if deemed suitable for clinical development, successful in any clinical trials. For example, product candidates may be shown to have harmful side effects or other characteristics that indicate that they are unlikely to be successfully developed, much less receive marketing approval and achieve market acceptance. If we do not successfully develop and commercialize product candidates, we will not be able to obtain product revenue in future periods, which would result in significant harm to our financial position and adversely affect our stock price.</w:t>
      </w:r>
    </w:p>
    <w:p>
      <w:pPr>
        <w:spacing w:after="0" w:line="17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nonclinical studies and clinical trials and the submission of regulatory filings, including BLA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and operations may be adversely affected by the evolving and ongoing COVID-19 global pandemic.</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Our business and operations may be adversely affected by the effects of the recent and evolving COVID-19 virus, which was declared a global pandemic by the World Health Organization in March 2020. The COVID-19 pandemic has resulted in travel and other restrictions in order to reduce the spread of the disease, including public health directives and orders in the United States and the European Union that, among other things and for various periods of time, directed individuals to shelter at their places of residence, directed businesses and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and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w:t>
      </w:r>
    </w:p>
    <w:p>
      <w:pPr>
        <w:spacing w:after="0" w:line="16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Although we do not believe our operations have been materially impacted by the COVID-19 pandemic to date, we may experience related disruptions in the future that could severely impact our clinical trials, including:</w:t>
      </w:r>
    </w:p>
    <w:p>
      <w:pPr>
        <w:spacing w:after="0" w:line="197" w:lineRule="exact"/>
        <w:rPr>
          <w:sz w:val="20"/>
          <w:szCs w:val="20"/>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interruptions in our ability to obtain drug supply for our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interruptions in our ability to obtain clinical test kits for our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receiving authorizations from regulatory authorities to initiate our planned clinical trials;</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difficulties or a suspension in clinical site initiation, including difficulties in recruiting clinical site investigators and clinical site staff;</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252"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97" w:lineRule="exact"/>
        <w:rPr>
          <w:rFonts w:ascii="Arial" w:cs="Arial" w:eastAsia="Arial" w:hAnsi="Arial"/>
          <w:sz w:val="18"/>
          <w:szCs w:val="18"/>
          <w:color w:val="auto"/>
        </w:rPr>
      </w:pPr>
    </w:p>
    <w:p>
      <w:pPr>
        <w:ind w:left="1420" w:right="380" w:hanging="319"/>
        <w:spacing w:after="0" w:line="308" w:lineRule="auto"/>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COVID-19 outbreak that may require us to change the ways in which our clinical trials are conducted, which may result in unexpected costs or to discontinue the clinical trials altogether;</w:t>
      </w:r>
    </w:p>
    <w:p>
      <w:pPr>
        <w:spacing w:after="0" w:line="173" w:lineRule="exact"/>
        <w:rPr>
          <w:rFonts w:ascii="Arial" w:cs="Arial" w:eastAsia="Arial" w:hAnsi="Arial"/>
          <w:sz w:val="17"/>
          <w:szCs w:val="17"/>
          <w:color w:val="auto"/>
        </w:rPr>
      </w:pPr>
    </w:p>
    <w:p>
      <w:pPr>
        <w:ind w:left="1420" w:right="240" w:hanging="319"/>
        <w:spacing w:after="0" w:line="308" w:lineRule="auto"/>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173" w:lineRule="exact"/>
        <w:rPr>
          <w:rFonts w:ascii="Arial" w:cs="Arial" w:eastAsia="Arial" w:hAnsi="Arial"/>
          <w:sz w:val="17"/>
          <w:szCs w:val="17"/>
          <w:color w:val="auto"/>
        </w:rPr>
      </w:pPr>
    </w:p>
    <w:p>
      <w:pPr>
        <w:ind w:left="142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contract COVID-19 while the trial is ongoing, which could impact the results of the clinical trial, including by increasing the number of observed adverse events;</w:t>
      </w:r>
    </w:p>
    <w:p>
      <w:pPr>
        <w:spacing w:after="0" w:line="197" w:lineRule="exact"/>
        <w:rPr>
          <w:rFonts w:ascii="Arial" w:cs="Arial" w:eastAsia="Arial" w:hAnsi="Arial"/>
          <w:sz w:val="18"/>
          <w:szCs w:val="18"/>
          <w:color w:val="auto"/>
        </w:rPr>
      </w:pPr>
    </w:p>
    <w:p>
      <w:pPr>
        <w:ind w:left="1420" w:right="100" w:hanging="319"/>
        <w:spacing w:after="0" w:line="308" w:lineRule="auto"/>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73" w:lineRule="exact"/>
        <w:rPr>
          <w:rFonts w:ascii="Arial" w:cs="Arial" w:eastAsia="Arial" w:hAnsi="Arial"/>
          <w:sz w:val="17"/>
          <w:szCs w:val="17"/>
          <w:color w:val="auto"/>
        </w:rPr>
      </w:pPr>
    </w:p>
    <w:p>
      <w:pPr>
        <w:ind w:left="1420" w:right="140" w:hanging="319"/>
        <w:spacing w:after="0" w:line="308" w:lineRule="auto"/>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interruptions of, or delays in receiving, supplies of our product candidates from our contract manufacturing organizations, or CMOs, due to staffing shortages, production slowdowns or stoppages and disruptions in delivery systems;</w:t>
      </w:r>
    </w:p>
    <w:p>
      <w:pPr>
        <w:spacing w:after="0" w:line="173" w:lineRule="exact"/>
        <w:rPr>
          <w:rFonts w:ascii="Arial" w:cs="Arial" w:eastAsia="Arial" w:hAnsi="Arial"/>
          <w:sz w:val="17"/>
          <w:szCs w:val="17"/>
          <w:color w:val="auto"/>
        </w:rPr>
      </w:pPr>
    </w:p>
    <w:p>
      <w:pPr>
        <w:ind w:left="1420" w:right="72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80" w:hanging="319"/>
        <w:spacing w:after="0" w:line="342" w:lineRule="auto"/>
        <w:tabs>
          <w:tab w:leader="none" w:pos="1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local regulations as part of a response to the COVID-19 pandemic, which may require us to change the ways in which our clinical trials are conducted, which may result in unexpected costs, or to discontinue such clinical trials altogether; and</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these affected geographies.</w:t>
      </w:r>
    </w:p>
    <w:p>
      <w:pPr>
        <w:spacing w:after="0" w:line="225" w:lineRule="exact"/>
        <w:rPr>
          <w:sz w:val="20"/>
          <w:szCs w:val="20"/>
          <w:color w:val="auto"/>
        </w:rPr>
      </w:pPr>
    </w:p>
    <w:p>
      <w:pPr>
        <w:ind w:left="120" w:right="420"/>
        <w:spacing w:after="0" w:line="301" w:lineRule="auto"/>
        <w:rPr>
          <w:sz w:val="20"/>
          <w:szCs w:val="20"/>
          <w:color w:val="auto"/>
        </w:rPr>
      </w:pPr>
      <w:r>
        <w:rPr>
          <w:rFonts w:ascii="Arial" w:cs="Arial" w:eastAsia="Arial" w:hAnsi="Arial"/>
          <w:sz w:val="16"/>
          <w:szCs w:val="16"/>
          <w:color w:val="auto"/>
        </w:rPr>
        <w:t>The spread of COVID-19, which has caused a broad impact globally, may materially affect us economically. While the potential economic impact brought by, and the duration of, COVID-19 may be difficult to assess or predict, the continued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57"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The global COVID-19 pandemic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this prospectus,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17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develop ACU193 and future product candidates for use in combination with other therapies, which could expose us to additional regulatory risks.</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develop ACU193 and future product candidates for use in combination with one or more other approved therapies for AD. Even if any product candidate we develop were to receive marketing approval or be commercialized for use in combination with other existing therapies, we would continue to be subject to the risk that the FDA, EMA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w:t>
      </w:r>
    </w:p>
    <w:p>
      <w:pPr>
        <w:spacing w:after="0" w:line="18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Further, we will not be able to market and sell any product candidate we develop in combination with an unapproved AD therapy for a combination indication if that unapproved therapy does not ultimately obtain marketing approval either alone or in combination with our product. In addition, unapproved AD therapies face the same risks described with respect to our product candidates currently in development and clinical trials, including the potential for serious adverse effects, delay in their clinical trials and lack of FDA approval.</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As product candidates proceed through nonclinical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For example, we recently changed the storage conditions for future lots of ACU193 drug product, which required a change in contract manufacturer and submission of stability data to FDA in an IND amendment.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change in contract manufacturer IND amendment was filed with the FDA on April 8, 2021. The FDA has confirmed there is no plan for a 30 day review or wait at the agency.</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Such changes carry the risk that they will not achieve our intended objectives.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2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b w:val="1"/>
          <w:bCs w:val="1"/>
          <w:i w:val="1"/>
          <w:iCs w:val="1"/>
          <w:color w:val="auto"/>
        </w:rPr>
        <w:t>Even if ACU193 or any other product candidate we develop receives marketing approval, it may fail to achieve the degree of market acceptance by physicians, patients, third-party payors and others in the medical community necessary for commercial success.</w:t>
      </w:r>
    </w:p>
    <w:p>
      <w:pPr>
        <w:spacing w:after="0" w:line="14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ACU193 or any other product candidate we develop receives marketing approval, it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214" w:lineRule="exact"/>
        <w:rPr>
          <w:sz w:val="20"/>
          <w:szCs w:val="20"/>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licensed;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efficacy, safety and potential advantages compared to alternative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medicines;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52"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foreign regulatory authorities, including any limitations or warnings contained in a product’s approved labeling, including any black box warning or REMS;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commercialize the product either in collaboration with a third party or on our own;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52" w:lineRule="exact"/>
        <w:rPr>
          <w:rFonts w:ascii="Arial" w:cs="Arial" w:eastAsia="Arial" w:hAnsi="Arial"/>
          <w:sz w:val="18"/>
          <w:szCs w:val="18"/>
          <w:color w:val="auto"/>
        </w:rPr>
      </w:pPr>
    </w:p>
    <w:p>
      <w:pPr>
        <w:ind w:left="5540" w:right="240" w:hanging="4439"/>
        <w:spacing w:after="0" w:line="449" w:lineRule="auto"/>
        <w:tabs>
          <w:tab w:leader="none" w:pos="14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ACU193 and any other product candidates, once approved; 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225"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b w:val="1"/>
          <w:bCs w:val="1"/>
          <w:i w:val="1"/>
          <w:iCs w:val="1"/>
          <w:color w:val="auto"/>
        </w:rPr>
        <w:t>If we are unable to enter into a commercial collaboration or, alternatively, establish internal sales, marketing and distribution capabilities, for ACU193 or any other product candidate that may receive regulatory approval, we may not be successful in commercializing those product candidates if and when they are approved.</w:t>
      </w:r>
    </w:p>
    <w:p>
      <w:pPr>
        <w:spacing w:after="0" w:line="184"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We do not have sales or marketing infrastructure. To achieve commercial success for ACU193 or any other product candidate for which we may obtain marketing approval, we will either need to establish a commercial collaboration with a pharmaceutical company that has a sales and marketing organization or we will be required to develop these capabilities internally. There are risks and limitations associated with entering into a commercial collaboration. For example, we may not be successful in entering into arrangements with third parties to sell, market and distribute our product candidates or may be unable to do so on terms that are favorable to us. Even if we are able to enter into a collaboration, our revenue and profitability, if any, are likely to be significantly lower than if we were able to successfully commercialize a product ourselves. In addition, we likely would have little control over such third parties, and any of them may fail to devote the necessary resources and attention to sell and market our products effectively.</w:t>
      </w:r>
    </w:p>
    <w:p>
      <w:pPr>
        <w:spacing w:after="0" w:line="166"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At the same time, there are significant risks associated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would be costly, and our investment would be lost if we cannot retain or reposition our sales and marketing personnel.</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Factors that may inhibit our efforts to market our products on our own include:</w:t>
      </w:r>
    </w:p>
    <w:p>
      <w:pPr>
        <w:spacing w:after="0" w:line="252" w:lineRule="exact"/>
        <w:rPr>
          <w:sz w:val="20"/>
          <w:szCs w:val="20"/>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252" w:lineRule="exact"/>
        <w:rPr>
          <w:rFonts w:ascii="Arial" w:cs="Arial" w:eastAsia="Arial" w:hAnsi="Arial"/>
          <w:sz w:val="18"/>
          <w:szCs w:val="18"/>
          <w:color w:val="auto"/>
        </w:rPr>
      </w:pPr>
    </w:p>
    <w:p>
      <w:pPr>
        <w:ind w:left="1420" w:right="54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in order to educate physicians about our product candidates, once approved;</w:t>
      </w:r>
    </w:p>
    <w:p>
      <w:pPr>
        <w:spacing w:after="0" w:line="197" w:lineRule="exact"/>
        <w:rPr>
          <w:rFonts w:ascii="Arial" w:cs="Arial" w:eastAsia="Arial" w:hAnsi="Arial"/>
          <w:sz w:val="18"/>
          <w:szCs w:val="18"/>
          <w:color w:val="auto"/>
        </w:rPr>
      </w:pPr>
    </w:p>
    <w:p>
      <w:pPr>
        <w:ind w:left="1420" w:right="42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in collaboration with third parties or on our own, we will not be successful in commercializing our product candidates.</w:t>
      </w:r>
    </w:p>
    <w:p>
      <w:pPr>
        <w:spacing w:after="0" w:line="17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The affected populations for ACU193 or any other product candidate we may develop may be smaller than we or third parties currently project, which may affect the addressable markets for our product candidates.</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projections of the number of people who have AD, as well as the subset of people with AD who have the potential to benefit from treatment with ACU193, are estimates based on our knowledge and understanding of the disease. These estimates may prove to be incorrect and new studies may further reduce the estimated incidence or prevalence of the disease or narrow the universe of patients who would be understood to potentially benefit for treatment with ACU193, if approved. The number of patients in the United States, the European Union and elsewhere may turn out to be lower than expected, may not be otherwise amenable to treatment with our product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candidates or patients may become increasingly difficult to identify and access, all of which would adversely affect our business, financial condition, results of operations and prospects. Further, even if we obtain approval for ACU193, the FDA or other regulators may limit their approved indications to more narrow uses or subpopulations within the populations for which we are targeting development of ACU193.</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w:t>
      </w:r>
    </w:p>
    <w:p>
      <w:pPr>
        <w:spacing w:after="0" w:line="187"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estimated incidence and prevalence ranges included herein have been derived from data from multiple sources, including scientific literature, surveys of clinics, patient foundations or market research, and may prove to be incorrect. Accordingly, the incidence and prevalence estimates included in this prospectus should be viewed with caution. Further, the data and statistical information used in this prospectus, including estimates derived from them, may differ from information and estimates made by our competitors or from current or future studies conducted by independent sources.</w:t>
      </w:r>
    </w:p>
    <w:p>
      <w:pPr>
        <w:spacing w:after="0" w:line="157"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b w:val="1"/>
          <w:bCs w:val="1"/>
          <w:i w:val="1"/>
          <w:iCs w:val="1"/>
          <w:color w:val="auto"/>
        </w:rPr>
        <w:t>Off-label use or misuse of our products may harm our reputation in the marketplace, result in injuries that lead to costly product liability suits, and subject us to penalties if we fail to comply with regulatory requirements or experience unanticipated problems with any product.</w:t>
      </w:r>
    </w:p>
    <w:p>
      <w:pPr>
        <w:spacing w:after="0" w:line="124"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If ACU193 or any other product candidate we develop is approved by the FDA, we may only promote or market our product candidate for its specifically approved indications and consistent with its approved labeling. We or any third party collaborator responsible for commercialization of our products will train the marketing and sales forces responsible for our products against promoting them for uses outside of their approved indications for use, known as “off-label uses.” However, neither we, nor any future commercial partner of ours will be able to prevent a physician from using our products off-label, when in the physician’s independent professional medical judgment he or she deems it appropriate. Furthermore, the use of our products for indications other than those approved by the FDA may not effectively treat such conditions. Any such off-label use of our product candidates could harm our reputation in the marketplace among physicians and patients. There may also be an increased risk of injury to patients if physicians attempt to use our products for these uses for which they are not approved, which could lead to product liability suits that that might require significant financial and management resources and that could harm our reputation.</w:t>
      </w:r>
    </w:p>
    <w:p>
      <w:pPr>
        <w:spacing w:after="0" w:line="181"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U.S. Federal Trade Commission, the Department of Justice, or DOJ, the Office of Inspector General of the U.S. Department of Health and Human Services, or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or warning letters, mandates to issue corrective information to healthcare practitioners, inquiries, investigations, injunctions and civil and criminal sanctions by the FDA, DOJ or comparable foreign bodies. The federal government has levied large civil and criminal fines against companies for alleged improper promotion of off-label use and as enjoined several companies from engaging in an off-label promotion.</w:t>
      </w:r>
    </w:p>
    <w:p>
      <w:pPr>
        <w:spacing w:after="0" w:line="17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or more effective than ours.</w:t>
      </w:r>
    </w:p>
    <w:p>
      <w:pPr>
        <w:spacing w:after="0" w:line="170"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development and commercialization of new drugs is highly competitive. Moreover, the AD field is characterized by strong competition and a strong emphasis on intellectual property. We may face competition with respect to any product candidates that we seek to develop or commercialize in the future from major pharmaceutical companies, specialty pharmaceutical companies and biotechnology companies worldwide.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4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approved, ACU193 will compete with therapies currently approved for the treatment of AD, which have primarily been developed to treat the symptoms of AD rather than the underlying cause of the disease, such as memantine and cholinesterase inhibitors. ACU193 may also compete with one or more potentially disease-modifying therapeutics that target Ab or amyloid plaques, the most advanced of which is Biogen Inc.’s aducanumab, which the FDA approved in June 2021 under the accelerated approval pathway, which allows for earlier approval of drugs that treat serious conditions, and that fill an unmet medical need based on a surrogate endpoint. Regulatory approval of aducanumab is pending in Europe and Japan. Other companies known to be developing therapies with Ab/amyloid plaque-related targets include Alzheon, Inc., Alzinova AB, Chugai Pharmaceutical Co. Ltd., Cognition Therapeutics, Inc., Eisai Co., Ltd., Eli Lilly and Company, Grifols, S.A., KalGene Pharmaceuticals, Inc., Neurimmune AG, Novartis AG, ProMIS Neurosciences, Inc., Prothena Biosciences, Inc., Roche Holding AG (including Genentech, its wholly owned subsidiary) and Wren Therapeutics, Inc.. Additionally, ACU193, if approved, may also compete with other potential therapies intended to address underlying causes of AD that are being developed by several companies, including AbbVie Inc., AC Immune SA, Alector, Inc., Anavex Life Sciences Corp., Annovis Bio, Inc., Athira Pharma, Inc., Biohaven Pharmaceuticals, Inc., Cassava Sciences, Inc., Cortexyme, Inc., Denali Therapeutics, Inc., Johnson &amp; Johnson (including Janssen, its wholly-owned subsidiary) and Takeda Pharmaceutical Co. Ltd.</w:t>
      </w:r>
    </w:p>
    <w:p>
      <w:pPr>
        <w:spacing w:after="0" w:line="17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Many of our current or potential competitors, either alone or with their strategic partners, have significantly greater financial resources and expertise in research and development, manufacturing, nonclinical testing, conducting clinical trials, obtaining regulatory approvals and marketing approved product candidates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Furthermore, currently approved product candidates could be discovered to have application for treatment of AD, which could give such product candidates significant regulatory and market timing advantages over any of our product candidates. Our competitors also may obtain FDA, EMA or other regulatory approval for their product candidates more rapidly than we may obtain approval for ours from the FDA, which could result in our competitors establishing a strong market position before we are able to enter the market. Additionally, product candidates or technologies developed by our competitors may render our potential product candidates uneconomical or obsolete, and we may not be successful in marketing any product candidates we may develop against competitors.</w:t>
      </w:r>
    </w:p>
    <w:p>
      <w:pPr>
        <w:spacing w:after="0" w:line="17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If our competitors market product candidates that are more effective, safer or less expensive than our product candidates, if approved, or that reach the market sooner than our product candidates, we may not achieve commercial success. In addition, the pharmaceutical industry is characterized by rapid technological change. If we fail to stay at the forefront of technological change, we may be unable to compete effectively. Technological advances or product candidates developed by our competitors may render our technologies or product candidates obsolete, less competitive or not economical.</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Any product candidates for which we intend to seek approval as biologic products may face competition sooner than anticipated.</w:t>
      </w:r>
    </w:p>
    <w:p>
      <w:pPr>
        <w:spacing w:after="0" w:line="23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If we are successful in achieving regulatory approval to commercialize any biologic product candidate that we develop, it may face competition from biosimilar products. In the United States, ACU193 is, and we expect that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any other product candidate we may seek to develop likely will be, regulated by the FDA as a biologic product subject to approval under the BLA pathway. The Patient Protection and Affordable Care Act, as amended by the Health Care and Education Reconciliation Act, collectively, the ACA, includes a subtitle called the Biologics Price Competition and Innovation Act of 2009, or the BPCIA, which created an abbreviated approval pathway for biological products that are biosimilar to or interchangeable with an FDA-licensed reference biological product. Under the BPCIA, an application for a biosimilar product may not be submitted to the FDA until four (4) years following the date that the reference product was first licensed by the FDA. In addition, the approval of a biosimilar product may not be made effective by the FDA until 12 years from the date on which the reference product was first licensed by the FDA. During this 12-year period of exclusivity, another company may still market a competing version of the reference product if the FDA approves a full BLA for the competing product containing the sponsor’s own nonclinical data and data from adequate and well-controlled clinical trials to demonstrate the safety, purity and potency of their product.</w:t>
      </w:r>
    </w:p>
    <w:p>
      <w:pPr>
        <w:spacing w:after="0" w:line="18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Moreover, the extent to which a biosimilar, once approved, will be substituted for any one of our reference products in a way that is similar to traditional generic substitution for non-biological products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17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success of our product candidates will depend significantly on coverage and adequate reimbursement or the willingness of patients to pay for these therapies.</w:t>
      </w:r>
    </w:p>
    <w:p>
      <w:pPr>
        <w:spacing w:after="0" w:line="170"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We believe our success depends on obtaining and maintaining coverage and adequate reimbursement from third- party payors for ACU193 and any other product candidate we successfully develop,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the HHS. CMS decides whether and to what extent products will be covered and reimbursed under Medicare and private payors tend to follow CMS to a substantial degree.</w:t>
      </w:r>
    </w:p>
    <w:p>
      <w:pPr>
        <w:spacing w:after="0" w:line="16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p>
    <w:p>
      <w:pPr>
        <w:spacing w:after="0" w:line="17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18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There can be no assurance that ACU193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17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70" w:lineRule="exact"/>
        <w:rPr>
          <w:sz w:val="20"/>
          <w:szCs w:val="20"/>
          <w:color w:val="auto"/>
        </w:rPr>
      </w:pPr>
    </w:p>
    <w:p>
      <w:pPr>
        <w:jc w:val="both"/>
        <w:ind w:left="120" w:right="500"/>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176" w:lineRule="exact"/>
        <w:rPr>
          <w:sz w:val="20"/>
          <w:szCs w:val="20"/>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any product candidates or drugs that we may develop;</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a variety of privacy and data security laws, and our failure to comply with them could harm our business.</w:t>
      </w:r>
    </w:p>
    <w:p>
      <w:pPr>
        <w:spacing w:after="0" w:line="225"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United States, numerous federal and state laws and regulations could apply to our operations or the operations of our partners, including state data breach notification laws, state health information privacy laws, and federal and state consumer protection laws and regulations (e.g. Section 5 of the Federal Trade Commission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the Health Insurance Portability and Accountability Act of 1996, or HIPAA, as amended by the Health Information Technology for Economic and Clinical Health Act and regulations promulgated thereunder. Depending on the facts and circumstances, we could be subject to significant penalties if we obtain, use or disclose individually identifiable health information in a manner that is not authorized or permitted by HIPAA.</w:t>
      </w:r>
    </w:p>
    <w:p>
      <w:pPr>
        <w:spacing w:after="0" w:line="184"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In Europe, the General Data Protection Regulation, or GDPR, took effect in May 2018. The GDPR governs the collection, use, disclosure, transfer or other processing of personal data of individuals within the European Economic Area, or EEA, including clinical trial data. Among other things, the GDPR imposes requirements regarding the security of personal data and notification of data processing obligations to the competent national data processing authorities, requires having lawful bases on which personal data can be processed, requires changes to informed consent practices, and more detailed notices for clinical trial subjects and investigators. In addition, the GDPR increases the scrutiny of transfers of personal data from the EEA to the United States and other jurisdictions that the European Commission does not recognize as having “adequate” data protection laws. In July 2020, the Court of Justice of the European Union limited how organizations could lawfully transfer personal data from the EEA to the United States by invalidating the EU-U.S. Privacy Shield and imposing further restrictions on use of the standard contractual clauses, which could increase our costs and our ability to efficiently process personal data from the EEA. The GDPR imposes substantial fines for breaches and violations (up to the greater of €20 million or four percent (4%) of our consolidated annual worldwide gross revenue) and confers a private right of action on data subjects and consumer associations to lodge complaints with supervisory authorities, seek judicial remedies and obtain compensation for damages resulting from violations of the GDPR. Relatedly, following the United Kingdom’s, or U.K., withdrawal from the EEA and the European Union, and the expiry of the transition period, which ended on January 1, 2021, companies have to comply with both the GDPR and the GDPR as incorporated into U.K. national law, the latter regime having the ability to separately fine up to the greater of £17.5 million or four percent (4%) of global turnover. On January 1, 2021, the U.K. became a third country for the purposes of the GDPR.</w:t>
      </w:r>
    </w:p>
    <w:p>
      <w:pPr>
        <w:spacing w:after="0" w:line="16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relationship between the U.K. and the European Union in relation to certain aspects of data protection law remains unclear. For example, it is unclear how data can lawfully be transferred between each jurisdiction, which exposes us to further compliance risk. Pursuant to the EU-U.K. Trade and Cooperation Agreement of</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December 24, 2020, transfers of personal data from the European Union to the U.K. may continue to take place without a need for additional safeguards during a further transition period, to expire on (1) the date on which an adequacy decision with respect to the U.K. is adopted by the EU Commission; or</w:t>
      </w:r>
    </w:p>
    <w:p>
      <w:pPr>
        <w:ind w:left="120" w:right="100" w:hanging="4"/>
        <w:spacing w:after="0" w:line="253" w:lineRule="auto"/>
        <w:tabs>
          <w:tab w:leader="none" w:pos="3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expiry of four (4) months, which shall be extended by a further two (2) months unless either the European Union or the U.K. objects. It remains unclear whether the EU Commission will adopt an adequacy decision with respect to the U.K. In the absence of such decision after the expiry of the additional transition period, we may need to put in place additional safeguards for transfers of personal data from the European Union to the U.K., such as standard contractual clauses approved by the EU Commission.</w:t>
      </w:r>
    </w:p>
    <w:p>
      <w:pPr>
        <w:spacing w:after="0" w:line="193"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 In addition, states are constantly adopting new laws or amending existing laws, requiring attention to frequently changing regulatory requirements. For example, California enacted the California Consumer Privacy Act, or CCPA, which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Further, the California Privacy Rights Act, or CPRA, recently passed in California. The CPRA will impose additional data protection obligations on companies doing business in California,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Although the CCPA currently exempts certain health-related information, including clinical trial data, the CCPA and the CPRA may increase our compliance costs and potential liability. Similar laws have been proposed in other states and at the federal level, and if passed, such laws may have potentially conflicting requirements that would make compliance challenging.</w:t>
      </w:r>
    </w:p>
    <w:p>
      <w:pPr>
        <w:spacing w:after="0" w:line="17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170"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8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Compliance with applicable environmental laws and regulations may be expensive, and current or future environmental laws and regulations may impair our research, product development and manufacturing efforts.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currently rely on CMOs to supply components of and manufacture ACU193. The loss of any of these CMOs or the failure of any of them to meet their obligations to us could affect our ability to develop ACU193 in a timely manner.</w:t>
      </w:r>
    </w:p>
    <w:p>
      <w:pPr>
        <w:spacing w:after="0" w:line="170"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do not own or operate manufacturing facilities and rely on a limited number of CMOs to manufacture our product candidates. We have entered into agreements with third-party CMOs to manufacture ACU193 and supply the Phase 1 clinical trial material, in compliance with applicable regulatory and quality standards. We intend to continue to rely on third-party CMOs to manufacture our clinical supply for the foreseeable future. Any replacement of a third-party CMO could require significant effort and expertise because there may be a limited number of qualified replacements. Any delays in obtaining adequate clinical supply that meets the necessary quality standards may delay our development or commercialization.</w:t>
      </w:r>
    </w:p>
    <w:p>
      <w:pPr>
        <w:spacing w:after="0" w:line="161"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Our reliance on CMOs for manufacturing activities will reduce our control over these activities but will not relieve us of our responsibility to ensure compliance with all required regulations. Under certain circumstances, these CMOs may be entitled to terminate their engagements with us. If a CMO terminates its engagement with us, or does not successfully carry out its contractual duties, meet expected deadlines or manufacture ACU193 or any other product candidate that we develop in accordance with regulatory requirements, or if there are disagreements between us and a CMO, we may not be able to complete, or may be delayed in completing, the nonclinical studies required to support clinical trials required for approval of ACU193 or any other product candidate. In such instance, we may need to enter into an appropriate replacement third-party relationship, which may not be readily available or available on acceptable terms, which would cause additional delay or increased expense prior to the approval of ACU193 or any future product candidate and would thereby have a negative impact on our business, financial condition, results of operations and prospects.</w:t>
      </w:r>
    </w:p>
    <w:p>
      <w:pPr>
        <w:spacing w:after="0" w:line="165"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We may rely on additional third parties to manufacture ingredients of our product candidates in the future and to perform quality testing. Reliance on CMOs and other third-party service providers entails risks to which we would not be subject if we manufactured the product candidates ourselves, including:</w:t>
      </w:r>
    </w:p>
    <w:p>
      <w:pPr>
        <w:spacing w:after="0" w:line="211" w:lineRule="exact"/>
        <w:rPr>
          <w:sz w:val="20"/>
          <w:szCs w:val="20"/>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or nonrenewal of the applicable manufacturing and service agreements in a manner or at a time that is costly or damaging to us;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breach by our third-party manufacturers and service providers of our agreements with them;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of our third-party manufacturers and service providers to comply with applicable regulatory requirements;</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25"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Any of these events could lead to clinical trial delays or failure to obtain regulatory approval, impact our ability to successfully commercialize any of our product candidates or otherwise harm our business, financial condition, results of operations, stock price and prospects. Some of these events could be the basis for FDA or other regulatory authority action, including injunction, recall, seizure or total or partial suspension of product manufacture.</w:t>
      </w:r>
    </w:p>
    <w:p>
      <w:pPr>
        <w:spacing w:after="0" w:line="14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b w:val="1"/>
          <w:bCs w:val="1"/>
          <w:i w:val="1"/>
          <w:iCs w:val="1"/>
          <w:color w:val="auto"/>
        </w:rPr>
        <w:t>We intend to rely on CROs and other third parties to conduct, supervise and monitor a significant portion of our research and nonclinical testing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15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intend to engage CROs and other third parties to conduct our planned nonclinical studies or clinical trials, including our Phase 1 trial and future clinical trials of ACU193, and to monitor and manage data. We expect to continue to rely on third parties, including clinical data management organizations, medical institutions and clinical investigators, in the future.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our trials may also be interrupted by the ongoing COVID-19 pandemic, including due to travel or quarantine policies, heightened exposure of a CRO or clinical site or other vendor staff who are healthcare providers to COVID-19 or prioritization of resources toward the pandemic.</w:t>
      </w:r>
    </w:p>
    <w:p>
      <w:pPr>
        <w:spacing w:after="0" w:line="17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177"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We rely on these parties for execution of our nonclinical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GCPs, which are standards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 or may result in fines, adverse publicity and civil and criminal sanctions.</w:t>
      </w:r>
    </w:p>
    <w:p>
      <w:pPr>
        <w:spacing w:after="0" w:line="184" w:lineRule="exact"/>
        <w:rPr>
          <w:sz w:val="20"/>
          <w:szCs w:val="20"/>
          <w:color w:val="auto"/>
        </w:rPr>
      </w:pPr>
    </w:p>
    <w:p>
      <w:pPr>
        <w:jc w:val="both"/>
        <w:ind w:left="120" w:right="620"/>
        <w:spacing w:after="0" w:line="342" w:lineRule="auto"/>
        <w:rPr>
          <w:sz w:val="20"/>
          <w:szCs w:val="20"/>
          <w:color w:val="auto"/>
        </w:rPr>
      </w:pPr>
      <w:r>
        <w:rPr>
          <w:rFonts w:ascii="Arial" w:cs="Arial" w:eastAsia="Arial" w:hAnsi="Arial"/>
          <w:sz w:val="16"/>
          <w:szCs w:val="16"/>
          <w:color w:val="auto"/>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spacing w:after="0" w:line="12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ACU193 or any other product candidate we develop.</w:t>
      </w:r>
    </w:p>
    <w:p>
      <w:pPr>
        <w:spacing w:after="0" w:line="178"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184"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b w:val="1"/>
          <w:bCs w:val="1"/>
          <w:i w:val="1"/>
          <w:iCs w:val="1"/>
          <w:color w:val="auto"/>
        </w:rPr>
        <w:t>If any of our third-party manufacturers encounter difficulties in production of ACU193 or any future product candidate we develop, or fail to meet rigorously enforced regulatory standards, our ability to provide supply of our product candidates for clinical trials or, if approved, for commercial sale could be delayed or stopped, or we may be unable to maintain a commercially viable cost structure.</w:t>
      </w:r>
    </w:p>
    <w:p>
      <w:pPr>
        <w:spacing w:after="0" w:line="165" w:lineRule="exact"/>
        <w:rPr>
          <w:sz w:val="20"/>
          <w:szCs w:val="20"/>
          <w:color w:val="auto"/>
        </w:rPr>
      </w:pPr>
    </w:p>
    <w:p>
      <w:pPr>
        <w:jc w:val="both"/>
        <w:ind w:left="120" w:right="120"/>
        <w:spacing w:after="0" w:line="287" w:lineRule="auto"/>
        <w:rPr>
          <w:sz w:val="20"/>
          <w:szCs w:val="20"/>
          <w:color w:val="auto"/>
        </w:rPr>
      </w:pPr>
      <w:r>
        <w:rPr>
          <w:rFonts w:ascii="Arial" w:cs="Arial" w:eastAsia="Arial" w:hAnsi="Arial"/>
          <w:sz w:val="16"/>
          <w:szCs w:val="16"/>
          <w:color w:val="auto"/>
        </w:rPr>
        <w:t>The processes involved in manufacturing ACU193 and any other product candidate we may develop are highly-regulated and subject to multiple risks. As product candidates are developed through nonclinical studies to late-stage clinical trials towards approval and commercialization, it is common that various aspects of the development program, such as manufacturing methods, are altered along the way in an effort to optimize processes and results.</w:t>
      </w:r>
    </w:p>
    <w:p>
      <w:pPr>
        <w:spacing w:after="0" w:line="2"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Such changes carry the risk that they will not achieve these intended objectives, and any of these changes could cause our product candidates to perform differently and affect the results of planned clinical trials or other future clinical trials.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third-party manufacturers, such facilities may need to be closed for an extended period of time to investigate and remedy the contamination, which could delay clinical trials and adversely harm our business.</w:t>
      </w:r>
    </w:p>
    <w:p>
      <w:pPr>
        <w:spacing w:after="0" w:line="162"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In order to conduct clinical trials of our product candidates, or supply commercial product candidates, if approved, we will need to manufacture them in both small and large quantities. We currently rely on third parties to manufacture ACU193 for clinical trial purposes, and our manufacturing partners will have to modify and scale-up the manufacturing process when we transition to commercialization of our product candidates. Our manufacturing partners may be unable to successfully modify or scale-up the manufacturing capacity for any of our product candidates in a timely or cost-effective manner, or at all. In addition, quality issues may arise during scale-up activities. If our manufacturing partners are unable to successfully scale-up the manufacture of our product candidates in sufficient quality and quantity, the development, testing and clinical trials of that product candidate may be delayed or become infeasible, and regulatory approval or commercial launch of any resulting product may be delayed or not obtained, which could significantly harm our business. The same risks would apply to our internal manufacturing facilities, should we in the future decide to build internal manufacturing capacity. In addition, building internal manufacturing capacity would carry significant risks in terms of being</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able to plan, design and execute on a complex project to build manufacturing facilities in a timely and cost-efficient manner.</w:t>
      </w:r>
    </w:p>
    <w:p>
      <w:pPr>
        <w:spacing w:after="0" w:line="22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addition, the manufacturing process for any product candidates that we may develop is subject to FDA, EMA and foreign regulatory requirements, and continuous oversight, and we will need to contract with manufacturers who can meet all applicable FDA, EMA and foreign regulatory authority requirements, including complying cGMPs on an ongoing basis. If we or our third-party manufacturers are unable to reliably produce product candidates in accordance with the requirements of the FDA, EMA or other regulatory authorities, we may not obtain or maintain the approvals we need to commercialize such product candidates. Even if we obtain regulatory approval for any of our product candidates, there is no assurance that either we or our third party contract manufacturers will be able to manufacture the approved product in accordance with the requirements of the FDA,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186"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We will likely seek collaborations with third parties for the development or commercialization of our product candidates. If those collaborations are not successful, we may not be able to capitalize on the market potential of those product candidates, including ACU193.</w:t>
      </w:r>
    </w:p>
    <w:p>
      <w:pPr>
        <w:spacing w:after="0" w:line="124"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will likely seek third-party collaborators for the commercialization of ACU193 and any of our future product candidates, in the United States and may enter into collaboration agreements for the development and commercialization of any of our product candidates outside the United States. In the United States, commercialization partners are likely to include large biotechnology or pharmaceutical companies. Our likely collaborators outside the United States would most likely include regional and national pharmaceutical companies and biotechnology companies. If we enter into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252" w:lineRule="exact"/>
        <w:rPr>
          <w:sz w:val="20"/>
          <w:szCs w:val="20"/>
          <w:color w:val="auto"/>
        </w:rPr>
      </w:pPr>
    </w:p>
    <w:p>
      <w:pPr>
        <w:ind w:left="1420" w:hanging="319"/>
        <w:spacing w:after="0"/>
        <w:tabs>
          <w:tab w:leader="none" w:pos="1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collaborations;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52" w:lineRule="exact"/>
        <w:rPr>
          <w:rFonts w:ascii="Arial" w:cs="Arial" w:eastAsia="Arial" w:hAnsi="Arial"/>
          <w:sz w:val="18"/>
          <w:szCs w:val="18"/>
          <w:color w:val="auto"/>
        </w:rPr>
      </w:pPr>
    </w:p>
    <w:p>
      <w:pPr>
        <w:ind w:left="1420" w:hanging="319"/>
        <w:spacing w:after="0" w:line="311" w:lineRule="auto"/>
        <w:tabs>
          <w:tab w:leader="none" w:pos="1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5" w:lineRule="exact"/>
        <w:rPr>
          <w:rFonts w:ascii="Arial" w:cs="Arial" w:eastAsia="Arial" w:hAnsi="Arial"/>
          <w:sz w:val="16"/>
          <w:szCs w:val="16"/>
          <w:color w:val="auto"/>
        </w:rPr>
      </w:pPr>
    </w:p>
    <w:p>
      <w:pPr>
        <w:jc w:val="both"/>
        <w:ind w:left="1420" w:right="540" w:hanging="319"/>
        <w:spacing w:after="0" w:line="342" w:lineRule="auto"/>
        <w:tabs>
          <w:tab w:leader="none" w:pos="1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63"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252" w:lineRule="exact"/>
        <w:rPr>
          <w:rFonts w:ascii="Arial" w:cs="Arial" w:eastAsia="Arial" w:hAnsi="Arial"/>
          <w:sz w:val="18"/>
          <w:szCs w:val="18"/>
          <w:color w:val="auto"/>
        </w:rPr>
      </w:pPr>
    </w:p>
    <w:p>
      <w:pPr>
        <w:ind w:left="1420" w:right="140" w:hanging="319"/>
        <w:spacing w:after="0" w:line="342" w:lineRule="auto"/>
        <w:tabs>
          <w:tab w:leader="none" w:pos="1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150" w:lineRule="exact"/>
        <w:rPr>
          <w:rFonts w:ascii="Arial" w:cs="Arial" w:eastAsia="Arial" w:hAnsi="Arial"/>
          <w:sz w:val="16"/>
          <w:szCs w:val="16"/>
          <w:color w:val="auto"/>
        </w:rPr>
      </w:pPr>
    </w:p>
    <w:p>
      <w:pPr>
        <w:ind w:left="1420" w:right="200" w:hanging="31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197" w:lineRule="exact"/>
        <w:rPr>
          <w:rFonts w:ascii="Arial" w:cs="Arial" w:eastAsia="Arial" w:hAnsi="Arial"/>
          <w:sz w:val="18"/>
          <w:szCs w:val="18"/>
          <w:color w:val="auto"/>
        </w:rPr>
      </w:pPr>
    </w:p>
    <w:p>
      <w:pPr>
        <w:ind w:left="1420" w:right="60" w:hanging="319"/>
        <w:spacing w:after="0" w:line="259"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13" w:lineRule="exact"/>
        <w:rPr>
          <w:rFonts w:ascii="Arial" w:cs="Arial" w:eastAsia="Arial" w:hAnsi="Arial"/>
          <w:sz w:val="18"/>
          <w:szCs w:val="18"/>
          <w:color w:val="auto"/>
        </w:rPr>
      </w:pPr>
    </w:p>
    <w:p>
      <w:pPr>
        <w:ind w:left="1420" w:right="700" w:hanging="319"/>
        <w:spacing w:after="0" w:line="263"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collaborators may infringe the intellectual property rights of third parties, which may expose us to litigation and potential liability; and</w:t>
      </w:r>
    </w:p>
    <w:p>
      <w:pPr>
        <w:spacing w:after="0" w:line="275" w:lineRule="exact"/>
        <w:rPr>
          <w:rFonts w:ascii="Arial" w:cs="Arial" w:eastAsia="Arial" w:hAnsi="Arial"/>
          <w:sz w:val="16"/>
          <w:szCs w:val="16"/>
          <w:color w:val="auto"/>
        </w:rPr>
      </w:pPr>
    </w:p>
    <w:p>
      <w:pPr>
        <w:ind w:left="1420" w:right="180" w:hanging="31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exposed to a variety of international risks that could materially adversely affect our business.</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may enter into agreements with third parties for the development and commercialization of product candidates in international markets. International business relationships will subject us to additional risks that may materially adversely affect our ability to attain or sustain profitable operations, including:</w:t>
      </w:r>
    </w:p>
    <w:p>
      <w:pPr>
        <w:spacing w:after="0" w:line="211" w:lineRule="exact"/>
        <w:rPr>
          <w:sz w:val="20"/>
          <w:szCs w:val="20"/>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differing regulatory requirements for product approvals internationally;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third-party patent rights in countries outside of the United States;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occurs when a local seller, faced with relatively high local prices, opts to import goods from another jurisdiction with relatively low prices, rather than buying them locally;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pricing pressure and differing reimbursement regimes: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52"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particularly in non-U.S. economies and markets, including several countries in Europe;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traveling abroad;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taxes in other countries;</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52"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volcanoes, typhoons, pandemics, epidemics, floods, hurricanes and fires.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engage in acquisitions, we will incur a variety of costs and we may never realize the anticipated benefits of such acquisitions.</w:t>
      </w:r>
    </w:p>
    <w:p>
      <w:pPr>
        <w:spacing w:after="0" w:line="23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Although we currently have no plans to do so, we may attempt to acquire businesses, technologies or drug candidates that we believe are a strategic fit with our business. If we do undertake any acquisitions, the process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of integrating an acquired business, technology or drug candidates into our business may result in unforeseen operating difficulties and expenditures, including diversion of resources and management’s attention from our core business. In addition, we may fail to retain key executives and employees of the companies we acquire, which may reduce the value of the acquisition or give rise to additional integration costs. Future acquisitions could result in additional issuances of equity securities that would dilute the ownership of existing stockholders. Future acquisitions could also result in the incurrence of debt, contingent liabilities or the amortization of expenses related to other intangible assets, any of which could adversely affect our operating results. In addition, we may fail to realize the anticipated benefits or synergies of any acquisition.</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 candidate, and other proprietary technologies we develop, or if the scope of the intellectual property protection obtained is not sufficiently broad, our competitors could develop and commercialize products similar or identical to ours, and our ability to successfully commercialize our product candidate, and other proprietary technologies if approved, may be adversely affected.</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commercial success will depend in part on our ability to obtain and maintain a combination of patents, trade secret protection and confidentiality agreements to protect the intellectual property related to our product candidate, and other proprietary technologies we develop. If we are unable to obtain or maintain patent protection with respect to our product candidate, and other proprietary technologies we may develop, our business, financial condition, results of operations, and prospects could be materially harmed.</w:t>
      </w:r>
    </w:p>
    <w:p>
      <w:pPr>
        <w:spacing w:after="0" w:line="18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that protect our product candidate and other proprietary technologies we may develop or that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may own or license from third parties. Further, if any patents we obtain or license are deemed invalid and unenforceable, our ability to commercialize or license our technology could be adversely affected.</w:t>
      </w:r>
    </w:p>
    <w:p>
      <w:pPr>
        <w:spacing w:after="0" w:line="18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actual or potential future collaborators will be successful in protecting our product candidate and other proprietary technologies and their uses by obtaining, defending and enforcing patents. These risks and uncertainties include the following:</w:t>
      </w:r>
    </w:p>
    <w:p>
      <w:pPr>
        <w:spacing w:after="0" w:line="211" w:lineRule="exact"/>
        <w:rPr>
          <w:sz w:val="20"/>
          <w:szCs w:val="20"/>
          <w:color w:val="auto"/>
        </w:rPr>
      </w:pPr>
    </w:p>
    <w:p>
      <w:pPr>
        <w:ind w:left="1420" w:right="20" w:hanging="319"/>
        <w:spacing w:after="0" w:line="259"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13"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52"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issued patents may be challenged, invalidated, modified, revoked, circumvented, found to be unenforceable, or may otherwise not provide any competitive advantage;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80" w:hanging="319"/>
        <w:spacing w:after="0" w:line="263"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product candidate;</w:t>
      </w:r>
    </w:p>
    <w:p>
      <w:pPr>
        <w:spacing w:after="0" w:line="210" w:lineRule="exact"/>
        <w:rPr>
          <w:rFonts w:ascii="Arial" w:cs="Arial" w:eastAsia="Arial" w:hAnsi="Arial"/>
          <w:sz w:val="18"/>
          <w:szCs w:val="18"/>
          <w:color w:val="auto"/>
        </w:rPr>
      </w:pPr>
    </w:p>
    <w:p>
      <w:pPr>
        <w:ind w:left="1420" w:right="20" w:hanging="319"/>
        <w:spacing w:after="0" w:line="259"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parties may have designed around our claims or developed technologies that may be related or competitive to ours, may have filed or may file patent applications and may have received or may receive patents that overlap or conflict with our patent applications and/or patents, either by claiming the same composition of matter, methods or formulations or by claiming subject matter that could dominate our patent position;</w:t>
      </w:r>
    </w:p>
    <w:p>
      <w:pPr>
        <w:spacing w:after="0" w:line="213"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successful opposition to any patents owned by or licensed to us could deprive us of rights necessary for the practice of our technologies or the successful commercialization of any product candidate that we may develop;</w:t>
      </w:r>
    </w:p>
    <w:p>
      <w:pPr>
        <w:spacing w:after="0" w:line="197" w:lineRule="exact"/>
        <w:rPr>
          <w:rFonts w:ascii="Arial" w:cs="Arial" w:eastAsia="Arial" w:hAnsi="Arial"/>
          <w:sz w:val="18"/>
          <w:szCs w:val="18"/>
          <w:color w:val="auto"/>
        </w:rPr>
      </w:pPr>
    </w:p>
    <w:p>
      <w:pPr>
        <w:jc w:val="both"/>
        <w:ind w:left="1420" w:right="200" w:hanging="319"/>
        <w:spacing w:after="0" w:line="263"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countries are confidential for a period of time after filing, we cannot be certain that we or our licensors were the first to file any patent application related to our product candidate and other proprietary technologies and their uses;</w:t>
      </w:r>
    </w:p>
    <w:p>
      <w:pPr>
        <w:spacing w:after="0" w:line="210" w:lineRule="exact"/>
        <w:rPr>
          <w:rFonts w:ascii="Arial" w:cs="Arial" w:eastAsia="Arial" w:hAnsi="Arial"/>
          <w:sz w:val="18"/>
          <w:szCs w:val="18"/>
          <w:color w:val="auto"/>
        </w:rPr>
      </w:pPr>
    </w:p>
    <w:p>
      <w:pPr>
        <w:ind w:left="1420" w:right="160" w:hanging="319"/>
        <w:spacing w:after="0" w:line="342" w:lineRule="auto"/>
        <w:tabs>
          <w:tab w:leader="none" w:pos="1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interference proceeding can be provoked by a third party or instituted by the USPTO to determine who was the first to invent any of the subject matter covered by the patent claims of any application with an effective filing date before March 16, 2013;</w:t>
      </w:r>
    </w:p>
    <w:p>
      <w:pPr>
        <w:spacing w:after="0" w:line="150" w:lineRule="exact"/>
        <w:rPr>
          <w:rFonts w:ascii="Arial" w:cs="Arial" w:eastAsia="Arial" w:hAnsi="Arial"/>
          <w:sz w:val="16"/>
          <w:szCs w:val="16"/>
          <w:color w:val="auto"/>
        </w:rPr>
      </w:pPr>
    </w:p>
    <w:p>
      <w:pPr>
        <w:ind w:left="1420" w:hanging="319"/>
        <w:spacing w:after="0" w:line="263"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210" w:lineRule="exact"/>
        <w:rPr>
          <w:rFonts w:ascii="Arial" w:cs="Arial" w:eastAsia="Arial" w:hAnsi="Arial"/>
          <w:sz w:val="18"/>
          <w:szCs w:val="18"/>
          <w:color w:val="auto"/>
        </w:rPr>
      </w:pPr>
    </w:p>
    <w:p>
      <w:pPr>
        <w:ind w:left="1420" w:right="340" w:hanging="319"/>
        <w:spacing w:after="0" w:line="342" w:lineRule="auto"/>
        <w:tabs>
          <w:tab w:leader="none" w:pos="1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countries other than the United States may have patent laws less favorable to patentees than those upheld by U.S. courts, allowing foreign competitors a better opportunity to create, develop, and market competing product candidate in those countries.</w:t>
      </w:r>
    </w:p>
    <w:p>
      <w:pPr>
        <w:spacing w:after="0" w:line="12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w:t>
      </w:r>
    </w:p>
    <w:p>
      <w:pPr>
        <w:spacing w:after="0" w:line="166"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our product candidate and other proprietary technologies and erode or negate any competitive advantage we may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have, which could have a material adverse effect on our financial condition and results of operations. For example:</w:t>
      </w:r>
    </w:p>
    <w:p>
      <w:pPr>
        <w:spacing w:after="0" w:line="252" w:lineRule="exact"/>
        <w:rPr>
          <w:sz w:val="20"/>
          <w:szCs w:val="20"/>
          <w:color w:val="auto"/>
        </w:rPr>
      </w:pPr>
    </w:p>
    <w:p>
      <w:pPr>
        <w:ind w:left="1420" w:hanging="319"/>
        <w:spacing w:after="0"/>
        <w:tabs>
          <w:tab w:leader="none" w:pos="1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others may be able to make compounds that are similar to our product candidate but that are not covered by the claims of our patents;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52" w:lineRule="exact"/>
        <w:rPr>
          <w:rFonts w:ascii="Arial" w:cs="Arial" w:eastAsia="Arial" w:hAnsi="Arial"/>
          <w:sz w:val="18"/>
          <w:szCs w:val="18"/>
          <w:color w:val="auto"/>
        </w:rPr>
      </w:pPr>
    </w:p>
    <w:p>
      <w:pPr>
        <w:ind w:left="1420" w:right="200" w:hanging="319"/>
        <w:spacing w:after="0" w:line="263"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spacing w:after="0" w:line="210"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 on a substantial scale, if approved, before the relevant patents that we own or license expire;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cannot be certain that claims in an issued patent covering our product candidate will be considered patentable by the USPTO, courts in the United States, or by patent offices and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spacing w:after="0" w:line="187"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The strength of patents in the biotechnology and pharmaceutical fields involves complex legal and scientific questions and can be uncertain. Patent applications that we file or in-license may fail to result in issued patents with claims that cover our product candidate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our product candidate. Furthermore, even if they are unchallenged, our patents may not adequately protect our intellectual property, provide exclusivity for our product candidate or prevent others from designing around our claims. If the breadth or strength of protection provided by our patents with respect to our product candidate is threatened, it could dissuade companies from collaborating with us to develop, or threaten our ability to commercialize our product candidate.</w:t>
      </w:r>
    </w:p>
    <w:p>
      <w:pPr>
        <w:spacing w:after="0" w:line="178"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342" w:lineRule="auto"/>
        <w:rPr>
          <w:sz w:val="20"/>
          <w:szCs w:val="20"/>
          <w:color w:val="auto"/>
        </w:rPr>
      </w:pPr>
      <w:r>
        <w:rPr>
          <w:rFonts w:ascii="Arial" w:cs="Arial" w:eastAsia="Arial" w:hAnsi="Arial"/>
          <w:sz w:val="16"/>
          <w:szCs w:val="16"/>
          <w:color w:val="auto"/>
        </w:rPr>
        <w:t>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spacing w:after="0" w:line="124"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For U.S. patent applications containing a claim not entitled to priority before March 16, 2013, there is greater level of uncertainty in the patent law. In September 2011, the Leahy-Smith America Invents Act, or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patent applications and the enforcement or defense of our issued patents, all of which could have a material adverse effect on our business and financial condition.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 for an adequate amount of time.</w:t>
      </w:r>
    </w:p>
    <w:p>
      <w:pPr>
        <w:spacing w:after="0" w:line="225"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When the terms of all patents covering our product candidate expire, our business may become subject to competition from competitive products, including biosimilar version of our products.</w:t>
      </w:r>
    </w:p>
    <w:p>
      <w:pPr>
        <w:spacing w:after="0" w:line="18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product candidate is protected by patents covering the composition of matter and methods of using ACU193. The patents in this portfolio are predicted to expire in 2031 without taking into account any possible extensions and assuming payment of all appropriate maintenance, renewal, annuity, or other governmental fees. We cannot be certain that we will file and, if filed, obtain patent protection for our product candidate beyond our rights in the current ACU193 patent portfolio. If we are unable to obtain additional patent protection on ACU193, our primary protection from biosimilar market entry will be limited to regulatory biologic exclusivity.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 our business may be materially harmed.</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our product candidate, one or more of patents issuing from U.S. patent applications that we file or license may be eligible for limited patent term extension under the Drug Price Competition and Patent Term Restoration Action of 1984, or Hatch-Waxman Amendments. The Hatch-Waxman Amendments permit a patent extension term, or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or SPC. If we encounter delays in our development efforts, including our future clinical trials, the period of time during which we could market our product candidate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170" w:lineRule="exact"/>
        <w:rPr>
          <w:sz w:val="20"/>
          <w:szCs w:val="20"/>
          <w:color w:val="auto"/>
        </w:rPr>
      </w:pPr>
    </w:p>
    <w:p>
      <w:pPr>
        <w:ind w:left="120" w:right="520"/>
        <w:spacing w:after="0" w:line="381"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00"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spacing w:after="0" w:line="173" w:lineRule="exact"/>
        <w:rPr>
          <w:sz w:val="20"/>
          <w:szCs w:val="20"/>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52" w:lineRule="exact"/>
        <w:rPr>
          <w:rFonts w:ascii="Arial" w:cs="Arial" w:eastAsia="Arial" w:hAnsi="Arial"/>
          <w:sz w:val="18"/>
          <w:szCs w:val="18"/>
          <w:color w:val="auto"/>
        </w:rPr>
      </w:pPr>
    </w:p>
    <w:p>
      <w:pPr>
        <w:ind w:left="1420" w:right="500" w:hanging="319"/>
        <w:spacing w:after="0" w:line="277"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rights of the licensor that are not subject to the license agreement;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right to sublicense intellectual property rights to third parties under collaborative development relationships;</w:t>
      </w:r>
    </w:p>
    <w:p>
      <w:pPr>
        <w:spacing w:after="0" w:line="252"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 and what activities satisfy those diligence obligations; and</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ind w:left="120" w:right="620"/>
        <w:spacing w:after="0" w:line="259" w:lineRule="auto"/>
        <w:rPr>
          <w:sz w:val="20"/>
          <w:szCs w:val="20"/>
          <w:color w:val="auto"/>
        </w:rPr>
      </w:pPr>
      <w:r>
        <w:rPr>
          <w:rFonts w:ascii="Arial" w:cs="Arial" w:eastAsia="Arial" w:hAnsi="Arial"/>
          <w:sz w:val="18"/>
          <w:szCs w:val="18"/>
          <w:color w:val="auto"/>
        </w:rPr>
        <w:t>If disputes over intellectual property rights that we have licensed prevent or impair our ability to maintain our current licensing arrangements on acceptable terms and/or to secure the our rights to the licensed intellectual property,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18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were a party to a collaboration agreement with Merck to research, discover and develop certain technology related to amyloid beta-derived diffusible ligands, or ADDLs. This collaboration was initiated in 2003 and was later terminated by Merck in 2011. During the collaboration, ACU193, an ADDL-binding antibody, was developed and intellectual property was filed by Merck. Under the surviving provisions of the collaboration agreement, Merck exclusively licensed Merck’s interest in patent rights claiming ADDL antibodies, ADDL antigens and/or products to Acumen. If a dispute were to arise in the future as to our rights to the intellectual property under the agreement, our ability to commercialize ACU193 may be jeopardized.</w:t>
      </w:r>
    </w:p>
    <w:p>
      <w:pPr>
        <w:spacing w:after="0" w:line="161"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outside counsel to pay these fees due to foreign patent agencies. While an inadvertent lapse may sometimes be cured by payment of a late fee or by other means in accordance with the applicable rules, there are situations in which noncompliance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w:t>
      </w:r>
    </w:p>
    <w:p>
      <w:pPr>
        <w:spacing w:after="0" w:line="248"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spacing w:after="0" w:line="16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inter partes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Patents are of national or regional effect. Filing, prosecuting, and defending patents on our product candidate,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spacing w:after="0" w:line="166"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requirements for patentability may differ in certain countries. For example, unlike other countries, China has a heightened requirement for patentability, and specifically requires a detailed description of medical uses of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spacing w:after="0" w:line="14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14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become subject to claims challenging the inventorship or ownership of our patents and other intellectual property.</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18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in-licenses.</w:t>
      </w:r>
    </w:p>
    <w:p>
      <w:pPr>
        <w:spacing w:after="0" w:line="170"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Presently we have intellectual property rights to our product candidate, through a license from Merck. We also have an intellectual property license through a license with Northwestern University and, if this agreement remains in place, we could be required to pay low single digit royalties to Northwestern in the future. Because our program may require the use of additional proprietary rights held by third parties, the growth of our business will likely depend in part on our ability to acquire, in-license or use these proprietary rights. In addition, our product candidate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our product candidate. Even if we are able to obtain a license to such</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proprietary rights, it may be non-exclusive, thereby giving our competitors access to the same technologies licensed to us. In that event, we may be required to expend significant time and resources to develop or license replacement technology.</w:t>
      </w:r>
    </w:p>
    <w:p>
      <w:pPr>
        <w:spacing w:after="0" w:line="17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Where we obtain licenses from or collaborate with third parties, we may not have the right to control the preparation, filing, and prosecution of patent applications, or to maintain or enforce the patents, covering technology that we license from third parties, or such activities, if controlled by us, may require the input of such third parties. If any of our licensors or collaboration partners fail to prosecute, maintain and enforce such patents and patent applications in a manner consistent with the best interests of our business, including by payment of all applicable fees for patents covering our product candidate, we could lose our rights to the intellectual property or our exclusivity with respect to those rights, our ability to develop and commercialize those product candidate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or in compliance with applicable laws and regulations, which may affect the validity and enforceability of such patents or any patents that may issue from such application.</w:t>
      </w:r>
    </w:p>
    <w:p>
      <w:pPr>
        <w:spacing w:after="0" w:line="17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Moreover, we will likely have obligations under our current or future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7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our product candidate. More established companies may have a competitive advantage over us due to their size, cash resources and greater clinical development and commercialization capabilities.</w:t>
      </w:r>
    </w:p>
    <w:p>
      <w:pPr>
        <w:spacing w:after="0" w:line="18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For example, we have collaborated and may in the future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 In addition, disputes may arise under our existing or future license agreements with these institutions or with other counterparties which may, among other things, lead to the termination or renegotiation of these agreements, or otherwise require us to incur significant financial obligations.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drug discovery and development efforts.</w:t>
      </w:r>
    </w:p>
    <w:p>
      <w:pPr>
        <w:spacing w:after="0" w:line="225"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inter partes review, interference and reexamination proceedings before the USPTO, or oppositions and other comparable proceedings in foreign jurisdictions. The America Invents Act introduced new procedures including inter partes review and post grant review. The implementation of these procedures brings uncertainty to the possibility of challenges to our patents in the future and the outcome of such challenges. Numerous U.S. and foreign issued patents and pending patent applications, which are owned by third parties, exist in the fields in which we are developing our product candidate. As the biotechnology and pharmaceutical industries expand and more patents are issued, the risk increases that our activities related to our product candidate may give rise to claims of infringement of the patent rights of others.</w:t>
      </w:r>
    </w:p>
    <w:p>
      <w:pPr>
        <w:spacing w:after="0" w:line="196"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 will not infringe existing or future patents. We may not be aware of patents that have already issued that a third party might assert are infringed by one of our current or future product candidate.</w:t>
      </w:r>
    </w:p>
    <w:p>
      <w:pPr>
        <w:spacing w:after="0" w:line="157"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of which we are currently unaware with claims to materials, compositions, formulations, methods of manufacture or methods for treatment related to our product candidate, or the use or manufacture of our product candidate. Because patent applications can take many years to issue and may be confidential for 18 months or more after filing, there may be currently pending third-party patent applications which may later result in issued patents that our product candidate,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our product candidate. Defense of these claims, regardless of their merit, could involve substantial expenses and could be a substantial diversion of management and other employee resources from our business.</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claims of patent infringement asserted by third parties would be time-consuming and could:</w:t>
      </w:r>
    </w:p>
    <w:p>
      <w:pPr>
        <w:spacing w:after="0" w:line="252" w:lineRule="exact"/>
        <w:rPr>
          <w:sz w:val="20"/>
          <w:szCs w:val="20"/>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252" w:lineRule="exact"/>
        <w:rPr>
          <w:rFonts w:ascii="Arial" w:cs="Arial" w:eastAsia="Arial" w:hAnsi="Arial"/>
          <w:sz w:val="18"/>
          <w:szCs w:val="18"/>
          <w:color w:val="auto"/>
        </w:rPr>
      </w:pPr>
    </w:p>
    <w:p>
      <w:pPr>
        <w:ind w:left="5540" w:right="4420" w:hanging="4439"/>
        <w:spacing w:after="0" w:line="535" w:lineRule="auto"/>
        <w:tabs>
          <w:tab w:leader="none" w:pos="1431"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divert the time and attention of our technical personnel and management; 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252"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prevent us from commercializing our product candidate until the asserted patent expires or is finally held invalid, unenforceable, or not infringed in a court of law;</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252"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197" w:lineRule="exact"/>
        <w:rPr>
          <w:rFonts w:ascii="Arial" w:cs="Arial" w:eastAsia="Arial" w:hAnsi="Arial"/>
          <w:sz w:val="18"/>
          <w:szCs w:val="18"/>
          <w:color w:val="auto"/>
        </w:rPr>
      </w:pPr>
    </w:p>
    <w:p>
      <w:pPr>
        <w:ind w:left="1420" w:right="500" w:hanging="319"/>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us to pay the attorney’s fees and costs of litigation to the party whose intellectual property rights we may be found to be willfully infringing; and/or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require us to enter into royalty or license agreements, which may not be available on commercially reasonable terms, or at all.</w:t>
      </w:r>
    </w:p>
    <w:p>
      <w:pPr>
        <w:spacing w:after="0" w:line="237" w:lineRule="exact"/>
        <w:rPr>
          <w:sz w:val="20"/>
          <w:szCs w:val="20"/>
          <w:color w:val="auto"/>
        </w:rPr>
      </w:pPr>
    </w:p>
    <w:p>
      <w:pPr>
        <w:ind w:left="120" w:right="100"/>
        <w:spacing w:after="0" w:line="288" w:lineRule="auto"/>
        <w:rPr>
          <w:sz w:val="20"/>
          <w:szCs w:val="20"/>
          <w:color w:val="auto"/>
        </w:rPr>
      </w:pPr>
      <w:r>
        <w:rPr>
          <w:rFonts w:ascii="Arial" w:cs="Arial" w:eastAsia="Arial" w:hAnsi="Arial"/>
          <w:sz w:val="16"/>
          <w:szCs w:val="16"/>
          <w:color w:val="auto"/>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our product candidate to market and be precluded from developing, manufacturing or selling our product candidate.</w:t>
      </w:r>
    </w:p>
    <w:p>
      <w:pPr>
        <w:spacing w:after="0" w:line="16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 in any jurisdiction, because:</w:t>
      </w:r>
    </w:p>
    <w:p>
      <w:pPr>
        <w:spacing w:after="0" w:line="215" w:lineRule="exact"/>
        <w:rPr>
          <w:sz w:val="20"/>
          <w:szCs w:val="20"/>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some patent applications in the United States may be maintained in secrecy until the patents are issued;</w:t>
      </w:r>
    </w:p>
    <w:p>
      <w:pPr>
        <w:spacing w:after="0" w:line="252"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patent applications in the United States and elsewhere can be pending for many years before issuance, or unintentionally abandoned patents or applications can be revived;</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pending patent applications that have been published can, subject to certain limitations, be later amended in a manner that could cover our technologies, our product candidate or their uses;</w:t>
      </w:r>
    </w:p>
    <w:p>
      <w:pPr>
        <w:spacing w:after="0" w:line="197" w:lineRule="exact"/>
        <w:rPr>
          <w:rFonts w:ascii="Arial" w:cs="Arial" w:eastAsia="Arial" w:hAnsi="Arial"/>
          <w:sz w:val="18"/>
          <w:szCs w:val="18"/>
          <w:color w:val="auto"/>
        </w:rPr>
      </w:pPr>
    </w:p>
    <w:p>
      <w:pPr>
        <w:ind w:left="1420" w:right="120" w:hanging="319"/>
        <w:spacing w:after="0" w:line="342" w:lineRule="auto"/>
        <w:tabs>
          <w:tab w:leader="none" w:pos="1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patent applications in the United States are typically not published until 18 months after the priority date;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225"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or product candidate are not covered by a third 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w:t>
      </w:r>
    </w:p>
    <w:p>
      <w:pPr>
        <w:spacing w:after="0" w:line="16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competitors may have filed, and may in the future file, patent applications covering technology similar to ours, and others may have or obtain patents or proprietary rights that could limit our ability to make, use, sell, offer for sale or import our product candidate or future products or impair our competitive position. Numerous third-party U.S. and foreign issued patents and pending patent applications exist in the fields in which we are developing product candidate. There may be third-party patents or patent applications with claims to materials, formulations, methods of manufacture or methods for treatment related to the use or manufacture of our product candidate. Any such patent application may have priority over one of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182"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84"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spacing w:after="0" w:line="14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 We may fail to obtain any of these licenses at a reasonable cost or on reasonable terms, if at all. In that event, we would be unable to further develop and commercialize our product candidate, which could harm our business significantly. Even if we were able to obtain a license, the rights may be nonexclusive, which may give our competitors access to the same intellectual property.</w:t>
      </w:r>
    </w:p>
    <w:p>
      <w:pPr>
        <w:spacing w:after="0" w:line="17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is common in the biotechnology and pharmaceutical industries, in addition to our employees, we engage the services of consultants to assist us in the development of our product candidate, and other proprietary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95"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spacing w:after="0" w:line="165" w:lineRule="exact"/>
        <w:rPr>
          <w:sz w:val="20"/>
          <w:szCs w:val="20"/>
          <w:color w:val="auto"/>
        </w:rPr>
      </w:pPr>
    </w:p>
    <w:p>
      <w:pPr>
        <w:jc w:val="both"/>
        <w:ind w:left="120" w:right="460"/>
        <w:spacing w:after="0" w:line="275" w:lineRule="auto"/>
        <w:rPr>
          <w:sz w:val="20"/>
          <w:szCs w:val="20"/>
          <w:color w:val="auto"/>
        </w:rPr>
      </w:pPr>
      <w:r>
        <w:rPr>
          <w:rFonts w:ascii="Arial" w:cs="Arial" w:eastAsia="Arial" w:hAnsi="Arial"/>
          <w:sz w:val="17"/>
          <w:szCs w:val="17"/>
          <w:color w:val="auto"/>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 or if we require, but do not receive, the consent or cooperation of our licensors to enforce such intellectual property.</w:t>
      </w:r>
    </w:p>
    <w:p>
      <w:pPr>
        <w:spacing w:after="0" w:line="1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Similar mechanisms for challenging the validity and enforceability of a patent exist in foreign patent offices and courts and may result in the revocation, cancellation, or amendment of any foreign patents we or our licensors hold now or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179"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conduct our future clinical trials, continue our research programs, license necessary technology from third parties, or enter into development or manufacturing partnerships that would help us bring our product candidate to market.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ability to enforce our patent rights depends on our ability to establish standing in a court of competent jurisdiction. Whether a patent holder or licensee of a patent has standing can be uncertain and the considerations complex. However, if a licensor is required to be joined, and they are unwilling to do so, we may be unable to proceed with an infringement action.</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24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Because of the expense and uncertainty of litigation, we may conclude that even if a third party is infringing our issued patent or patents that may issue from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187"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spacing w:after="0" w:line="184"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and/or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proprietary rights, and failure to obtain or maintain trade secret protection could adversely affect our competitive business position.</w:t>
      </w:r>
    </w:p>
    <w:p>
      <w:pPr>
        <w:spacing w:after="0" w:line="225"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Even though we use commonly accepted security measures, the criteria for protection of trade secrets can vary among different jurisdictions.</w:t>
      </w:r>
    </w:p>
    <w:p>
      <w:pPr>
        <w:spacing w:after="0" w:line="177" w:lineRule="exact"/>
        <w:rPr>
          <w:sz w:val="20"/>
          <w:szCs w:val="20"/>
          <w:color w:val="auto"/>
        </w:rPr>
      </w:pPr>
    </w:p>
    <w:p>
      <w:pPr>
        <w:ind w:left="120" w:right="80"/>
        <w:spacing w:after="0" w:line="285" w:lineRule="auto"/>
        <w:rPr>
          <w:sz w:val="20"/>
          <w:szCs w:val="20"/>
          <w:color w:val="auto"/>
        </w:rPr>
      </w:pPr>
      <w:r>
        <w:rPr>
          <w:rFonts w:ascii="Arial" w:cs="Arial" w:eastAsia="Arial" w:hAnsi="Arial"/>
          <w:sz w:val="16"/>
          <w:szCs w:val="16"/>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and/or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7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Our trademarks or trade names, once registered,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Moreover, any names we may propose to use with our product candidate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7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future products.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197" w:lineRule="exact"/>
        <w:rPr>
          <w:sz w:val="20"/>
          <w:szCs w:val="20"/>
          <w:color w:val="auto"/>
        </w:rPr>
      </w:pPr>
    </w:p>
    <w:p>
      <w:pPr>
        <w:ind w:left="1420" w:hanging="319"/>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252" w:lineRule="exact"/>
        <w:rPr>
          <w:rFonts w:ascii="Arial" w:cs="Arial" w:eastAsia="Arial" w:hAnsi="Arial"/>
          <w:sz w:val="18"/>
          <w:szCs w:val="18"/>
          <w:color w:val="auto"/>
        </w:rPr>
      </w:pPr>
    </w:p>
    <w:p>
      <w:pPr>
        <w:ind w:left="1420" w:right="60" w:hanging="319"/>
        <w:spacing w:after="0" w:line="259"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213"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252" w:lineRule="exact"/>
        <w:rPr>
          <w:rFonts w:ascii="Arial" w:cs="Arial" w:eastAsia="Arial" w:hAnsi="Arial"/>
          <w:sz w:val="18"/>
          <w:szCs w:val="18"/>
          <w:color w:val="auto"/>
        </w:rPr>
      </w:pPr>
    </w:p>
    <w:p>
      <w:pPr>
        <w:ind w:left="1420" w:right="160" w:hanging="319"/>
        <w:spacing w:after="0" w:line="263"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210" w:lineRule="exact"/>
        <w:rPr>
          <w:rFonts w:ascii="Arial" w:cs="Arial" w:eastAsia="Arial" w:hAnsi="Arial"/>
          <w:sz w:val="18"/>
          <w:szCs w:val="18"/>
          <w:color w:val="auto"/>
        </w:rPr>
      </w:pPr>
    </w:p>
    <w:p>
      <w:pPr>
        <w:ind w:left="1420" w:right="120" w:hanging="319"/>
        <w:spacing w:after="0" w:line="263"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40" w:hanging="319"/>
        <w:spacing w:after="0" w:line="27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97" w:lineRule="exact"/>
        <w:rPr>
          <w:rFonts w:ascii="Arial" w:cs="Arial" w:eastAsia="Arial" w:hAnsi="Arial"/>
          <w:sz w:val="18"/>
          <w:szCs w:val="18"/>
          <w:color w:val="auto"/>
        </w:rPr>
      </w:pPr>
    </w:p>
    <w:p>
      <w:pPr>
        <w:ind w:left="1420" w:right="340" w:hanging="319"/>
        <w:spacing w:after="0" w:line="308" w:lineRule="auto"/>
        <w:tabs>
          <w:tab w:leader="none" w:pos="14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73" w:lineRule="exact"/>
        <w:rPr>
          <w:rFonts w:ascii="Arial" w:cs="Arial" w:eastAsia="Arial" w:hAnsi="Arial"/>
          <w:sz w:val="17"/>
          <w:szCs w:val="17"/>
          <w:color w:val="auto"/>
        </w:rPr>
      </w:pPr>
    </w:p>
    <w:p>
      <w:pPr>
        <w:ind w:left="1420" w:right="160" w:hanging="319"/>
        <w:spacing w:after="0" w:line="27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84"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Some of our patents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Legal and Regulatory Compliance Matters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18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 party payors subject us to various federal and state fraud and abuse laws and other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215" w:lineRule="exact"/>
        <w:rPr>
          <w:sz w:val="20"/>
          <w:szCs w:val="20"/>
          <w:color w:val="auto"/>
        </w:rPr>
      </w:pPr>
    </w:p>
    <w:p>
      <w:pPr>
        <w:ind w:left="1420" w:hanging="319"/>
        <w:spacing w:after="0" w:line="269" w:lineRule="auto"/>
        <w:tabs>
          <w:tab w:leader="none" w:pos="14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212" w:lineRule="exact"/>
        <w:rPr>
          <w:rFonts w:ascii="Arial" w:cs="Arial" w:eastAsia="Arial" w:hAnsi="Arial"/>
          <w:sz w:val="17"/>
          <w:szCs w:val="17"/>
          <w:color w:val="auto"/>
        </w:rPr>
      </w:pPr>
    </w:p>
    <w:p>
      <w:pPr>
        <w:ind w:left="1420" w:right="20" w:hanging="319"/>
        <w:spacing w:after="0" w:line="269" w:lineRule="auto"/>
        <w:tabs>
          <w:tab w:leader="none" w:pos="14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205" w:lineRule="exact"/>
        <w:rPr>
          <w:rFonts w:ascii="Arial" w:cs="Arial" w:eastAsia="Arial" w:hAnsi="Arial"/>
          <w:sz w:val="17"/>
          <w:szCs w:val="17"/>
          <w:color w:val="auto"/>
        </w:rPr>
      </w:pPr>
    </w:p>
    <w:p>
      <w:pPr>
        <w:ind w:left="1420" w:right="140" w:hanging="319"/>
        <w:spacing w:after="0" w:line="255"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19" w:lineRule="exact"/>
        <w:rPr>
          <w:rFonts w:ascii="Arial" w:cs="Arial" w:eastAsia="Arial" w:hAnsi="Arial"/>
          <w:sz w:val="18"/>
          <w:szCs w:val="18"/>
          <w:color w:val="auto"/>
        </w:rPr>
      </w:pPr>
    </w:p>
    <w:p>
      <w:pPr>
        <w:ind w:left="1420" w:right="80" w:hanging="319"/>
        <w:spacing w:after="0" w:line="296" w:lineRule="auto"/>
        <w:tabs>
          <w:tab w:leader="none" w:pos="1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the CMS, information related to: (i) payments or other “transfers of value’’ made to physicians (defined to include doctors, dentists, optometrists, podiatrists and chiropractors) and teaching hospitals, and (ii) ownership and investment interests held by physicians and their immediate family members. Effective January 1,</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420" w:right="60"/>
        <w:spacing w:after="0" w:line="263" w:lineRule="auto"/>
        <w:rPr>
          <w:sz w:val="20"/>
          <w:szCs w:val="20"/>
          <w:color w:val="auto"/>
        </w:rPr>
      </w:pPr>
      <w:r>
        <w:rPr>
          <w:rFonts w:ascii="Arial" w:cs="Arial" w:eastAsia="Arial" w:hAnsi="Arial"/>
          <w:sz w:val="18"/>
          <w:szCs w:val="18"/>
          <w:color w:val="auto"/>
        </w:rPr>
        <w:t>2022, these reporting obligations will extend to include transfers of value made during the previous year to physician assistants, nurse practitioners, clinical nurse specialists, anesthesiologist assistants, certified registered nurse anesthetists and certified nurse midwives; and</w:t>
      </w:r>
    </w:p>
    <w:p>
      <w:pPr>
        <w:spacing w:after="0" w:line="211" w:lineRule="exact"/>
        <w:rPr>
          <w:sz w:val="20"/>
          <w:szCs w:val="20"/>
          <w:color w:val="auto"/>
        </w:rPr>
      </w:pPr>
    </w:p>
    <w:p>
      <w:pPr>
        <w:ind w:left="1420" w:right="20" w:hanging="319"/>
        <w:spacing w:after="0" w:line="275" w:lineRule="auto"/>
        <w:tabs>
          <w:tab w:leader="none" w:pos="14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w:t>
      </w:r>
    </w:p>
    <w:p>
      <w:pPr>
        <w:spacing w:after="0" w:line="176"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18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 reporting requirements increases the possibility that a healthcare company may run afoul of one or more of the requirements.</w:t>
      </w:r>
    </w:p>
    <w:p>
      <w:pPr>
        <w:spacing w:after="0" w:line="1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ACU193 or any future product candidates, they will remain subject to ongoing regulatory oversight, which may result in significant additional expense.</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Even if we obtain any regulatory approval for ACU193 or any future product candidates, such product candidates will be subject to ongoing regulatory requirements applicable to research, development, testing, manufacturing, labeling, packaging, storage, advertising, promoting, sampling, record-keeping and submission of safety and other post-market information, among other things. Any regulatory approvals that we receive for ACU193 or any future product candidates may also be subject to REMS, limitations on the approved indicated uses for which the drug may be marketed or to the conditions of 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 Any new legislation addressing drug safety issues could result in delays in product development or commercialization, or increased costs to assure compliance. We cannot predict the likelihood, nature or extent of government regulation that may arise from future legislation or administrative action, either in the United States or abroad. If we are slow or unable to adapt to changes in existing requirements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or the adoption of new requirements or policies, or if we are not able to maintain regulatory compliance, we may lose any marketing approval that we may have obtained and we may not achieve or sustain profitability.</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17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If we fail to comply with applicable regulatory requirements following approval of ACU193 or any future product candidates, a regulatory authority may:</w:t>
      </w:r>
    </w:p>
    <w:p>
      <w:pPr>
        <w:spacing w:after="0" w:line="197" w:lineRule="exact"/>
        <w:rPr>
          <w:sz w:val="20"/>
          <w:szCs w:val="20"/>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 an untitled letter or warning letter asserting that we are in violation of the law;</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 a safety alert, Dear Healthcare Provider letter, press release or other communication containing warnings or safety information about the product;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mandate corrections to promotional materials and labeling or issuance of corrective information;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52" w:lineRule="exact"/>
        <w:rPr>
          <w:rFonts w:ascii="Arial" w:cs="Arial" w:eastAsia="Arial" w:hAnsi="Arial"/>
          <w:sz w:val="18"/>
          <w:szCs w:val="18"/>
          <w:color w:val="auto"/>
        </w:rPr>
      </w:pPr>
    </w:p>
    <w:p>
      <w:pPr>
        <w:ind w:left="1420" w:right="540" w:hanging="319"/>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refuse to approve a pending marketing application or supplement to an approved application or comparable foreign marketing application (or any supplements thereto) submitted by us or our strategic partners;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 the marketing or manufacturing of the drug;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seize or detain the drug or otherwise require the withdrawal of the drug from the market;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 product candidates;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ACU193 or any future product candidates and harm our business, financial condition, results of operations and prospects.</w:t>
      </w:r>
    </w:p>
    <w:p>
      <w:pPr>
        <w:spacing w:after="0" w:line="184"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Even if we obtain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14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320" w:top="459" w:right="5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7"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65"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Seeking foreign regulatory approval could result in difficulties and increased costs for us and require additional nonclinical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legislative or regulatory reform measures may have a negative impact on our business and results of operations.</w:t>
      </w:r>
    </w:p>
    <w:p>
      <w:pPr>
        <w:spacing w:after="0" w:line="225" w:lineRule="exact"/>
        <w:rPr>
          <w:sz w:val="20"/>
          <w:szCs w:val="20"/>
          <w:color w:val="auto"/>
        </w:rPr>
      </w:pPr>
    </w:p>
    <w:p>
      <w:pPr>
        <w:jc w:val="both"/>
        <w:ind w:left="120" w:right="620"/>
        <w:spacing w:after="0" w:line="286" w:lineRule="auto"/>
        <w:rPr>
          <w:sz w:val="20"/>
          <w:szCs w:val="20"/>
          <w:color w:val="auto"/>
        </w:rPr>
      </w:pPr>
      <w:r>
        <w:rPr>
          <w:rFonts w:ascii="Arial" w:cs="Arial" w:eastAsia="Arial" w:hAnsi="Arial"/>
          <w:sz w:val="17"/>
          <w:szCs w:val="17"/>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65"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 For example, in March 2010, the ACA was passed, which substantially changed the way healthcare is financed by both the government and private insurers, and significantly impacts the U.S. pharmaceutical industry. The ACA, among other things: (i) established an annual, nondeductible fee on any entity that manufactures or imports certain specified branded prescription drugs and biologic agents apportioned among these entities according to their market share in some government healthcare programs; (ii) expanded the entities eligible for discounts under the 340B drug pricing program; (iii) increased the statutory minimum rebates a manufacturer must pay under the Medicaid Drug Rebate Program to 23.1% and 13% of the average manufacturer price for most branded and generic drugs, respectively, and capped the total rebate amount for innovator drugs at 100% of the Average Manufacturer Price, or AMP; (iv) expanded the eligibility criteria for Medicaid programs by, among other things, allowing states to offer Medicaid coverage to additional individuals and by adding new eligibility categories for individuals with income at or below 133% (as calculated, it constitutes 138%) of the federal poverty level, thereby potentially increasing manufacturers’ Medicaid rebate liability; (v) addressed a new methodology by which rebates owed by manufacturers under the Medicaid Drug Rebate Program are calculated for certain drugs and biologics that are inhaled, infused, instilled, implanted or injected; (vi) introduced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(increased from 50%, effective January 1, 2019, pursuant to the Bipartisan Budget Act of 2018); (vii) created a new Patient-Centered Outcomes Research Institute to oversee, identify priorities in, and conduct comparative clinical effectiveness research, along with funding for such research; and (viii) established the Center for Medicare and Medicaid Innovation at CMS to test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innovative payment and service delivery models to lower Medicare and Medicaid spending, potentially including prescription drug.</w:t>
      </w:r>
    </w:p>
    <w:p>
      <w:pPr>
        <w:spacing w:after="0" w:line="225"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(the Tax Act) included a provision that repealed, effective January 1, 2019, the tax-based shared responsibility payment imposed by the ACA on certain individuals who fail to maintain qualifying health coverage for all or part of a year that is commonly referred to as the “individual mandate.” On December 14, 2018, a Texas United States District Court Judge ruled that the ACA is unconstitutional in its entirety because the “individual mandate” was repealed by Congress as part of the Tax Act. Additionally, on December 18, 2019, the United States Court of Appeals for the 5th Circuit upheld the District Court ruling that the individual mandate was unconstitutional and remanded the case back to the District Court to determine whether the remaining provisions of the ACA are invalid as well. The United States Supreme Court is currently reviewing this case, although it is unclear when a decision will be made. Although the United States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also unclear how the Supreme Court ruling, other such litigation and the healthcare reform measures of the Biden administration will impact the ACA or our business.</w:t>
      </w:r>
    </w:p>
    <w:p>
      <w:pPr>
        <w:spacing w:after="0" w:line="18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Bipartisan Budget Act of 2018, will remain in effect through 2030, with the exception of a temporary suspension from May 1, 2020 through March 31, 2021, unless additional Congressional action is taken. Legislation is currently pending in Congress that would further extend the suspension through December 31, 2021. The American Taxpayer Relief Act of 2012, among other things, further reduced Medicare payments to several providers, including hospitals, and increased the statute of limitations period for the government to recover overpayments to providers from three to five years. These laws may result in additional reductions in Medicare and other healthcare funding, which could have an adverse effect on customers for our product candidates, if approved, and, accordingly, our financial operations.</w:t>
      </w:r>
    </w:p>
    <w:p>
      <w:pPr>
        <w:spacing w:after="0" w:line="165"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Further, in November 2020, CMS issued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On December 28, 2020, the United States District Court in Northern California issued a nationwide preliminary injunction against implementation of the interim final rule. The likelihood of implementation of any of the other Trump administration reform initiatives is uncertain, particularly in light of the new Biden administration.</w:t>
      </w:r>
    </w:p>
    <w:p>
      <w:pPr>
        <w:spacing w:after="0" w:line="195"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to address the COVID-19 pandemic.</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addition, FDA regulations and guidance may be revised or reinterpreted by the FDA in ways that may significantly affect our business and our products. For example, the results of the 2020 U.S. Presidential election may impact our business and industry.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requirements will be interpreted and implemented, or whether they will be rescinded and replaced under the Biden administration. The policies and priorities of the new administration are unknown and could materially impact the regulations governing our product candidates. Any new regulations or guidance, or revisions or reinterpretations of existing regulations or guidance, may impose additional costs or lengthen FDA review times for ACU193 or any other product candidate we may develop. We cannot determine how changes in regulations, statutes, policies, or interpretations when and if issued, enacted or adopted, may affect our business in the future. Such changes could, among other things, require:</w:t>
      </w:r>
    </w:p>
    <w:p>
      <w:pPr>
        <w:spacing w:after="0" w:line="212" w:lineRule="exact"/>
        <w:rPr>
          <w:sz w:val="20"/>
          <w:szCs w:val="20"/>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recalls, replacements, or discontinuance of one or more of our products;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225" w:lineRule="exact"/>
        <w:rPr>
          <w:sz w:val="20"/>
          <w:szCs w:val="20"/>
          <w:color w:val="auto"/>
        </w:rPr>
      </w:pPr>
    </w:p>
    <w:p>
      <w:pPr>
        <w:jc w:val="both"/>
        <w:ind w:left="120" w:right="240"/>
        <w:spacing w:after="0" w:line="286" w:lineRule="auto"/>
        <w:rPr>
          <w:sz w:val="20"/>
          <w:szCs w:val="20"/>
          <w:color w:val="auto"/>
        </w:rPr>
      </w:pPr>
      <w:r>
        <w:rPr>
          <w:rFonts w:ascii="Arial" w:cs="Arial" w:eastAsia="Arial" w:hAnsi="Arial"/>
          <w:sz w:val="17"/>
          <w:szCs w:val="17"/>
          <w:color w:val="auto"/>
        </w:rPr>
        <w:t>Such changes would likely require substantial time and impose significant costs, or could reduce the potential commercial value of ACU193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16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Our business activities may be subject to the U.S. Foreign Corrupt Practices Act of 1977, or FCPA, and similar anti-bribery and anti-corruption laws.</w:t>
      </w:r>
    </w:p>
    <w:p>
      <w:pPr>
        <w:spacing w:after="0" w:line="170"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Our business activities may be subject to the FCPA, U.S. domestic bribery statutes, and similar anti-bribery or anti-corruption laws, regulations or rules of other countries in which we may operate, including the U.K. Bribery Act of 2010.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There is no certainty that all of our employees, agents, contractors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implementation of compliance programs and prohibitions on the conduct of our business. Any such violations could include prohibitions on our ability to offer our product candidates in one or more countries and could materially damage our reputation, our brand, our international expansion efforts, our ability to attract and retain employees, and our business, prospects, operating results and financial condition.</w:t>
      </w:r>
    </w:p>
    <w:p>
      <w:pPr>
        <w:spacing w:after="0" w:line="181" w:lineRule="exact"/>
        <w:rPr>
          <w:sz w:val="20"/>
          <w:szCs w:val="20"/>
          <w:color w:val="auto"/>
        </w:rPr>
      </w:pPr>
    </w:p>
    <w:p>
      <w:pPr>
        <w:ind w:left="120" w:right="380"/>
        <w:spacing w:after="0" w:line="381"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and insider trading, which could significantly harm our business.</w:t>
      </w:r>
    </w:p>
    <w:p>
      <w:pPr>
        <w:spacing w:after="0" w:line="10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are exposed to the risk of fraud or other misconduct by our employees, independent contractors, consultants, commercial partners and vendors. Misconduct by these parties could include intentional failures to comply with the regulations of the FDA and non-U.S. regulators, provide accurate information to the FDA and non-U.S. regulators, comply with health care fraud and abuse laws and regulations in the United States and abroad, report financial information or data accurately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those actions could have a significant impact on our business, including the imposition of significant fines or other sanctions.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some business risks, which will leave us exposed to significant uninsured liabilities.</w:t>
      </w:r>
    </w:p>
    <w:p>
      <w:pPr>
        <w:spacing w:after="0" w:line="26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general liability, products liability and directors’ and officers’ insurance. We do not know, however, if we will be able to maintain insurance with adequate levels of coverage. Our inability to obtain sufficient product liability insurance at an acceptable cost to protect against potential product liability claims could prevent or inhibit the commercialization of ACU193 or any other product candidate. Any significant uninsured liability may require us to pay substantial amounts, which would adversely affect our financial position and results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will need to expand our operations and increase the size of our company, and we may experience difficulties in managing growth.</w:t>
      </w:r>
    </w:p>
    <w:p>
      <w:pPr>
        <w:spacing w:after="0" w:line="23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As we advance ACU193 through clinical development, and potentially expand the number of our drug development programs, we will need to increase our drug development, scientific and administrative headcount to manage these programs. In addition, to meet our obligations as a public company, we will need to increase our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general and administrative capabilities. Our management, personnel and systems currently in place may not be adequate to support this future growth.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238" w:lineRule="exact"/>
        <w:rPr>
          <w:sz w:val="20"/>
          <w:szCs w:val="20"/>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successfully attract and recruit new employees or consultants with the expertise and experience we will require;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manage our clinical programs effectively, which we anticipate being conducted at numerous clinical sites;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 a marketing and sales infrastructure;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are unable to successfully manage this growth and increased complexity of operations, our business may be adversely affected.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manage our business effectively if we are unable to attract and retain key personnel and consultants.</w:t>
      </w:r>
    </w:p>
    <w:p>
      <w:pPr>
        <w:spacing w:after="0" w:line="225" w:lineRule="exact"/>
        <w:rPr>
          <w:sz w:val="20"/>
          <w:szCs w:val="20"/>
          <w:color w:val="auto"/>
        </w:rPr>
      </w:pPr>
    </w:p>
    <w:p>
      <w:pPr>
        <w:ind w:left="120" w:right="240"/>
        <w:spacing w:after="0" w:line="258" w:lineRule="auto"/>
        <w:rPr>
          <w:sz w:val="20"/>
          <w:szCs w:val="20"/>
          <w:color w:val="auto"/>
        </w:rPr>
      </w:pPr>
      <w:r>
        <w:rPr>
          <w:rFonts w:ascii="Arial" w:cs="Arial" w:eastAsia="Arial" w:hAnsi="Arial"/>
          <w:sz w:val="18"/>
          <w:szCs w:val="18"/>
          <w:color w:val="auto"/>
        </w:rPr>
        <w:t>We may not be able to attract or retain qualified management, finance, scientific and clinical personnel and consultants due to the intense competition for qualified personnel and consultants among biotechnology,</w:t>
      </w:r>
    </w:p>
    <w:p>
      <w:pPr>
        <w:spacing w:after="0" w:line="1" w:lineRule="exact"/>
        <w:rPr>
          <w:sz w:val="20"/>
          <w:szCs w:val="20"/>
          <w:color w:val="auto"/>
        </w:rPr>
      </w:pPr>
    </w:p>
    <w:p>
      <w:pPr>
        <w:jc w:val="both"/>
        <w:ind w:left="120" w:right="140"/>
        <w:spacing w:after="0" w:line="255" w:lineRule="auto"/>
        <w:rPr>
          <w:sz w:val="20"/>
          <w:szCs w:val="20"/>
          <w:color w:val="auto"/>
        </w:rPr>
      </w:pPr>
      <w:r>
        <w:rPr>
          <w:rFonts w:ascii="Arial" w:cs="Arial" w:eastAsia="Arial" w:hAnsi="Arial"/>
          <w:sz w:val="18"/>
          <w:szCs w:val="18"/>
          <w:color w:val="auto"/>
        </w:rPr>
        <w:t>pharmaceutical and other businesses. If we are not able to attract and retain necessary personnel and consultants to accomplish our business objectives, we may experience constraints that will significantly impede the achievement of our development objectives, our ability to raise additional capital and our ability to implement our business strategy.</w:t>
      </w:r>
    </w:p>
    <w:p>
      <w:pPr>
        <w:spacing w:after="0" w:line="190"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Our industry has experienced a high rate of turnover of management personnel in recent years. We are highly dependent on the research and development, clinical, regulatory and business development expertise of Daniel O’Connell, President and Chief Executive Officer, Matthew Zuga, our Chief Financial Officer and Chief Business Officer, Eric Siemers, M.D., our Chief Medical Officer and Russell Barton, our Chief Operating Officer. If we lose the services of any of these individuals, our ability to implement our business strategy successfully could be seriously harmed. Any of our executive officers or key employees or consultants may terminate their employment at any time. Replacing executive officers, key employees and consultants may be difficult and may take an extended period because of the limited number of individuals in our industry with the breadth of skills and experience required to develop, gain regulatory approval of and commercialize product candidates successfully. Competition to hire and retain employees and consultants from this limited pool is intense, and we may be unable to hire, train, retain or motivate these additional key personnel and consultants. Our failure to retain key personnel or consultants could materially harm our business.</w:t>
      </w:r>
    </w:p>
    <w:p>
      <w:pPr>
        <w:spacing w:after="0" w:line="18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scientific and clinical advisors and consultants who assist us in formulating our research, development and clinical strategies. These advisors are not our employees and may have commitments to, or consulting or advisory contracts with, other entities that may limit their availability to us. Non-compete agreements are not permissible or are limited by law in certain jurisdictions and, even where they are permitted, these individuals typically will not enter into non-compete agreements with us. If a conflict of interest arises between their work for us and their work for another entity, we may lose their services. In addition, our advisors may have arrangements with other companies to assist those companies in developing product candidates or technologies that may compete with ours.</w:t>
      </w:r>
    </w:p>
    <w:p>
      <w:pPr>
        <w:spacing w:after="0" w:line="192"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which could, if not remediated, result in material misstatements in our financial statements.</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connection with the preparation and audit of our consolidated financial statements as of December 31, 2020 and 2019 and for the years then ended, a material weakness was identified in our internal control over financial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reporting. In addition, we have in the past identified other material weaknesses in our internal controls over financial accounting, which have since been 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Our existing material weakness is related to segregation of duties related to roles and responsibilities in our accounting department which is lacking in various circumstances, including with respect to account reconciliation and receipt/disbursement duties, independent review of journal entries and access to the accounting systems. Our existing material weakness did not result in a misstatement to our financial statements, however, it could result in a misstatement of account balances or disclosures that would result in a material misstatement to the annual or interim consolidated financial statements that would not be prevented or detected. We plan to remediate this material weakness by hiring additional accounting staff and upgrading our accounting systems, though there is no guarantee that these remediation efforts will be successful.</w:t>
      </w:r>
    </w:p>
    <w:p>
      <w:pPr>
        <w:spacing w:after="0" w:line="18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order to maintain and improve the effectiveness of our internal control over financial reporting, we have expended, and anticipate that we will continue to expend, significant resources, including accounting-related costs and significant management oversight. Our independent registered public accounting firm is not required to formally attest to the effectiveness of its internal control over financial reporting until after it is no longer an “emerging growth company” as defined in the JOBS Act. At such time, our independent registered public accounting firm may issue a report that is adverse in the event it is not satisfied with the level at which its internal control over financial reporting is documented, designed, or operating. Any failure to maintain effective disclosure controls and internal control over financial reporting could adversely affect our business and operating results and could cause a decline in the price of our common stock.</w:t>
      </w:r>
    </w:p>
    <w:p>
      <w:pPr>
        <w:spacing w:after="0" w:line="19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If we fail to build our finance infrastructure and improve our accounting systems and controls, we may be unable to comply with the financial reporting and internal controls requirements for publicly traded companies.</w:t>
      </w:r>
    </w:p>
    <w:p>
      <w:pPr>
        <w:spacing w:after="0" w:line="170"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As a public company, we will operate in an increasingly demanding regulatory environment, which requires us to comply with the Sarbanes-Oxley Act of 2002, or the Sarbanes-Oxley Act, the regulations of Nasdaq Global Market, or Nasdaq,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this offering is completed,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Prior to this offering, we have never been required to test our internal controls within a specified period and, as a result, we may experience difficulty in meeting these reporting requirements in a timely manner.</w:t>
      </w:r>
    </w:p>
    <w:p>
      <w:pPr>
        <w:spacing w:after="0" w:line="166" w:lineRule="exact"/>
        <w:rPr>
          <w:sz w:val="20"/>
          <w:szCs w:val="20"/>
          <w:color w:val="auto"/>
        </w:rPr>
      </w:pPr>
    </w:p>
    <w:p>
      <w:pPr>
        <w:ind w:left="120" w:right="140"/>
        <w:spacing w:after="0" w:line="289" w:lineRule="auto"/>
        <w:rPr>
          <w:sz w:val="20"/>
          <w:szCs w:val="20"/>
          <w:color w:val="auto"/>
        </w:rPr>
      </w:pPr>
      <w:r>
        <w:rPr>
          <w:rFonts w:ascii="Arial" w:cs="Arial" w:eastAsia="Arial" w:hAnsi="Arial"/>
          <w:sz w:val="16"/>
          <w:szCs w:val="16"/>
          <w:color w:val="auto"/>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evaluation of controls can provide absolute assurance that misstatements due to error or fraud will not occur or that all control issues and instances of fraud will be detected.</w:t>
      </w:r>
    </w:p>
    <w:p>
      <w:pPr>
        <w:spacing w:after="0" w:line="170"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Commission or other regulatory authorities.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Ownership of our Common Stock and our Status as a Public Company</w:t>
      </w:r>
    </w:p>
    <w:p>
      <w:pPr>
        <w:spacing w:after="0" w:line="22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you may not be able to resell your shares of our common stock at or above the initial offering price, if at all.</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for our common stock was determined through negotiations with the underwriters and may not be indicative of the price at which our common stock will trade after the closing of this offering. Although we expect our common stock to be approved for listing on Nasdaq, an active trading market for our shares may never develop or be sustained following this offering. If an active market for our common stock does not develop or is not sustained, it may be difficult for you to sell shares you purchased in this offering at an attractive price or at all.</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trading price of the shares of our common stock may be volatile, and purchasers of our common stock could incur substantial losses.</w:t>
      </w:r>
    </w:p>
    <w:p>
      <w:pPr>
        <w:spacing w:after="0" w:line="248"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76" w:lineRule="exact"/>
        <w:rPr>
          <w:sz w:val="20"/>
          <w:szCs w:val="20"/>
          <w:color w:val="auto"/>
        </w:rPr>
      </w:pPr>
    </w:p>
    <w:p>
      <w:pPr>
        <w:ind w:left="1420" w:right="140" w:hanging="319"/>
        <w:spacing w:after="0" w:line="277" w:lineRule="auto"/>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commencement, enrollment or results of our clinical trials, including the Phase 1 clinical trial of ACU193 and any future clinical trials we may conduct, or changes in the development status of our product candidates;</w:t>
      </w:r>
    </w:p>
    <w:p>
      <w:pPr>
        <w:spacing w:after="0" w:line="197" w:lineRule="exact"/>
        <w:rPr>
          <w:rFonts w:ascii="Arial" w:cs="Arial" w:eastAsia="Arial" w:hAnsi="Arial"/>
          <w:sz w:val="18"/>
          <w:szCs w:val="18"/>
          <w:color w:val="auto"/>
        </w:rPr>
      </w:pPr>
    </w:p>
    <w:p>
      <w:pPr>
        <w:ind w:left="1420" w:right="380" w:hanging="319"/>
        <w:spacing w:after="0" w:line="286" w:lineRule="auto"/>
        <w:tabs>
          <w:tab w:leader="none" w:pos="1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delay in our regulatory filings for ACU193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92" w:lineRule="exact"/>
        <w:rPr>
          <w:rFonts w:ascii="Arial" w:cs="Arial" w:eastAsia="Arial" w:hAnsi="Arial"/>
          <w:sz w:val="17"/>
          <w:szCs w:val="17"/>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delays in, or termination of,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ACU193 or any other product candidate we develop;</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financial estimates by us or by any equity research analysts who might cover our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announcements by our competitors of new product candidates or technologies, or the results of clinical trials or regulatory decisions;</w:t>
      </w:r>
    </w:p>
    <w:p>
      <w:pPr>
        <w:spacing w:after="0" w:line="275" w:lineRule="exact"/>
        <w:rPr>
          <w:rFonts w:ascii="Arial" w:cs="Arial" w:eastAsia="Arial" w:hAnsi="Arial"/>
          <w:sz w:val="16"/>
          <w:szCs w:val="16"/>
          <w:color w:val="auto"/>
        </w:rPr>
      </w:pPr>
    </w:p>
    <w:p>
      <w:pPr>
        <w:ind w:left="1420" w:right="26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 market price and volume fluctuations of comparable companies and, in particular, those that operate in the biopharmaceutical industry;</w:t>
      </w:r>
    </w:p>
    <w:p>
      <w:pPr>
        <w:spacing w:after="0" w:line="197"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relationships with our collaborators;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52" w:lineRule="exact"/>
        <w:rPr>
          <w:rFonts w:ascii="Arial" w:cs="Arial" w:eastAsia="Arial" w:hAnsi="Arial"/>
          <w:sz w:val="18"/>
          <w:szCs w:val="18"/>
          <w:color w:val="auto"/>
        </w:rPr>
      </w:pPr>
    </w:p>
    <w:p>
      <w:pPr>
        <w:ind w:left="1420" w:right="50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stock market in general, Nasdaq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177"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b w:val="1"/>
          <w:bCs w:val="1"/>
          <w:i w:val="1"/>
          <w:iCs w:val="1"/>
          <w:color w:val="auto"/>
        </w:rPr>
        <w:t>Because the public offering price of our common stock will be substantially higher than the net tangible book value per share of our outstanding common stock following this offering, new investors will experience immediate and substantial dilution.</w:t>
      </w:r>
    </w:p>
    <w:p>
      <w:pPr>
        <w:spacing w:after="0" w:line="146"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The public offering price of our common stock is substantially higher than the net tangible book value per share of our common stock immediately following this offering based on the total value of our tangible assets less our total liabilities. Therefore, if you purchase shares of our common stock in</w:t>
      </w:r>
    </w:p>
    <w:p>
      <w:pPr>
        <w:ind w:left="120" w:right="80"/>
        <w:spacing w:after="0" w:line="265" w:lineRule="auto"/>
        <w:rPr>
          <w:sz w:val="20"/>
          <w:szCs w:val="20"/>
          <w:color w:val="auto"/>
        </w:rPr>
      </w:pPr>
      <w:r>
        <w:rPr>
          <w:rFonts w:ascii="Arial" w:cs="Arial" w:eastAsia="Arial" w:hAnsi="Arial"/>
          <w:sz w:val="17"/>
          <w:szCs w:val="17"/>
          <w:color w:val="auto"/>
        </w:rPr>
        <w:t>this offering, you will experience immediate dilution of approximately $ per share, the difference between the assumed initial public offering price of $ per share, which is the midpoint of the price range set forth on the cover page of this prospectus, and the net tangible book value per</w:t>
      </w:r>
    </w:p>
    <w:p>
      <w:pPr>
        <w:ind w:left="120" w:right="160"/>
        <w:spacing w:after="0" w:line="253" w:lineRule="auto"/>
        <w:rPr>
          <w:sz w:val="20"/>
          <w:szCs w:val="20"/>
          <w:color w:val="auto"/>
        </w:rPr>
      </w:pPr>
      <w:r>
        <w:rPr>
          <w:rFonts w:ascii="Arial" w:cs="Arial" w:eastAsia="Arial" w:hAnsi="Arial"/>
          <w:sz w:val="18"/>
          <w:szCs w:val="18"/>
          <w:color w:val="auto"/>
        </w:rPr>
        <w:t>share of our common stock as of March 31, 2021, after giving effect to the issuance of shares of our common stock in this offering. Furthermore, if the underwriters exercise their option to purchase additional shares, or outstanding options and warrants are exercised, you could experience further dilution. For a further description of the dilution that you will experience immediately after the offering, see the section of this prospectus captioned “Dilution.”</w:t>
      </w:r>
    </w:p>
    <w:p>
      <w:pPr>
        <w:spacing w:after="0" w:line="19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p>
    <w:p>
      <w:pPr>
        <w:spacing w:after="0" w:line="22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after this offering, or the perception that these sales might occur, could depress the market price of our common stock and could impair our ability to raise capital through the sale of additional equity securities. Based on the</w:t>
      </w:r>
    </w:p>
    <w:p>
      <w:pPr>
        <w:ind w:left="120" w:right="80"/>
        <w:spacing w:after="0" w:line="255" w:lineRule="auto"/>
        <w:rPr>
          <w:sz w:val="20"/>
          <w:szCs w:val="20"/>
          <w:color w:val="auto"/>
        </w:rPr>
      </w:pPr>
      <w:r>
        <w:rPr>
          <w:rFonts w:ascii="Arial" w:cs="Arial" w:eastAsia="Arial" w:hAnsi="Arial"/>
          <w:sz w:val="18"/>
          <w:szCs w:val="18"/>
          <w:color w:val="auto"/>
        </w:rPr>
        <w:t>number of shares of common stock outstanding as of March 31, 2021, upon the closing of this offering, we will have shares of common stock outstanding (and no exercise of the underwriters’ option to purchase additional shares from us) or shares of common stock if the underwriters’ option to purchase additional shares is exercised in full.</w:t>
      </w:r>
    </w:p>
    <w:p>
      <w:pPr>
        <w:spacing w:after="0" w:line="190" w:lineRule="exact"/>
        <w:rPr>
          <w:sz w:val="20"/>
          <w:szCs w:val="20"/>
          <w:color w:val="auto"/>
        </w:rPr>
      </w:pPr>
    </w:p>
    <w:p>
      <w:pPr>
        <w:ind w:left="120" w:right="480"/>
        <w:spacing w:after="0" w:line="274" w:lineRule="auto"/>
        <w:rPr>
          <w:sz w:val="20"/>
          <w:szCs w:val="20"/>
          <w:color w:val="auto"/>
        </w:rPr>
      </w:pPr>
      <w:r>
        <w:rPr>
          <w:rFonts w:ascii="Arial" w:cs="Arial" w:eastAsia="Arial" w:hAnsi="Arial"/>
          <w:sz w:val="17"/>
          <w:szCs w:val="17"/>
          <w:color w:val="auto"/>
        </w:rPr>
        <w:t>All of the common stock sold in this offering will be freely tradable without restrictions or further registration under the Securities Act of 1933, as amended, or the Securities Act, except for any shares held by our affiliates as defined in Rule 144 under the Securities Act. The</w:t>
      </w:r>
    </w:p>
    <w:p>
      <w:pPr>
        <w:ind w:left="120" w:right="140"/>
        <w:spacing w:after="0" w:line="295" w:lineRule="auto"/>
        <w:rPr>
          <w:sz w:val="20"/>
          <w:szCs w:val="20"/>
          <w:color w:val="auto"/>
        </w:rPr>
      </w:pPr>
      <w:r>
        <w:rPr>
          <w:rFonts w:ascii="Arial" w:cs="Arial" w:eastAsia="Arial" w:hAnsi="Arial"/>
          <w:sz w:val="16"/>
          <w:szCs w:val="16"/>
          <w:color w:val="auto"/>
        </w:rPr>
        <w:t>remaining shares of common stock outstanding after this offering, based on shares outstanding as of March 31, 2021, will be restricted as a result of securities laws, lock-up agreements or other contractual restrictions that restrict transfers for at least 180 days after the date of this prospectus. The underwriters may, in their sole discretion, release all or some portion of the shares subject to lock-up agreements with the underwriters prior to expiration of the lock-up period. For additional information, see the section of this prospectus captioned “Shares Eligible for Future Sale.”</w:t>
      </w:r>
    </w:p>
    <w:p>
      <w:pPr>
        <w:spacing w:after="0" w:line="16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holders of shares of common stock, representing % of our outstanding common stock on an as-converted basis as of March 31, 2021, will be entitled to rights with respect to registration of such shares under the Securities Act pursuant to an investor rights agreement between such holders and us. If such holders, by exercising their registration rights, sell a large number of shares, they could adversely affect the market price for our common stock. If we file a registration statement for the purpose of selling additional shares to raise capital, we may be required to offer these holders the right to participate in the offering and, if we are required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include shares held by these holders pursuant to the exercise of their registration rights, our ability to raise capital may be impaired.</w:t>
      </w:r>
    </w:p>
    <w:p>
      <w:pPr>
        <w:spacing w:after="0" w:line="22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intend to file a registration statement on Form S-8 under the Securities Act to register shares subject to outstanding stock options issued under the Prior Plan and shares of common stock reserved for issuance under the 2021 Plan and the 2021 ESPP. Both the 2021 Plan and the 2021 ESPP provide provides for annual automatic increases in the shares reserved for issuance under the plans which could result in additional dilution to our stockholders. Once we register the issuance of shares under these plans, they can be freely sold in the public market upon issuance, subject to the vesting of the equity awards, other restrictions provided under the terms of the applicable plan or equity award, and the lock-up period with respect to this offering.</w:t>
      </w:r>
    </w:p>
    <w:p>
      <w:pPr>
        <w:spacing w:after="0" w:line="192" w:lineRule="exact"/>
        <w:rPr>
          <w:sz w:val="20"/>
          <w:szCs w:val="20"/>
          <w:color w:val="auto"/>
        </w:rPr>
      </w:pPr>
    </w:p>
    <w:p>
      <w:pPr>
        <w:ind w:left="120" w:right="60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00"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There are provisions in our certificate of incorporation and bylaws to be in effect upon the closing of this offering that may make it difficult for a third party to acquire, or attempt to acquire, control of our company, even if a change of control was considered favorable by you and other stockholders. For</w:t>
      </w:r>
    </w:p>
    <w:p>
      <w:pPr>
        <w:ind w:left="120" w:right="140"/>
        <w:spacing w:after="0" w:line="295" w:lineRule="auto"/>
        <w:rPr>
          <w:sz w:val="20"/>
          <w:szCs w:val="20"/>
          <w:color w:val="auto"/>
        </w:rPr>
      </w:pPr>
      <w:r>
        <w:rPr>
          <w:rFonts w:ascii="Arial" w:cs="Arial" w:eastAsia="Arial" w:hAnsi="Arial"/>
          <w:sz w:val="16"/>
          <w:szCs w:val="16"/>
          <w:color w:val="auto"/>
        </w:rPr>
        <w:t>example, our board of directors will have the authority to issue up to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including:</w:t>
      </w:r>
    </w:p>
    <w:p>
      <w:pPr>
        <w:spacing w:after="0" w:line="252" w:lineRule="exact"/>
        <w:rPr>
          <w:sz w:val="20"/>
          <w:szCs w:val="20"/>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only one of our three classes of directors will be elected each year;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stockholders will not be entitled to remove directors other than by a 66 2/3% vote and only for cause;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stockholders will not be permitted to take actions by written consent;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stockholders must give advance notice to nominate directors or submit proposals for consideration at stockholder meetings.</w:t>
      </w:r>
    </w:p>
    <w:p>
      <w:pPr>
        <w:spacing w:after="0" w:line="237"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color w:val="auto"/>
        </w:rPr>
        <w:t>In addition, we are subject to the anti-takeover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Based on their shareholdings as of March 31, 2021, our directors, executive officers and beneficial owners of greater than 5% of our outstanding stock and their respective affiliates will beneficially own, in the aggregate,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approximately % of our outstanding common stock upon the closing of this offering, assuming no purchase by them of any shares in this offering.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14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Some of these persons or entities may have interests different than yours. For example, because many of these stockholders purchased their shares at prices substantially below the estimated public offering price and have held their shares for a longer period, they may be more interested in selling our company to an acquirer than other investors, or they may want us to pursue strategies that deviate from the interests of other stockholders.</w:t>
      </w:r>
    </w:p>
    <w:p>
      <w:pPr>
        <w:spacing w:after="0" w:line="149" w:lineRule="exact"/>
        <w:rPr>
          <w:sz w:val="20"/>
          <w:szCs w:val="20"/>
          <w:color w:val="auto"/>
        </w:rPr>
      </w:pPr>
    </w:p>
    <w:p>
      <w:pPr>
        <w:ind w:left="120" w:right="40"/>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100"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197" w:lineRule="exact"/>
        <w:rPr>
          <w:sz w:val="20"/>
          <w:szCs w:val="20"/>
          <w:color w:val="auto"/>
        </w:rPr>
      </w:pPr>
    </w:p>
    <w:p>
      <w:pPr>
        <w:ind w:left="1420" w:right="700" w:hanging="319"/>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197" w:lineRule="exact"/>
        <w:rPr>
          <w:rFonts w:ascii="Arial" w:cs="Arial" w:eastAsia="Arial" w:hAnsi="Arial"/>
          <w:sz w:val="18"/>
          <w:szCs w:val="18"/>
          <w:color w:val="auto"/>
        </w:rPr>
      </w:pPr>
    </w:p>
    <w:p>
      <w:pPr>
        <w:ind w:left="1420" w:right="200" w:hanging="319"/>
        <w:spacing w:after="0" w:line="263"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10"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197"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being required to hold a nonbinding advisory vote on executive compensation and stockholder approval of any golden parachute payments not previously approved.</w:t>
      </w:r>
    </w:p>
    <w:p>
      <w:pPr>
        <w:spacing w:after="0" w:line="170"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the last day of the fiscal year (i) following the fifth anniversary of the closing of our initial public offering, (ii) in which we have total annual gross revenue of at least $1.07 billion, or (iii) in which we are deemed to be a large accelerated filer, which means the market value of our common stock that is held by non-affiliates exceeds $700 million as of the prior June 30th, and the date on which we have issued more than $1.0 billion in non-convertible debt during the prior three-year period.</w:t>
      </w:r>
    </w:p>
    <w:p>
      <w:pPr>
        <w:spacing w:after="0" w:line="195"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share price.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w:t>
      </w:r>
    </w:p>
    <w:p>
      <w:pPr>
        <w:spacing w:after="0" w:line="1" w:lineRule="exact"/>
        <w:rPr>
          <w:sz w:val="20"/>
          <w:szCs w:val="20"/>
          <w:color w:val="auto"/>
        </w:rPr>
      </w:pPr>
    </w:p>
    <w:p>
      <w:pPr>
        <w:ind w:left="120" w:right="820"/>
        <w:spacing w:after="0" w:line="260" w:lineRule="auto"/>
        <w:rPr>
          <w:sz w:val="20"/>
          <w:szCs w:val="20"/>
          <w:color w:val="auto"/>
        </w:rPr>
      </w:pPr>
      <w:r>
        <w:rPr>
          <w:rFonts w:ascii="Arial" w:cs="Arial" w:eastAsia="Arial" w:hAnsi="Arial"/>
          <w:sz w:val="18"/>
          <w:szCs w:val="18"/>
          <w:color w:val="auto"/>
        </w:rPr>
        <w:t>$100 million during the most recently completed fiscal year and our voting and non-voting common stock held by non-affiliates is more than $700 million measured on the last business day of our second fiscal quarter.</w:t>
      </w:r>
    </w:p>
    <w:p>
      <w:pPr>
        <w:spacing w:after="0" w:line="18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Our management team may invest or spend the proceeds of this offering in ways with which you may not agree or in ways which may not yield a return.</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management will have broad discretion in the application of the net proceeds, and you will not have the opportunity, as part of your investment decision, to assess whether the proceeds are being used appropriately. Accordingly, investors will need to rely on our judgment with respect to the use of these proceeds. We intend to use the net proceeds from this offering to fund our Phase 1 clinical trial for ACU193, and to support future clinical and nonclinical activities, as well as for working capital and general corporate purposes, including the costs of operating as a public company. While we have no current agreements, commitments or understandings for any specific strategic acquisitions or in-licenses at this time, we may use a portion of the net proceeds for these purposes. For more information see, “Use of Proceeds.” The failure by our management to apply these funds effectively could adversely affect our ability to continue maintaining and expanding our business. Until the net proceeds are used, they may be placed in investments that do not produce significant income or that may lose value.</w:t>
      </w:r>
    </w:p>
    <w:p>
      <w:pPr>
        <w:spacing w:after="0" w:line="178"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We have never paid dividends on our capital stock and we do not intend to pay dividends for the foreseeable future. Consequently, any gains from an investment in our common stock will likely depend on whether the price of our common stock increases.</w:t>
      </w:r>
    </w:p>
    <w:p>
      <w:pPr>
        <w:spacing w:after="0" w:line="146" w:lineRule="exact"/>
        <w:rPr>
          <w:sz w:val="20"/>
          <w:szCs w:val="20"/>
          <w:color w:val="auto"/>
        </w:rPr>
      </w:pPr>
    </w:p>
    <w:p>
      <w:pPr>
        <w:jc w:val="both"/>
        <w:ind w:left="120" w:right="40"/>
        <w:spacing w:after="0" w:line="279" w:lineRule="auto"/>
        <w:rPr>
          <w:sz w:val="20"/>
          <w:szCs w:val="20"/>
          <w:color w:val="auto"/>
        </w:rPr>
      </w:pPr>
      <w:r>
        <w:rPr>
          <w:rFonts w:ascii="Arial" w:cs="Arial" w:eastAsia="Arial" w:hAnsi="Arial"/>
          <w:sz w:val="17"/>
          <w:szCs w:val="17"/>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225"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If, after listing, we fail to satisfy Nasdaq’s continued listing requirements,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provide that the Court of Chancery of the State of Delaware and the U.S. federal district courts will be the exclusive forums for substantially all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Our amended and restated certificate of incorporation, as will be in effect upon the completion of this offering, will provide that the Court of Chancery of the State of Delaware is the exclusive forum for the following types of actions or proceedings under Delaware statutory or common law:</w:t>
      </w:r>
    </w:p>
    <w:p>
      <w:pPr>
        <w:spacing w:after="0" w:line="151" w:lineRule="exact"/>
        <w:rPr>
          <w:sz w:val="20"/>
          <w:szCs w:val="20"/>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derivative claim or cause of action brought on our behalf;</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claim or cause of action asserting a breach of fiduciary duty;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claim or cause of action against us arising under DGCL;</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claim or cause of action arising under or seeking to interpret our amended and restated certificate of incorporation or our amended and restated bylaws;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claim or cause of action against us that is governed by the internal affairs doctrine.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provisions would not apply to suits brought to enforce a duty or liability created by the Exchange Act.</w:t>
      </w:r>
    </w:p>
    <w:p>
      <w:pPr>
        <w:spacing w:after="0" w:line="22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U.S. federal district courts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jc w:val="both"/>
        <w:ind w:left="120" w:right="40"/>
        <w:spacing w:after="0" w:line="301"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5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officers provide that:</w:t>
      </w:r>
    </w:p>
    <w:p>
      <w:pPr>
        <w:spacing w:after="0" w:line="197" w:lineRule="exact"/>
        <w:rPr>
          <w:sz w:val="20"/>
          <w:szCs w:val="20"/>
          <w:color w:val="auto"/>
        </w:rPr>
      </w:pPr>
    </w:p>
    <w:p>
      <w:pPr>
        <w:jc w:val="both"/>
        <w:ind w:left="1420" w:right="60" w:hanging="319"/>
        <w:spacing w:after="0" w:line="301" w:lineRule="auto"/>
        <w:tabs>
          <w:tab w:leader="none" w:pos="14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84" w:lineRule="exact"/>
        <w:rPr>
          <w:rFonts w:ascii="Arial" w:cs="Arial" w:eastAsia="Arial" w:hAnsi="Arial"/>
          <w:sz w:val="16"/>
          <w:szCs w:val="16"/>
          <w:color w:val="auto"/>
        </w:rPr>
      </w:pPr>
    </w:p>
    <w:p>
      <w:pPr>
        <w:ind w:left="1420" w:right="10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97" w:lineRule="exact"/>
        <w:rPr>
          <w:rFonts w:ascii="Arial" w:cs="Arial" w:eastAsia="Arial" w:hAnsi="Arial"/>
          <w:sz w:val="18"/>
          <w:szCs w:val="18"/>
          <w:color w:val="auto"/>
        </w:rPr>
      </w:pPr>
    </w:p>
    <w:p>
      <w:pPr>
        <w:ind w:left="1420" w:right="40" w:hanging="319"/>
        <w:spacing w:after="0" w:line="263"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210" w:lineRule="exact"/>
        <w:rPr>
          <w:rFonts w:ascii="Arial" w:cs="Arial" w:eastAsia="Arial" w:hAnsi="Arial"/>
          <w:sz w:val="18"/>
          <w:szCs w:val="18"/>
          <w:color w:val="auto"/>
        </w:rPr>
      </w:pPr>
    </w:p>
    <w:p>
      <w:pPr>
        <w:jc w:val="both"/>
        <w:ind w:left="1420" w:right="80" w:hanging="319"/>
        <w:spacing w:after="0" w:line="263"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210" w:lineRule="exact"/>
        <w:rPr>
          <w:rFonts w:ascii="Arial" w:cs="Arial" w:eastAsia="Arial" w:hAnsi="Arial"/>
          <w:sz w:val="18"/>
          <w:szCs w:val="18"/>
          <w:color w:val="auto"/>
        </w:rPr>
      </w:pPr>
    </w:p>
    <w:p>
      <w:pPr>
        <w:ind w:left="1420" w:right="560" w:hanging="319"/>
        <w:spacing w:after="0" w:line="342" w:lineRule="auto"/>
        <w:tabs>
          <w:tab w:leader="none" w:pos="14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50" w:lineRule="exact"/>
        <w:rPr>
          <w:rFonts w:ascii="Arial" w:cs="Arial" w:eastAsia="Arial" w:hAnsi="Arial"/>
          <w:sz w:val="16"/>
          <w:szCs w:val="16"/>
          <w:color w:val="auto"/>
        </w:rPr>
      </w:pPr>
    </w:p>
    <w:p>
      <w:pPr>
        <w:ind w:left="1420" w:right="22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incur increased costs and demands upon management as a result of being a public company.</w:t>
      </w:r>
    </w:p>
    <w:p>
      <w:pPr>
        <w:spacing w:after="0" w:line="225"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As a public company listed in the United States, we will incur significant additional legal, accounting and other costs. These additional costs could negatively affect our financial results. In addition, changing laws, regulations and standards relating to corporate governance and public disclosure, including regulations implemented by the Commission and Nasdaq,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w:t>
      </w:r>
    </w:p>
    <w:p>
      <w:pPr>
        <w:spacing w:after="0" w:line="17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60"/>
          </w:cols>
          <w:pgMar w:left="320" w:top="459"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We have incurred net operating losses (NOLs) during our history, we expect to continue to incur significant NOLs for the foreseeable future, and we may not achieve profitability prior to the time that certain of our NOLs expire. As of December 31, 2020, we had federal and state NOL carryforwards of $22.3 million and $31.0 million, respectively, that will begin expiring in the year 2028 for both federal and state NOLs if not utilized. We also have $15.9 million of federal net operating loss carryforwards as of December 31, 2020, that do not expire as a result of recent tax law changes. Our NOL carryforwards are subject to review and possible adjustment by U.S. and state tax authorities. Our NOL carryforwards could expire unused or be unavailable to offset future income tax liabilities because of their limited duration or because of restrictions under U.S. tax law. Federal NOLs generated in tax years ending on or prior to December 31, 2017 are only permitted to be carried forward for 20 taxable years under applicable U.S. federal tax law. Under the Tax Act, as modified by the Coronavirus Aid, Relief, and Economic Security Act (CARES) Act signed into law on March 27, federal NOLs arising in tax years beginning after December 31, 2017, and before January 1, 2021 may be carried back to each of the five tax years preceding the tax year of such loss, and federal NOLs arising in tax years beginning after December 31, 2020 may not be carried back. Moreover, under the Tax Act as modified by the CARES Act, federal NOLs generated in tax years ending after December 31, 2017 may be carried forward indefinitely, but the deductibility of such federal NOLs may be limited to 80% of current year taxable income for tax years beginning after December 31, 2020. In addition, at the state level, there may be periods during which the use of NOLs is suspended or otherwise limited, which could accelerate or permanently increase state taxes owed. For example, California recently imposed limits on the usability of California state NOL carryforwards to offset taxable income in taxable years beginning after 2019 and before 2023. It is generally uncertain if and to what extent various states will conform to the Tax Act or the CARES Act.</w:t>
      </w:r>
    </w:p>
    <w:p>
      <w:pPr>
        <w:spacing w:after="0" w:line="18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Additionally, we continue to generate business tax credits, including research and development tax credits, which generally may be carried forward to offset a portion of future taxable income, if any, subject to expiration of such credit carryforwards.</w:t>
      </w:r>
    </w:p>
    <w:p>
      <w:pPr>
        <w:spacing w:after="0" w:line="170"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addition, under Sections 382 and 383 of the Internal Revenue Code of 1986, as amended,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(such as research and development tax credits) to offset its post-change income and taxes may be limited. Similar rules may apply under state tax laws. We may have experienced such ownership changes in the past, and we may experience ownership changes in the future as a result of this offering or subsequent shifts in our stock ownership, some of which may be outside our control. We have not conducted any studies to determine annual limitations, if any, that could result from such changes in the ownership. Our ability to utilize those NOLs could be limited by an “ownership change” as described above and consequently, we may not be able to utilize a material portion of our NOLs and certain other tax attributes, which could have an adverse effect on our cash flows and results of operations.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225"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Furthermore, the CARES Act modified certain provisions of the Tax Act. In addition, it is uncertain if and to what extent various states will conform to the Tax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could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result in significant one-time charges, and could increase our future U.S. tax expense. Among the changes made by the Tax Act was a reduction of the business tax credit for certain clinical testing expenses incurred in the testing of certain drugs for rare diseases or conditions generally referred to as “orphan drugs.” We continue to examine the impact this tax reform legislation may have on our business. We urge investors to consult with their legal and tax advisers regarding the implications of the Tax Act and potential changes in U.S. tax laws on an investment in our common stock.</w:t>
      </w:r>
    </w:p>
    <w:p>
      <w:pPr>
        <w:spacing w:after="0" w:line="15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a deficiency in our cybersecurity or a natural disaster.</w:t>
      </w:r>
    </w:p>
    <w:p>
      <w:pPr>
        <w:spacing w:after="0" w:line="170"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spacing w:after="0" w:line="16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Disruptions at the FDA, the Commission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7"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Commission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Disruptions at the FDA and other agencies may also slow the time necessary for new drugs or biologics to be reviewed and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FDA and regulatory authorities outside the United States may adopt policy measures in response to the COVID-19 pandemic and may experience delays in their regulatory activities. In response to the COVID-19 pandemic, on March 10, 2020 the FDA announced its intention to postpone most inspections of foreign manufacturing facilities and products while local, national and international conditions warrant. On March 18, 2020, the FDA announced its intention to temporarily postpone routine surveillance inspections of domestic manufacturing facilities and provided guidance regarding the conduct of clinical trials, which the FDA continues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to update. As of June 23, 2020, the FDA noted it was continuing to ensure timely reviews of applications for medical products during the COVID-19 pandemic in line with its user fee performance goals and conducting mission critical domestic and foreign inspections to ensure compliance of manufacturing facilities with FDA quality standards. As of July 2020, utilizing a rating system to assist in determining when and where it is safest to conduct such inspections based on data about the virus’ trajectory in a given state and locality and the rules and guidelines that are put in place by state and local governments, FDA is either continuing to, on a case-by-case basis, conduct only mission critical inspections, or, where possible to do so safely, resuming prioritized domestic inspections, which generally include pre-approval inspections. Foreign pre-approval inspections that are not deemed mission-critical remain postponed, while those deemed mission-critical will be considered for inspection on a case-by-case basis. FDA will use similar data to inform resumption of prioritized operations abroad as it becomes feasible and advisable to do so. The FDA may not be able to maintain this pace and delays or setbacks are possible in the future. Should FDA determine that an inspection is necessary for approval,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Additionally, regulatory authorities outside the U.S. may adopt similar restrictions or other policy measures in response to the COVID-19 pandemic and may experience delays in their regulatory activities.</w:t>
      </w:r>
    </w:p>
    <w:p>
      <w:pPr>
        <w:spacing w:after="0" w:line="186"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If a prolonged government shutdown occurs, or if global health concerns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25"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more costly to operate. Furthermore, a severe or prolonged economic downturn, including a recession or depression resulting from the current COVID-19 pandemic or political disruption 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“Business” and elsewhere in this prospectus. In some cases, you can identify forward-looking statements by terms such as “may,” “will,” “should,” “expect,” “plan,” “anticipate,” “could,” “intend,” “target,” “project,” “estimate,” “believe,” “estimate,” “predict,” “potential” or “continue” or the negative of these terms or other similar expressions intended to identify statements about the future. These statements speak only as of the date of this prospectus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212" w:lineRule="exact"/>
        <w:rPr>
          <w:sz w:val="20"/>
          <w:szCs w:val="20"/>
          <w:color w:val="auto"/>
        </w:rPr>
      </w:pPr>
    </w:p>
    <w:p>
      <w:pPr>
        <w:ind w:left="1420" w:hanging="319"/>
        <w:spacing w:after="0"/>
        <w:tabs>
          <w:tab w:leader="none" w:pos="1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sufficiency of our existing cash and cash equivalents to fund our future operating expenses and capital expenditure requirements;</w:t>
      </w:r>
    </w:p>
    <w:p>
      <w:pPr>
        <w:spacing w:after="0" w:line="275" w:lineRule="exact"/>
        <w:rPr>
          <w:rFonts w:ascii="Arial" w:cs="Arial" w:eastAsia="Arial" w:hAnsi="Arial"/>
          <w:sz w:val="16"/>
          <w:szCs w:val="16"/>
          <w:color w:val="auto"/>
        </w:rPr>
      </w:pPr>
    </w:p>
    <w:p>
      <w:pPr>
        <w:ind w:left="1420" w:right="540" w:hanging="319"/>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develop and commercialize ACU193, subject to necessary regulatory approvals;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ACU193, and other positive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plans relating to commercializing ACU193, subject to obtaining necessary regulatory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attract and retain key scientific and clinical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252"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reliance on third parties to conduct clinical trials of ACU193, and for the manufacture of ACU193 for nonclinical studies and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plans and ability to obtain or protect our intellectual property rights, including extensions of existing patent terms where available;</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ACU193 and technology;</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77"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ACU193, and any related restrictions, limitations and/or warnings in the label of any approved product candidate;</w:t>
      </w:r>
    </w:p>
    <w:p>
      <w:pPr>
        <w:spacing w:after="0" w:line="197"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ACU193, including additional therapeutic indications which we may pursue;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effects of the COVID-19 pandemic;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25"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In addition, you should refer to the “Risk Factors” section of this prospectus for a discussion of important factors that may cause our actual results to differ materially from those expressed or implied by our forward-looking statements. Other sections of this prospectus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prospectus.</w:t>
      </w:r>
    </w:p>
    <w:p>
      <w:pPr>
        <w:spacing w:after="0" w:line="178"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Although we believe that we have a reasonable basis for each forward-looking statement contained in this prospectus, the events and circumstances reflected in our forward-looking statements may not be achieved or occur and actual results could differ materially from those projected in the forward-looking statements.</w:t>
      </w:r>
    </w:p>
    <w:p>
      <w:pPr>
        <w:spacing w:after="0" w:line="157"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obtained the industry, statistical and market data included in this prospectus from our own internal estimates and research as well as from industry and general publications and research, surveys and studies conducted by third parties. All of the market data used in this prospectus involve a number of assumptions and limitations, and the sources of such data cannot guarantee the accuracy or completeness of such information. While we are not aware of any misstatements regarding the third-party information and we believe that each of these studies and publications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third parties and by us.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29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533"/>
        </w:trPr>
        <w:tc>
          <w:tcPr>
            <w:tcW w:w="4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580" w:type="dxa"/>
            <w:vAlign w:val="bottom"/>
          </w:tcPr>
          <w:p>
            <w:pPr>
              <w:spacing w:after="0"/>
              <w:rPr>
                <w:sz w:val="24"/>
                <w:szCs w:val="24"/>
                <w:color w:val="auto"/>
              </w:rPr>
            </w:pPr>
          </w:p>
        </w:tc>
        <w:tc>
          <w:tcPr>
            <w:tcW w:w="4060" w:type="dxa"/>
            <w:vAlign w:val="bottom"/>
            <w:gridSpan w:val="2"/>
          </w:tcPr>
          <w:p>
            <w:pPr>
              <w:ind w:left="1840"/>
              <w:spacing w:after="0"/>
              <w:rPr>
                <w:sz w:val="20"/>
                <w:szCs w:val="20"/>
                <w:color w:val="auto"/>
              </w:rPr>
            </w:pPr>
            <w:r>
              <w:rPr>
                <w:rFonts w:ascii="Arial" w:cs="Arial" w:eastAsia="Arial" w:hAnsi="Arial"/>
                <w:sz w:val="18"/>
                <w:szCs w:val="18"/>
                <w:b w:val="1"/>
                <w:bCs w:val="1"/>
                <w:color w:val="auto"/>
              </w:rPr>
              <w:t>USE OF PROCEEDS</w:t>
            </w:r>
          </w:p>
        </w:tc>
        <w:tc>
          <w:tcPr>
            <w:tcW w:w="17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18"/>
        </w:trPr>
        <w:tc>
          <w:tcPr>
            <w:tcW w:w="480" w:type="dxa"/>
            <w:vAlign w:val="bottom"/>
          </w:tcPr>
          <w:p>
            <w:pPr>
              <w:spacing w:after="0"/>
              <w:rPr>
                <w:sz w:val="24"/>
                <w:szCs w:val="24"/>
                <w:color w:val="auto"/>
              </w:rPr>
            </w:pPr>
          </w:p>
        </w:tc>
        <w:tc>
          <w:tcPr>
            <w:tcW w:w="5360" w:type="dxa"/>
            <w:vAlign w:val="bottom"/>
            <w:gridSpan w:val="3"/>
          </w:tcPr>
          <w:p>
            <w:pPr>
              <w:ind w:left="520"/>
              <w:spacing w:after="0"/>
              <w:rPr>
                <w:sz w:val="20"/>
                <w:szCs w:val="20"/>
                <w:color w:val="auto"/>
              </w:rPr>
            </w:pPr>
            <w:r>
              <w:rPr>
                <w:rFonts w:ascii="Arial" w:cs="Arial" w:eastAsia="Arial" w:hAnsi="Arial"/>
                <w:sz w:val="18"/>
                <w:szCs w:val="18"/>
                <w:color w:val="auto"/>
                <w:w w:val="93"/>
              </w:rPr>
              <w:t>We estimate that the net proceeds from our issuance and sale of</w:t>
            </w:r>
          </w:p>
        </w:tc>
        <w:tc>
          <w:tcPr>
            <w:tcW w:w="5300" w:type="dxa"/>
            <w:vAlign w:val="bottom"/>
            <w:gridSpan w:val="3"/>
          </w:tcPr>
          <w:p>
            <w:pPr>
              <w:ind w:left="260"/>
              <w:spacing w:after="0"/>
              <w:rPr>
                <w:sz w:val="20"/>
                <w:szCs w:val="20"/>
                <w:color w:val="auto"/>
              </w:rPr>
            </w:pPr>
            <w:r>
              <w:rPr>
                <w:rFonts w:ascii="Arial" w:cs="Arial" w:eastAsia="Arial" w:hAnsi="Arial"/>
                <w:sz w:val="18"/>
                <w:szCs w:val="18"/>
                <w:color w:val="auto"/>
                <w:w w:val="97"/>
              </w:rPr>
              <w:t>shares of our common stock in this offering will be approximately</w:t>
            </w:r>
          </w:p>
        </w:tc>
      </w:tr>
      <w:tr>
        <w:trPr>
          <w:trHeight w:val="216"/>
        </w:trPr>
        <w:tc>
          <w:tcPr>
            <w:tcW w:w="480" w:type="dxa"/>
            <w:vAlign w:val="bottom"/>
          </w:tcPr>
          <w:p>
            <w:pPr>
              <w:ind w:left="120"/>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260"/>
              <w:spacing w:after="0"/>
              <w:rPr>
                <w:sz w:val="20"/>
                <w:szCs w:val="20"/>
                <w:color w:val="auto"/>
              </w:rPr>
            </w:pPr>
            <w:r>
              <w:rPr>
                <w:rFonts w:ascii="Arial" w:cs="Arial" w:eastAsia="Arial" w:hAnsi="Arial"/>
                <w:sz w:val="18"/>
                <w:szCs w:val="18"/>
                <w:color w:val="auto"/>
              </w:rPr>
              <w:t>million (or approximately $</w:t>
            </w:r>
          </w:p>
        </w:tc>
        <w:tc>
          <w:tcPr>
            <w:tcW w:w="5760" w:type="dxa"/>
            <w:vAlign w:val="bottom"/>
            <w:gridSpan w:val="3"/>
          </w:tcPr>
          <w:p>
            <w:pPr>
              <w:ind w:left="340"/>
              <w:spacing w:after="0"/>
              <w:rPr>
                <w:sz w:val="20"/>
                <w:szCs w:val="20"/>
                <w:color w:val="auto"/>
              </w:rPr>
            </w:pPr>
            <w:r>
              <w:rPr>
                <w:rFonts w:ascii="Arial" w:cs="Arial" w:eastAsia="Arial" w:hAnsi="Arial"/>
                <w:sz w:val="18"/>
                <w:szCs w:val="18"/>
                <w:color w:val="auto"/>
                <w:w w:val="97"/>
              </w:rPr>
              <w:t>million if the underwriters exercise in full their option to purchase up to</w:t>
            </w:r>
          </w:p>
        </w:tc>
        <w:tc>
          <w:tcPr>
            <w:tcW w:w="2440" w:type="dxa"/>
            <w:vAlign w:val="bottom"/>
          </w:tcPr>
          <w:p>
            <w:pPr>
              <w:ind w:left="280"/>
              <w:spacing w:after="0"/>
              <w:rPr>
                <w:sz w:val="20"/>
                <w:szCs w:val="20"/>
                <w:color w:val="auto"/>
              </w:rPr>
            </w:pPr>
            <w:r>
              <w:rPr>
                <w:rFonts w:ascii="Arial" w:cs="Arial" w:eastAsia="Arial" w:hAnsi="Arial"/>
                <w:sz w:val="18"/>
                <w:szCs w:val="18"/>
                <w:color w:val="auto"/>
                <w:w w:val="93"/>
              </w:rPr>
              <w:t>additional shares), assuming</w:t>
            </w:r>
          </w:p>
        </w:tc>
      </w:tr>
      <w:tr>
        <w:trPr>
          <w:trHeight w:val="216"/>
        </w:trPr>
        <w:tc>
          <w:tcPr>
            <w:tcW w:w="2940" w:type="dxa"/>
            <w:vAlign w:val="bottom"/>
            <w:gridSpan w:val="3"/>
          </w:tcPr>
          <w:p>
            <w:pPr>
              <w:ind w:left="120"/>
              <w:spacing w:after="0"/>
              <w:rPr>
                <w:sz w:val="20"/>
                <w:szCs w:val="20"/>
                <w:color w:val="auto"/>
              </w:rPr>
            </w:pPr>
            <w:r>
              <w:rPr>
                <w:rFonts w:ascii="Arial" w:cs="Arial" w:eastAsia="Arial" w:hAnsi="Arial"/>
                <w:sz w:val="18"/>
                <w:szCs w:val="18"/>
                <w:color w:val="auto"/>
              </w:rPr>
              <w:t>an initial public offering price of $</w:t>
            </w:r>
          </w:p>
        </w:tc>
        <w:tc>
          <w:tcPr>
            <w:tcW w:w="8200" w:type="dxa"/>
            <w:vAlign w:val="bottom"/>
            <w:gridSpan w:val="4"/>
          </w:tcPr>
          <w:p>
            <w:pPr>
              <w:ind w:left="200"/>
              <w:spacing w:after="0"/>
              <w:rPr>
                <w:sz w:val="20"/>
                <w:szCs w:val="20"/>
                <w:color w:val="auto"/>
              </w:rPr>
            </w:pPr>
            <w:r>
              <w:rPr>
                <w:rFonts w:ascii="Arial" w:cs="Arial" w:eastAsia="Arial" w:hAnsi="Arial"/>
                <w:sz w:val="18"/>
                <w:szCs w:val="18"/>
                <w:color w:val="auto"/>
                <w:w w:val="94"/>
              </w:rPr>
              <w:t>per share, which is the midpoint of the price range set forth on the cover page of this prospectus, and after</w:t>
            </w:r>
          </w:p>
        </w:tc>
      </w:tr>
      <w:tr>
        <w:trPr>
          <w:trHeight w:val="230"/>
        </w:trPr>
        <w:tc>
          <w:tcPr>
            <w:tcW w:w="8700" w:type="dxa"/>
            <w:vAlign w:val="bottom"/>
            <w:gridSpan w:val="6"/>
          </w:tcPr>
          <w:p>
            <w:pPr>
              <w:ind w:left="120"/>
              <w:spacing w:after="0"/>
              <w:rPr>
                <w:sz w:val="20"/>
                <w:szCs w:val="20"/>
                <w:color w:val="auto"/>
              </w:rPr>
            </w:pPr>
            <w:r>
              <w:rPr>
                <w:rFonts w:ascii="Arial" w:cs="Arial" w:eastAsia="Arial" w:hAnsi="Arial"/>
                <w:sz w:val="18"/>
                <w:szCs w:val="18"/>
                <w:color w:val="auto"/>
                <w:w w:val="94"/>
              </w:rPr>
              <w:t>deducting the estimated underwriting discounts and commissions and estimated offering expenses payable by us.</w:t>
            </w:r>
          </w:p>
        </w:tc>
        <w:tc>
          <w:tcPr>
            <w:tcW w:w="2440" w:type="dxa"/>
            <w:vAlign w:val="bottom"/>
          </w:tcPr>
          <w:p>
            <w:pPr>
              <w:spacing w:after="0"/>
              <w:rPr>
                <w:sz w:val="20"/>
                <w:szCs w:val="20"/>
                <w:color w:val="auto"/>
              </w:rPr>
            </w:pPr>
          </w:p>
        </w:tc>
      </w:tr>
      <w:tr>
        <w:trPr>
          <w:trHeight w:val="418"/>
        </w:trPr>
        <w:tc>
          <w:tcPr>
            <w:tcW w:w="480" w:type="dxa"/>
            <w:vAlign w:val="bottom"/>
          </w:tcPr>
          <w:p>
            <w:pPr>
              <w:spacing w:after="0"/>
              <w:rPr>
                <w:sz w:val="24"/>
                <w:szCs w:val="24"/>
                <w:color w:val="auto"/>
              </w:rPr>
            </w:pPr>
          </w:p>
        </w:tc>
        <w:tc>
          <w:tcPr>
            <w:tcW w:w="6520" w:type="dxa"/>
            <w:vAlign w:val="bottom"/>
            <w:gridSpan w:val="4"/>
          </w:tcPr>
          <w:p>
            <w:pPr>
              <w:ind w:left="520"/>
              <w:spacing w:after="0"/>
              <w:rPr>
                <w:sz w:val="20"/>
                <w:szCs w:val="20"/>
                <w:color w:val="auto"/>
              </w:rPr>
            </w:pPr>
            <w:r>
              <w:rPr>
                <w:rFonts w:ascii="Arial" w:cs="Arial" w:eastAsia="Arial" w:hAnsi="Arial"/>
                <w:sz w:val="18"/>
                <w:szCs w:val="18"/>
                <w:color w:val="auto"/>
                <w:w w:val="94"/>
              </w:rPr>
              <w:t>Each $1.00 increase or decrease in the assumed initial public offering price of $</w:t>
            </w:r>
          </w:p>
        </w:tc>
        <w:tc>
          <w:tcPr>
            <w:tcW w:w="4140" w:type="dxa"/>
            <w:vAlign w:val="bottom"/>
            <w:gridSpan w:val="2"/>
          </w:tcPr>
          <w:p>
            <w:pPr>
              <w:ind w:left="260"/>
              <w:spacing w:after="0"/>
              <w:rPr>
                <w:sz w:val="20"/>
                <w:szCs w:val="20"/>
                <w:color w:val="auto"/>
              </w:rPr>
            </w:pPr>
            <w:r>
              <w:rPr>
                <w:rFonts w:ascii="Arial" w:cs="Arial" w:eastAsia="Arial" w:hAnsi="Arial"/>
                <w:sz w:val="18"/>
                <w:szCs w:val="18"/>
                <w:color w:val="auto"/>
                <w:w w:val="90"/>
              </w:rPr>
              <w:t>per share, which is the midpoint of the price range set</w:t>
            </w:r>
          </w:p>
        </w:tc>
      </w:tr>
      <w:tr>
        <w:trPr>
          <w:trHeight w:val="230"/>
        </w:trPr>
        <w:tc>
          <w:tcPr>
            <w:tcW w:w="8700" w:type="dxa"/>
            <w:vAlign w:val="bottom"/>
            <w:gridSpan w:val="6"/>
          </w:tcPr>
          <w:p>
            <w:pPr>
              <w:ind w:left="120"/>
              <w:spacing w:after="0"/>
              <w:rPr>
                <w:sz w:val="20"/>
                <w:szCs w:val="20"/>
                <w:color w:val="auto"/>
              </w:rPr>
            </w:pPr>
            <w:r>
              <w:rPr>
                <w:rFonts w:ascii="Arial" w:cs="Arial" w:eastAsia="Arial" w:hAnsi="Arial"/>
                <w:sz w:val="18"/>
                <w:szCs w:val="18"/>
                <w:color w:val="auto"/>
                <w:w w:val="92"/>
              </w:rPr>
              <w:t>forth on the cover page of this prospectus, would increase or decrease the net proceeds to us from this offering by $</w:t>
            </w:r>
          </w:p>
        </w:tc>
        <w:tc>
          <w:tcPr>
            <w:tcW w:w="2440" w:type="dxa"/>
            <w:vAlign w:val="bottom"/>
          </w:tcPr>
          <w:p>
            <w:pPr>
              <w:ind w:left="260"/>
              <w:spacing w:after="0"/>
              <w:rPr>
                <w:sz w:val="20"/>
                <w:szCs w:val="20"/>
                <w:color w:val="auto"/>
              </w:rPr>
            </w:pPr>
            <w:r>
              <w:rPr>
                <w:rFonts w:ascii="Arial" w:cs="Arial" w:eastAsia="Arial" w:hAnsi="Arial"/>
                <w:sz w:val="18"/>
                <w:szCs w:val="18"/>
                <w:color w:val="auto"/>
                <w:w w:val="92"/>
              </w:rPr>
              <w:t>million, assuming the number</w:t>
            </w:r>
          </w:p>
        </w:tc>
      </w:tr>
    </w:tbl>
    <w:p>
      <w:pPr>
        <w:ind w:left="120" w:right="10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shares offered by us, as set forth on the cover page of this prospectus, remains the same and after deducting the estimated underwriting discounts and commissions and estimated offering expenses payable by us. Each increase or decrease of 1.0 million in the number of shares we are offering would</w:t>
      </w:r>
    </w:p>
    <w:p>
      <w:pPr>
        <w:spacing w:after="0" w:line="1"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increase or decrease the net proceeds to us from this offering by $ million, after deducting the estimated underwriting discounts and commissions and estimated offering expenses payable by us, assuming the assumed initial public offering price stays the same.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176"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As of March 31, 2021, we had cash and cash equivalents of $41.4 million. We intend to use the net proceeds from this offering, together with our existing cash and cash equivalents, as follows:</w:t>
      </w:r>
    </w:p>
    <w:p>
      <w:pPr>
        <w:sectPr>
          <w:pgSz w:w="11900" w:h="16838" w:orient="portrait"/>
          <w:cols w:equalWidth="0" w:num="1">
            <w:col w:w="11140"/>
          </w:cols>
          <w:pgMar w:left="320" w:top="446" w:right="439" w:bottom="1440" w:gutter="0" w:footer="0" w:header="0"/>
        </w:sectPr>
      </w:pPr>
    </w:p>
    <w:p>
      <w:pPr>
        <w:spacing w:after="0" w:line="19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approximately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to</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1160" w:space="260"/>
            <w:col w:w="1180" w:space="540"/>
            <w:col w:w="700" w:space="580"/>
            <w:col w:w="6720"/>
          </w:cols>
          <w:pgMar w:left="320" w:top="446" w:right="439" w:bottom="1440" w:gutter="0" w:footer="0" w:header="0"/>
          <w:type w:val="continuous"/>
        </w:sectPr>
      </w:pPr>
    </w:p>
    <w:p>
      <w:pPr>
        <w:spacing w:after="0" w:line="5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to</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and</w:t>
      </w:r>
    </w:p>
    <w:p>
      <w:pPr>
        <w:spacing w:after="0" w:line="211" w:lineRule="exact"/>
        <w:rPr>
          <w:sz w:val="20"/>
          <w:szCs w:val="20"/>
          <w:color w:val="auto"/>
        </w:rPr>
      </w:pPr>
    </w:p>
    <w:p>
      <w:pPr>
        <w:sectPr>
          <w:pgSz w:w="11900" w:h="16838" w:orient="portrait"/>
          <w:cols w:equalWidth="0" w:num="4">
            <w:col w:w="1160" w:space="260"/>
            <w:col w:w="1180" w:space="540"/>
            <w:col w:w="700" w:space="580"/>
            <w:col w:w="6720"/>
          </w:cols>
          <w:pgMar w:left="320" w:top="446" w:right="439" w:bottom="1440" w:gutter="0" w:footer="0" w:header="0"/>
          <w:type w:val="continuous"/>
        </w:sectPr>
      </w:pPr>
    </w:p>
    <w:p>
      <w:pPr>
        <w:spacing w:after="0" w:line="64" w:lineRule="exact"/>
        <w:rPr>
          <w:sz w:val="20"/>
          <w:szCs w:val="20"/>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w:t>
      </w:r>
    </w:p>
    <w:p>
      <w:pPr>
        <w:spacing w:after="0" w:line="225" w:lineRule="exact"/>
        <w:rPr>
          <w:sz w:val="20"/>
          <w:szCs w:val="20"/>
          <w:color w:val="auto"/>
        </w:rPr>
      </w:pPr>
    </w:p>
    <w:p>
      <w:pPr>
        <w:ind w:left="120" w:right="640" w:firstLine="881"/>
        <w:spacing w:after="0" w:line="277" w:lineRule="auto"/>
        <w:rPr>
          <w:sz w:val="20"/>
          <w:szCs w:val="20"/>
          <w:color w:val="auto"/>
        </w:rPr>
      </w:pPr>
      <w:r>
        <w:rPr>
          <w:rFonts w:ascii="Arial" w:cs="Arial" w:eastAsia="Arial" w:hAnsi="Arial"/>
          <w:sz w:val="18"/>
          <w:szCs w:val="18"/>
          <w:color w:val="auto"/>
        </w:rPr>
        <w:t>We may also use a portion of the remaining net proceeds to in-license, acquire or invest in complementary businesses, technologies, products or assets, although we have no current agreements, commitments or understandings to do so.</w:t>
      </w:r>
    </w:p>
    <w:p>
      <w:pPr>
        <w:spacing w:after="0" w:line="170" w:lineRule="exact"/>
        <w:rPr>
          <w:sz w:val="20"/>
          <w:szCs w:val="20"/>
          <w:color w:val="auto"/>
        </w:rPr>
      </w:pPr>
    </w:p>
    <w:p>
      <w:pPr>
        <w:ind w:left="120" w:right="60" w:firstLine="881"/>
        <w:spacing w:after="0" w:line="287" w:lineRule="auto"/>
        <w:rPr>
          <w:sz w:val="20"/>
          <w:szCs w:val="20"/>
          <w:color w:val="auto"/>
        </w:rPr>
      </w:pPr>
      <w:r>
        <w:rPr>
          <w:rFonts w:ascii="Arial" w:cs="Arial" w:eastAsia="Arial" w:hAnsi="Arial"/>
          <w:sz w:val="16"/>
          <w:szCs w:val="16"/>
          <w:color w:val="auto"/>
        </w:rPr>
        <w:t>We believe that the net proceeds of this offering, together with our existing cash and cash equivalents, will enable us to fund our operations through . Based on our current operational plans and assumptions, we expect the net proceeds from this offering, together with our cash and cash equivalents, will be sufficient to . We have based these estimates on assumptions that may prove to be wrong, and we could use our available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capital resources sooner than we expect.</w:t>
      </w:r>
    </w:p>
    <w:p>
      <w:pPr>
        <w:spacing w:after="0" w:line="211"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This expected use of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the status of and results from clinical trials, as well as any collaborations that we may enter into with third parties for ACU193 and any other product candidates we develop, and any unforeseen cash needs.</w:t>
      </w:r>
    </w:p>
    <w:p>
      <w:pPr>
        <w:spacing w:after="0" w:line="188"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cash flows from operations and the anticipated growth of our business. Pending their use, we plan to invest the net proceeds from this offering in short-term, interest bearing obligations, investment-grade instruments, certificates of deposit or direct or guaranteed obligations of the United States.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46" w:right="4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have never declared or paid, and do not anticipate declaring or paying, in the foreseeable future, any cash dividends on our capital stock. We currently intend to retain all available funds and any future earnings to support our operations and finance the growth and development of our business.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2021:</w:t>
      </w:r>
    </w:p>
    <w:p>
      <w:pPr>
        <w:spacing w:after="0" w:line="252" w:lineRule="exact"/>
        <w:rPr>
          <w:sz w:val="20"/>
          <w:szCs w:val="20"/>
          <w:color w:val="auto"/>
        </w:rPr>
      </w:pPr>
    </w:p>
    <w:p>
      <w:pPr>
        <w:ind w:left="1420" w:hanging="319"/>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on a pro forma basis to give effect to the conversion of all of the outstanding preferred shares of our convertible preferred stock into</w:t>
      </w:r>
    </w:p>
    <w:p>
      <w:pPr>
        <w:sectPr>
          <w:pgSz w:w="11900" w:h="16838" w:orient="portrait"/>
          <w:cols w:equalWidth="0" w:num="1">
            <w:col w:w="11140"/>
          </w:cols>
          <w:pgMar w:left="320" w:top="459" w:right="439" w:bottom="1440" w:gutter="0" w:footer="0" w:header="0"/>
        </w:sectPr>
      </w:pPr>
    </w:p>
    <w:p>
      <w:pPr>
        <w:spacing w:after="0" w:line="46" w:lineRule="exact"/>
        <w:rPr>
          <w:sz w:val="20"/>
          <w:szCs w:val="20"/>
          <w:color w:val="auto"/>
        </w:rPr>
      </w:pPr>
    </w:p>
    <w:p>
      <w:pPr>
        <w:ind w:left="1420" w:right="360"/>
        <w:spacing w:after="0" w:line="255" w:lineRule="auto"/>
        <w:rPr>
          <w:sz w:val="20"/>
          <w:szCs w:val="20"/>
          <w:color w:val="auto"/>
        </w:rPr>
      </w:pPr>
      <w:r>
        <w:rPr>
          <w:rFonts w:ascii="Arial" w:cs="Arial" w:eastAsia="Arial" w:hAnsi="Arial"/>
          <w:sz w:val="18"/>
          <w:szCs w:val="18"/>
          <w:color w:val="auto"/>
        </w:rPr>
        <w:t>an aggregate of shares of our common stock upon the closing of this offering, as well as the automatic exercise and conversion of an outstanding preferred stock warrant into shares of our common stock and the settlement of the preferred stock tranche rights liability, as if such conversions had occurred on March 31, 2021; and</w:t>
      </w:r>
    </w:p>
    <w:p>
      <w:pPr>
        <w:sectPr>
          <w:pgSz w:w="11900" w:h="16838" w:orient="portrait"/>
          <w:cols w:equalWidth="0" w:num="1">
            <w:col w:w="11140"/>
          </w:cols>
          <w:pgMar w:left="320" w:top="459" w:right="439" w:bottom="1440" w:gutter="0" w:footer="0" w:header="0"/>
          <w:type w:val="continuous"/>
        </w:sectPr>
      </w:pPr>
    </w:p>
    <w:p>
      <w:pPr>
        <w:spacing w:after="0" w:line="2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on a pro forma as adjusted basis to give further effect our issuance and sale of shares of common stock in this offering at an assumed initial public offering price of $ per share, which is the midpoint of the price range set forth on the cover page of this</w:t>
      </w:r>
    </w:p>
    <w:p>
      <w:pPr>
        <w:spacing w:after="0" w:line="1" w:lineRule="exact"/>
        <w:rPr>
          <w:sz w:val="20"/>
          <w:szCs w:val="20"/>
          <w:color w:val="auto"/>
        </w:rPr>
      </w:pPr>
    </w:p>
    <w:p>
      <w:pPr>
        <w:sectPr>
          <w:pgSz w:w="11900" w:h="16838" w:orient="portrait"/>
          <w:cols w:equalWidth="0" w:num="2">
            <w:col w:w="1160" w:space="260"/>
            <w:col w:w="9720"/>
          </w:cols>
          <w:pgMar w:left="320" w:top="459" w:right="439" w:bottom="1440" w:gutter="0" w:footer="0" w:header="0"/>
          <w:type w:val="continuous"/>
        </w:sectPr>
      </w:pPr>
    </w:p>
    <w:p>
      <w:pPr>
        <w:ind w:left="1420"/>
        <w:spacing w:after="0"/>
        <w:rPr>
          <w:sz w:val="20"/>
          <w:szCs w:val="20"/>
          <w:color w:val="auto"/>
        </w:rPr>
      </w:pPr>
      <w:r>
        <w:rPr>
          <w:rFonts w:ascii="Arial" w:cs="Arial" w:eastAsia="Arial" w:hAnsi="Arial"/>
          <w:sz w:val="17"/>
          <w:szCs w:val="17"/>
          <w:color w:val="auto"/>
        </w:rPr>
        <w:t>prospectus, after deducting estimated underwriting fees and commissions and estimated offering expenses payable by us.</w:t>
      </w:r>
    </w:p>
    <w:p>
      <w:pPr>
        <w:spacing w:after="0" w:line="222"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Our capitalization following the closing of this offering will depend on the actual initial public offering price and other terms of this offering determined at pricing. You should read this information in conjunction with our financial statements and the related notes appearing at the end of this prospectus, the section of this prospectus titled “Management’s Discussion and Analysis of Financial Condition and Results of Operations” and other financial information contained in this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March 31, 2021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ind w:right="113"/>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5"/>
                <w:szCs w:val="15"/>
                <w:color w:val="auto"/>
              </w:rPr>
            </w:pPr>
          </w:p>
        </w:tc>
        <w:tc>
          <w:tcPr>
            <w:tcW w:w="1460" w:type="dxa"/>
            <w:vAlign w:val="bottom"/>
            <w:gridSpan w:val="3"/>
          </w:tcPr>
          <w:p>
            <w:pPr>
              <w:ind w:left="140"/>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5"/>
                <w:szCs w:val="15"/>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jc w:val="right"/>
              <w:spacing w:after="0" w:line="149" w:lineRule="exact"/>
              <w:rPr>
                <w:sz w:val="20"/>
                <w:szCs w:val="20"/>
                <w:color w:val="auto"/>
              </w:rPr>
            </w:pPr>
            <w:r>
              <w:rPr>
                <w:rFonts w:ascii="Arial" w:cs="Arial" w:eastAsia="Arial" w:hAnsi="Arial"/>
                <w:sz w:val="14"/>
                <w:szCs w:val="14"/>
                <w:b w:val="1"/>
                <w:bCs w:val="1"/>
                <w:color w:val="auto"/>
              </w:rPr>
              <w:t>(in thousands,</w:t>
            </w:r>
          </w:p>
        </w:tc>
        <w:tc>
          <w:tcPr>
            <w:tcW w:w="2660" w:type="dxa"/>
            <w:vAlign w:val="bottom"/>
            <w:tcBorders>
              <w:top w:val="single" w:sz="8" w:color="auto"/>
            </w:tcBorders>
            <w:gridSpan w:val="5"/>
          </w:tcPr>
          <w:p>
            <w:pPr>
              <w:spacing w:after="0" w:line="149" w:lineRule="exact"/>
              <w:rPr>
                <w:sz w:val="20"/>
                <w:szCs w:val="20"/>
                <w:color w:val="auto"/>
              </w:rPr>
            </w:pPr>
            <w:r>
              <w:rPr>
                <w:rFonts w:ascii="Arial" w:cs="Arial" w:eastAsia="Arial" w:hAnsi="Arial"/>
                <w:sz w:val="14"/>
                <w:szCs w:val="14"/>
                <w:b w:val="1"/>
                <w:bCs w:val="1"/>
                <w:color w:val="auto"/>
              </w:rPr>
              <w:t>except share and 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41,407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Preferred stock tranche rights liability</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26,557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warrant liability</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40" w:type="dxa"/>
            <w:vAlign w:val="bottom"/>
            <w:gridSpan w:val="2"/>
          </w:tcPr>
          <w:p>
            <w:pPr>
              <w:spacing w:after="0" w:line="201" w:lineRule="exact"/>
              <w:rPr>
                <w:sz w:val="20"/>
                <w:szCs w:val="20"/>
                <w:color w:val="auto"/>
              </w:rPr>
            </w:pPr>
            <w:r>
              <w:rPr>
                <w:rFonts w:ascii="Arial" w:cs="Arial" w:eastAsia="Arial" w:hAnsi="Arial"/>
                <w:sz w:val="18"/>
                <w:szCs w:val="18"/>
                <w:color w:val="auto"/>
                <w:w w:val="96"/>
              </w:rPr>
              <w:t>Series A convertible preferred stock, $0.0001 par value; 711,203 shares authorized,</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ind w:left="180"/>
              <w:spacing w:after="0"/>
              <w:rPr>
                <w:sz w:val="20"/>
                <w:szCs w:val="20"/>
                <w:color w:val="auto"/>
              </w:rPr>
            </w:pPr>
            <w:r>
              <w:rPr>
                <w:rFonts w:ascii="Arial" w:cs="Arial" w:eastAsia="Arial" w:hAnsi="Arial"/>
                <w:sz w:val="18"/>
                <w:szCs w:val="18"/>
                <w:color w:val="auto"/>
              </w:rPr>
              <w:t>711,203 issued and outstanding, actual; no shares authorized, issued or</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1,067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Series A-1 convertible preferred stock, $0.0001 par value; 11,898,177 shares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authorized, 11,231,511 shares issued and outstanding, actual; no shares authorized,</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issued or outstanding pro forma and pro forma as adjusted</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16,333</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440" w:type="dxa"/>
            <w:vAlign w:val="bottom"/>
            <w:gridSpan w:val="2"/>
          </w:tcPr>
          <w:p>
            <w:pPr>
              <w:spacing w:after="0" w:line="201" w:lineRule="exact"/>
              <w:rPr>
                <w:sz w:val="20"/>
                <w:szCs w:val="20"/>
                <w:color w:val="auto"/>
              </w:rPr>
            </w:pPr>
            <w:r>
              <w:rPr>
                <w:rFonts w:ascii="Arial" w:cs="Arial" w:eastAsia="Arial" w:hAnsi="Arial"/>
                <w:sz w:val="18"/>
                <w:szCs w:val="18"/>
                <w:color w:val="auto"/>
              </w:rPr>
              <w:t>Series B convertible preferred stock, $0.0001 par value; 29,457,450 shares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ind w:left="180"/>
              <w:spacing w:after="0"/>
              <w:rPr>
                <w:sz w:val="20"/>
                <w:szCs w:val="20"/>
                <w:color w:val="auto"/>
              </w:rPr>
            </w:pPr>
            <w:r>
              <w:rPr>
                <w:rFonts w:ascii="Arial" w:cs="Arial" w:eastAsia="Arial" w:hAnsi="Arial"/>
                <w:sz w:val="18"/>
                <w:szCs w:val="18"/>
                <w:color w:val="auto"/>
                <w:w w:val="92"/>
              </w:rPr>
              <w:t>authorized, 17,674,469 shares issued and outstanding, no shares authorized, issued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180"/>
              <w:spacing w:after="0"/>
              <w:rPr>
                <w:sz w:val="20"/>
                <w:szCs w:val="20"/>
                <w:color w:val="auto"/>
              </w:rPr>
            </w:pPr>
            <w:r>
              <w:rPr>
                <w:rFonts w:ascii="Arial" w:cs="Arial" w:eastAsia="Arial" w:hAnsi="Arial"/>
                <w:sz w:val="18"/>
                <w:szCs w:val="18"/>
                <w:color w:val="auto"/>
              </w:rPr>
              <w:t>or outstanding pro forma and pro forma as adjusted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39,253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4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4"/>
              </w:rPr>
              <w:t>Preferred stock, $0.0001 par value; no shares authorized, issued or outstanding,</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actual;</w:t>
            </w:r>
          </w:p>
        </w:tc>
        <w:tc>
          <w:tcPr>
            <w:tcW w:w="5140" w:type="dxa"/>
            <w:vAlign w:val="bottom"/>
          </w:tcPr>
          <w:p>
            <w:pPr>
              <w:jc w:val="right"/>
              <w:ind w:right="570"/>
              <w:spacing w:after="0"/>
              <w:rPr>
                <w:sz w:val="20"/>
                <w:szCs w:val="20"/>
                <w:color w:val="auto"/>
              </w:rPr>
            </w:pPr>
            <w:r>
              <w:rPr>
                <w:rFonts w:ascii="Arial" w:cs="Arial" w:eastAsia="Arial" w:hAnsi="Arial"/>
                <w:sz w:val="18"/>
                <w:szCs w:val="18"/>
                <w:color w:val="auto"/>
                <w:w w:val="94"/>
              </w:rPr>
              <w:t>shares authorized and no shares issued or outstanding, pro</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gridSpan w:val="2"/>
          </w:tcPr>
          <w:p>
            <w:pPr>
              <w:ind w:left="540"/>
              <w:spacing w:after="0"/>
              <w:rPr>
                <w:sz w:val="20"/>
                <w:szCs w:val="20"/>
                <w:color w:val="auto"/>
              </w:rPr>
            </w:pPr>
            <w:r>
              <w:rPr>
                <w:rFonts w:ascii="Arial" w:cs="Arial" w:eastAsia="Arial" w:hAnsi="Arial"/>
                <w:sz w:val="18"/>
                <w:szCs w:val="18"/>
                <w:color w:val="auto"/>
              </w:rPr>
              <w:t>forma and pro forma as adjusted</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5140" w:type="dxa"/>
            <w:vAlign w:val="bottom"/>
          </w:tcPr>
          <w:p>
            <w:pPr>
              <w:jc w:val="right"/>
              <w:ind w:right="750"/>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As of March 31, 2021</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jc w:val="center"/>
              <w:ind w:right="9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r>
      <w:tr>
        <w:trPr>
          <w:trHeight w:val="178"/>
        </w:trPr>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Actual</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r>
      <w:tr>
        <w:trPr>
          <w:trHeight w:val="148"/>
        </w:trPr>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ind w:left="520"/>
              <w:spacing w:after="0" w:line="149" w:lineRule="exact"/>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77"/>
              </w:rPr>
              <w:t>except share</w:t>
            </w:r>
          </w:p>
        </w:tc>
        <w:tc>
          <w:tcPr>
            <w:tcW w:w="88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w w:val="93"/>
              </w:rPr>
              <w:t>and per share</w:t>
            </w:r>
          </w:p>
        </w:tc>
        <w:tc>
          <w:tcPr>
            <w:tcW w:w="1040" w:type="dxa"/>
            <w:vAlign w:val="bottom"/>
            <w:tcBorders>
              <w:top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data)</w:t>
            </w:r>
          </w:p>
        </w:tc>
        <w:tc>
          <w:tcPr>
            <w:tcW w:w="60" w:type="dxa"/>
            <w:vAlign w:val="bottom"/>
          </w:tcPr>
          <w:p>
            <w:pPr>
              <w:spacing w:after="0"/>
              <w:rPr>
                <w:sz w:val="12"/>
                <w:szCs w:val="12"/>
                <w:color w:val="auto"/>
              </w:rPr>
            </w:pPr>
          </w:p>
        </w:tc>
      </w:tr>
      <w:tr>
        <w:trPr>
          <w:trHeight w:val="202"/>
        </w:trPr>
        <w:tc>
          <w:tcPr>
            <w:tcW w:w="280" w:type="dxa"/>
            <w:vAlign w:val="bottom"/>
            <w:shd w:val="clear" w:color="auto" w:fill="CCEEFF"/>
          </w:tcPr>
          <w:p>
            <w:pPr>
              <w:spacing w:after="0"/>
              <w:rPr>
                <w:sz w:val="17"/>
                <w:szCs w:val="17"/>
                <w:color w:val="auto"/>
              </w:rPr>
            </w:pPr>
          </w:p>
        </w:tc>
        <w:tc>
          <w:tcPr>
            <w:tcW w:w="6240" w:type="dxa"/>
            <w:vAlign w:val="bottom"/>
            <w:gridSpan w:val="5"/>
            <w:shd w:val="clear" w:color="auto" w:fill="CCEEFF"/>
          </w:tcPr>
          <w:p>
            <w:pPr>
              <w:ind w:left="80"/>
              <w:spacing w:after="0" w:line="201" w:lineRule="exact"/>
              <w:rPr>
                <w:sz w:val="20"/>
                <w:szCs w:val="20"/>
                <w:color w:val="auto"/>
              </w:rPr>
            </w:pPr>
            <w:r>
              <w:rPr>
                <w:rFonts w:ascii="Arial" w:cs="Arial" w:eastAsia="Arial" w:hAnsi="Arial"/>
                <w:sz w:val="18"/>
                <w:szCs w:val="18"/>
                <w:color w:val="auto"/>
              </w:rPr>
              <w:t>Common stock, $0.0001 par value; 50,500,000 shares authorized, 624,635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6"/>
              </w:rPr>
              <w:t>shares issued and outstanding, actual;</w:t>
            </w:r>
          </w:p>
        </w:tc>
        <w:tc>
          <w:tcPr>
            <w:tcW w:w="16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shares authorized,</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shares</w:t>
            </w:r>
          </w:p>
        </w:tc>
        <w:tc>
          <w:tcPr>
            <w:tcW w:w="3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issued and outstanding, pro forma;</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shares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80" w:type="dxa"/>
            <w:vAlign w:val="bottom"/>
            <w:shd w:val="clear" w:color="auto" w:fill="CCEEFF"/>
          </w:tcPr>
          <w:p>
            <w:pPr>
              <w:spacing w:after="0"/>
              <w:rPr>
                <w:sz w:val="20"/>
                <w:szCs w:val="20"/>
                <w:color w:val="auto"/>
              </w:rPr>
            </w:pPr>
          </w:p>
        </w:tc>
        <w:tc>
          <w:tcPr>
            <w:tcW w:w="1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authorized,</w:t>
            </w:r>
          </w:p>
        </w:tc>
        <w:tc>
          <w:tcPr>
            <w:tcW w:w="48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shares issued and outstanding, pro forma as adjusted</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3260" w:type="dxa"/>
            <w:vAlign w:val="bottom"/>
            <w:gridSpan w:val="2"/>
          </w:tcPr>
          <w:p>
            <w:pPr>
              <w:ind w:left="80"/>
              <w:spacing w:after="0"/>
              <w:rPr>
                <w:sz w:val="20"/>
                <w:szCs w:val="20"/>
                <w:color w:val="auto"/>
              </w:rPr>
            </w:pPr>
            <w:r>
              <w:rPr>
                <w:rFonts w:ascii="Arial" w:cs="Arial" w:eastAsia="Arial" w:hAnsi="Arial"/>
                <w:sz w:val="18"/>
                <w:szCs w:val="18"/>
                <w:color w:val="auto"/>
              </w:rPr>
              <w:t>Additional paid-in capital</w:t>
            </w: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8,500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Accumulated (deficit) equity</w:t>
            </w:r>
          </w:p>
        </w:tc>
        <w:tc>
          <w:tcPr>
            <w:tcW w:w="1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(53,962)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Total stockholders’ (deficit) equity</w:t>
            </w:r>
          </w:p>
        </w:tc>
        <w:tc>
          <w:tcPr>
            <w:tcW w:w="1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(45,462)</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39,821</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62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7"/>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6240" w:type="dxa"/>
            <w:vAlign w:val="bottom"/>
            <w:gridSpan w:val="5"/>
          </w:tcPr>
          <w:p>
            <w:pPr>
              <w:ind w:left="260"/>
              <w:spacing w:after="0"/>
              <w:rPr>
                <w:sz w:val="20"/>
                <w:szCs w:val="20"/>
                <w:color w:val="auto"/>
              </w:rPr>
            </w:pPr>
            <w:r>
              <w:rPr>
                <w:rFonts w:ascii="Arial" w:cs="Arial" w:eastAsia="Arial" w:hAnsi="Arial"/>
                <w:sz w:val="18"/>
                <w:szCs w:val="18"/>
                <w:color w:val="auto"/>
                <w:w w:val="93"/>
              </w:rPr>
              <w:t>Each $1.00 increase or decrease) in the assumed initial public offering price of $</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gridSpan w:val="10"/>
          </w:tcPr>
          <w:p>
            <w:pPr>
              <w:ind w:left="60"/>
              <w:spacing w:after="0"/>
              <w:rPr>
                <w:sz w:val="20"/>
                <w:szCs w:val="20"/>
                <w:color w:val="auto"/>
              </w:rPr>
            </w:pPr>
            <w:r>
              <w:rPr>
                <w:rFonts w:ascii="Arial" w:cs="Arial" w:eastAsia="Arial" w:hAnsi="Arial"/>
                <w:sz w:val="18"/>
                <w:szCs w:val="18"/>
                <w:color w:val="auto"/>
                <w:w w:val="95"/>
              </w:rPr>
              <w:t>per share, which is the midpoint of the price range set</w:t>
            </w:r>
          </w:p>
        </w:tc>
      </w:tr>
      <w:tr>
        <w:trPr>
          <w:trHeight w:val="216"/>
        </w:trPr>
        <w:tc>
          <w:tcPr>
            <w:tcW w:w="280" w:type="dxa"/>
            <w:vAlign w:val="bottom"/>
          </w:tcPr>
          <w:p>
            <w:pPr>
              <w:spacing w:after="0"/>
              <w:rPr>
                <w:sz w:val="18"/>
                <w:szCs w:val="18"/>
                <w:color w:val="auto"/>
              </w:rPr>
            </w:pPr>
          </w:p>
        </w:tc>
        <w:tc>
          <w:tcPr>
            <w:tcW w:w="10740" w:type="dxa"/>
            <w:vAlign w:val="bottom"/>
            <w:gridSpan w:val="17"/>
          </w:tcPr>
          <w:p>
            <w:pPr>
              <w:ind w:left="260"/>
              <w:spacing w:after="0"/>
              <w:rPr>
                <w:sz w:val="20"/>
                <w:szCs w:val="20"/>
                <w:color w:val="auto"/>
              </w:rPr>
            </w:pPr>
            <w:r>
              <w:rPr>
                <w:rFonts w:ascii="Arial" w:cs="Arial" w:eastAsia="Arial" w:hAnsi="Arial"/>
                <w:sz w:val="18"/>
                <w:szCs w:val="18"/>
                <w:color w:val="auto"/>
                <w:w w:val="91"/>
              </w:rPr>
              <w:t>forth on the cover page of this prospectus, would increase or decrease the pro forma as adjusted amount of each of cash and cash equivalents,</w:t>
            </w:r>
          </w:p>
        </w:tc>
      </w:tr>
      <w:tr>
        <w:trPr>
          <w:trHeight w:val="216"/>
        </w:trPr>
        <w:tc>
          <w:tcPr>
            <w:tcW w:w="280" w:type="dxa"/>
            <w:vAlign w:val="bottom"/>
          </w:tcPr>
          <w:p>
            <w:pPr>
              <w:spacing w:after="0"/>
              <w:rPr>
                <w:sz w:val="18"/>
                <w:szCs w:val="18"/>
                <w:color w:val="auto"/>
              </w:rPr>
            </w:pPr>
          </w:p>
        </w:tc>
        <w:tc>
          <w:tcPr>
            <w:tcW w:w="7520" w:type="dxa"/>
            <w:vAlign w:val="bottom"/>
            <w:gridSpan w:val="9"/>
          </w:tcPr>
          <w:p>
            <w:pPr>
              <w:ind w:left="260"/>
              <w:spacing w:after="0"/>
              <w:rPr>
                <w:sz w:val="20"/>
                <w:szCs w:val="20"/>
                <w:color w:val="auto"/>
              </w:rPr>
            </w:pPr>
            <w:r>
              <w:rPr>
                <w:rFonts w:ascii="Arial" w:cs="Arial" w:eastAsia="Arial" w:hAnsi="Arial"/>
                <w:sz w:val="18"/>
                <w:szCs w:val="18"/>
                <w:color w:val="auto"/>
                <w:w w:val="97"/>
              </w:rPr>
              <w:t>additional paid-in capital, total stockholders’ equity and total capitalization by approximately $</w:t>
            </w:r>
          </w:p>
        </w:tc>
        <w:tc>
          <w:tcPr>
            <w:tcW w:w="3220" w:type="dxa"/>
            <w:vAlign w:val="bottom"/>
            <w:gridSpan w:val="8"/>
          </w:tcPr>
          <w:p>
            <w:pPr>
              <w:ind w:left="160"/>
              <w:spacing w:after="0"/>
              <w:rPr>
                <w:sz w:val="20"/>
                <w:szCs w:val="20"/>
                <w:color w:val="auto"/>
              </w:rPr>
            </w:pPr>
            <w:r>
              <w:rPr>
                <w:rFonts w:ascii="Arial" w:cs="Arial" w:eastAsia="Arial" w:hAnsi="Arial"/>
                <w:sz w:val="18"/>
                <w:szCs w:val="18"/>
                <w:color w:val="auto"/>
              </w:rPr>
              <w:t>million, assuming that the number of</w:t>
            </w:r>
          </w:p>
        </w:tc>
      </w:tr>
      <w:tr>
        <w:trPr>
          <w:trHeight w:val="216"/>
        </w:trPr>
        <w:tc>
          <w:tcPr>
            <w:tcW w:w="280" w:type="dxa"/>
            <w:vAlign w:val="bottom"/>
          </w:tcPr>
          <w:p>
            <w:pPr>
              <w:spacing w:after="0"/>
              <w:rPr>
                <w:sz w:val="18"/>
                <w:szCs w:val="18"/>
                <w:color w:val="auto"/>
              </w:rPr>
            </w:pPr>
          </w:p>
        </w:tc>
        <w:tc>
          <w:tcPr>
            <w:tcW w:w="10740" w:type="dxa"/>
            <w:vAlign w:val="bottom"/>
            <w:gridSpan w:val="17"/>
          </w:tcPr>
          <w:p>
            <w:pPr>
              <w:ind w:left="260"/>
              <w:spacing w:after="0"/>
              <w:rPr>
                <w:sz w:val="20"/>
                <w:szCs w:val="20"/>
                <w:color w:val="auto"/>
              </w:rPr>
            </w:pPr>
            <w:r>
              <w:rPr>
                <w:rFonts w:ascii="Arial" w:cs="Arial" w:eastAsia="Arial" w:hAnsi="Arial"/>
                <w:sz w:val="18"/>
                <w:szCs w:val="18"/>
                <w:color w:val="auto"/>
                <w:w w:val="89"/>
              </w:rPr>
              <w:t>shares offered by us, as set forth on the cover page of this prospectus, remains the same and after deducting estimated underwriting discounts and</w:t>
            </w:r>
          </w:p>
        </w:tc>
      </w:tr>
      <w:tr>
        <w:trPr>
          <w:trHeight w:val="216"/>
        </w:trPr>
        <w:tc>
          <w:tcPr>
            <w:tcW w:w="280" w:type="dxa"/>
            <w:vAlign w:val="bottom"/>
          </w:tcPr>
          <w:p>
            <w:pPr>
              <w:spacing w:after="0"/>
              <w:rPr>
                <w:sz w:val="18"/>
                <w:szCs w:val="18"/>
                <w:color w:val="auto"/>
              </w:rPr>
            </w:pPr>
          </w:p>
        </w:tc>
        <w:tc>
          <w:tcPr>
            <w:tcW w:w="10740" w:type="dxa"/>
            <w:vAlign w:val="bottom"/>
            <w:gridSpan w:val="17"/>
          </w:tcPr>
          <w:p>
            <w:pPr>
              <w:ind w:left="260"/>
              <w:spacing w:after="0"/>
              <w:rPr>
                <w:sz w:val="20"/>
                <w:szCs w:val="20"/>
                <w:color w:val="auto"/>
              </w:rPr>
            </w:pPr>
            <w:r>
              <w:rPr>
                <w:rFonts w:ascii="Arial" w:cs="Arial" w:eastAsia="Arial" w:hAnsi="Arial"/>
                <w:sz w:val="18"/>
                <w:szCs w:val="18"/>
                <w:color w:val="auto"/>
                <w:w w:val="91"/>
              </w:rPr>
              <w:t>commissions and estimated offering expenses payable by us. Similarly, each increase or decrease of 1.0 million shares in the number of shares</w:t>
            </w:r>
          </w:p>
        </w:tc>
      </w:tr>
      <w:tr>
        <w:trPr>
          <w:trHeight w:val="216"/>
        </w:trPr>
        <w:tc>
          <w:tcPr>
            <w:tcW w:w="280" w:type="dxa"/>
            <w:vAlign w:val="bottom"/>
          </w:tcPr>
          <w:p>
            <w:pPr>
              <w:spacing w:after="0"/>
              <w:rPr>
                <w:sz w:val="18"/>
                <w:szCs w:val="18"/>
                <w:color w:val="auto"/>
              </w:rPr>
            </w:pPr>
          </w:p>
        </w:tc>
        <w:tc>
          <w:tcPr>
            <w:tcW w:w="5380" w:type="dxa"/>
            <w:vAlign w:val="bottom"/>
            <w:gridSpan w:val="4"/>
          </w:tcPr>
          <w:p>
            <w:pPr>
              <w:ind w:left="260"/>
              <w:spacing w:after="0"/>
              <w:rPr>
                <w:sz w:val="20"/>
                <w:szCs w:val="20"/>
                <w:color w:val="auto"/>
              </w:rPr>
            </w:pPr>
            <w:r>
              <w:rPr>
                <w:rFonts w:ascii="Arial" w:cs="Arial" w:eastAsia="Arial" w:hAnsi="Arial"/>
                <w:sz w:val="18"/>
                <w:szCs w:val="18"/>
                <w:color w:val="auto"/>
                <w:w w:val="91"/>
              </w:rPr>
              <w:t>offered by us at the assumed initial public offering price per share of $</w:t>
            </w:r>
          </w:p>
        </w:tc>
        <w:tc>
          <w:tcPr>
            <w:tcW w:w="5360" w:type="dxa"/>
            <w:vAlign w:val="bottom"/>
            <w:gridSpan w:val="13"/>
          </w:tcPr>
          <w:p>
            <w:pPr>
              <w:ind w:left="480"/>
              <w:spacing w:after="0"/>
              <w:rPr>
                <w:sz w:val="20"/>
                <w:szCs w:val="20"/>
                <w:color w:val="auto"/>
              </w:rPr>
            </w:pPr>
            <w:r>
              <w:rPr>
                <w:rFonts w:ascii="Arial" w:cs="Arial" w:eastAsia="Arial" w:hAnsi="Arial"/>
                <w:sz w:val="18"/>
                <w:szCs w:val="18"/>
                <w:color w:val="auto"/>
                <w:w w:val="92"/>
              </w:rPr>
              <w:t>per share, which is the midpoint of the price range set forth on the</w:t>
            </w:r>
          </w:p>
        </w:tc>
      </w:tr>
      <w:tr>
        <w:trPr>
          <w:trHeight w:val="216"/>
        </w:trPr>
        <w:tc>
          <w:tcPr>
            <w:tcW w:w="280" w:type="dxa"/>
            <w:vAlign w:val="bottom"/>
          </w:tcPr>
          <w:p>
            <w:pPr>
              <w:spacing w:after="0"/>
              <w:rPr>
                <w:sz w:val="18"/>
                <w:szCs w:val="18"/>
                <w:color w:val="auto"/>
              </w:rPr>
            </w:pPr>
          </w:p>
        </w:tc>
        <w:tc>
          <w:tcPr>
            <w:tcW w:w="10740" w:type="dxa"/>
            <w:vAlign w:val="bottom"/>
            <w:gridSpan w:val="17"/>
          </w:tcPr>
          <w:p>
            <w:pPr>
              <w:ind w:left="260"/>
              <w:spacing w:after="0"/>
              <w:rPr>
                <w:sz w:val="20"/>
                <w:szCs w:val="20"/>
                <w:color w:val="auto"/>
              </w:rPr>
            </w:pPr>
            <w:r>
              <w:rPr>
                <w:rFonts w:ascii="Arial" w:cs="Arial" w:eastAsia="Arial" w:hAnsi="Arial"/>
                <w:sz w:val="18"/>
                <w:szCs w:val="18"/>
                <w:color w:val="auto"/>
                <w:w w:val="98"/>
              </w:rPr>
              <w:t>cover page of this prospectus, would increase or decrease the pro forma as adjusted amount of each of additional paid-in capital, total</w:t>
            </w:r>
          </w:p>
        </w:tc>
      </w:tr>
      <w:tr>
        <w:trPr>
          <w:trHeight w:val="216"/>
        </w:trPr>
        <w:tc>
          <w:tcPr>
            <w:tcW w:w="280" w:type="dxa"/>
            <w:vAlign w:val="bottom"/>
          </w:tcPr>
          <w:p>
            <w:pPr>
              <w:spacing w:after="0"/>
              <w:rPr>
                <w:sz w:val="18"/>
                <w:szCs w:val="18"/>
                <w:color w:val="auto"/>
              </w:rPr>
            </w:pPr>
          </w:p>
        </w:tc>
        <w:tc>
          <w:tcPr>
            <w:tcW w:w="4880" w:type="dxa"/>
            <w:vAlign w:val="bottom"/>
            <w:gridSpan w:val="3"/>
          </w:tcPr>
          <w:p>
            <w:pPr>
              <w:ind w:left="260"/>
              <w:spacing w:after="0"/>
              <w:rPr>
                <w:sz w:val="20"/>
                <w:szCs w:val="20"/>
                <w:color w:val="auto"/>
              </w:rPr>
            </w:pPr>
            <w:r>
              <w:rPr>
                <w:rFonts w:ascii="Arial" w:cs="Arial" w:eastAsia="Arial" w:hAnsi="Arial"/>
                <w:sz w:val="18"/>
                <w:szCs w:val="18"/>
                <w:color w:val="auto"/>
                <w:w w:val="92"/>
              </w:rPr>
              <w:t>stockholders’ deficit and total capitalization by approximately $</w:t>
            </w:r>
          </w:p>
        </w:tc>
        <w:tc>
          <w:tcPr>
            <w:tcW w:w="500" w:type="dxa"/>
            <w:vAlign w:val="bottom"/>
          </w:tcPr>
          <w:p>
            <w:pPr>
              <w:spacing w:after="0"/>
              <w:rPr>
                <w:sz w:val="18"/>
                <w:szCs w:val="18"/>
                <w:color w:val="auto"/>
              </w:rPr>
            </w:pPr>
          </w:p>
        </w:tc>
        <w:tc>
          <w:tcPr>
            <w:tcW w:w="5360" w:type="dxa"/>
            <w:vAlign w:val="bottom"/>
            <w:gridSpan w:val="13"/>
          </w:tcPr>
          <w:p>
            <w:pPr>
              <w:ind w:left="20"/>
              <w:spacing w:after="0"/>
              <w:rPr>
                <w:sz w:val="20"/>
                <w:szCs w:val="20"/>
                <w:color w:val="auto"/>
              </w:rPr>
            </w:pPr>
            <w:r>
              <w:rPr>
                <w:rFonts w:ascii="Arial" w:cs="Arial" w:eastAsia="Arial" w:hAnsi="Arial"/>
                <w:sz w:val="18"/>
                <w:szCs w:val="18"/>
                <w:color w:val="auto"/>
                <w:w w:val="94"/>
              </w:rPr>
              <w:t>million, assuming no change in the assumed initial public offering price</w:t>
            </w:r>
          </w:p>
        </w:tc>
      </w:tr>
      <w:tr>
        <w:trPr>
          <w:trHeight w:val="230"/>
        </w:trPr>
        <w:tc>
          <w:tcPr>
            <w:tcW w:w="280" w:type="dxa"/>
            <w:vAlign w:val="bottom"/>
          </w:tcPr>
          <w:p>
            <w:pPr>
              <w:spacing w:after="0"/>
              <w:rPr>
                <w:sz w:val="20"/>
                <w:szCs w:val="20"/>
                <w:color w:val="auto"/>
              </w:rPr>
            </w:pPr>
          </w:p>
        </w:tc>
        <w:tc>
          <w:tcPr>
            <w:tcW w:w="10740" w:type="dxa"/>
            <w:vAlign w:val="bottom"/>
            <w:gridSpan w:val="17"/>
          </w:tcPr>
          <w:p>
            <w:pPr>
              <w:ind w:left="260"/>
              <w:spacing w:after="0"/>
              <w:rPr>
                <w:sz w:val="20"/>
                <w:szCs w:val="20"/>
                <w:color w:val="auto"/>
              </w:rPr>
            </w:pPr>
            <w:r>
              <w:rPr>
                <w:rFonts w:ascii="Arial" w:cs="Arial" w:eastAsia="Arial" w:hAnsi="Arial"/>
                <w:sz w:val="18"/>
                <w:szCs w:val="18"/>
                <w:color w:val="auto"/>
              </w:rPr>
              <w:t>per share and after deducting estimated underwriting discounts and commissions, and estimated offering expenses payable by us.</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shares of our common stock outstanding in the table above excludes:</w:t>
      </w:r>
    </w:p>
    <w:p>
      <w:pPr>
        <w:spacing w:after="0" w:line="252" w:lineRule="exact"/>
        <w:rPr>
          <w:sz w:val="20"/>
          <w:szCs w:val="20"/>
          <w:color w:val="auto"/>
        </w:rPr>
      </w:pPr>
    </w:p>
    <w:p>
      <w:pPr>
        <w:ind w:left="1420" w:right="100" w:hanging="319"/>
        <w:spacing w:after="0" w:line="277"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5,187,014 shares of our common stock issuable upon the exercise of options under the Prior Plan outstanding as of March 31, 2021 at a weighted-average exercise price of $0.79 per share;</w:t>
      </w:r>
    </w:p>
    <w:p>
      <w:pPr>
        <w:spacing w:after="0" w:line="197"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574,760 shares of our common stock issuable upon the exercise of common stock warrants outstanding as of March 31, 2021 at an exercise price of $3.00;</w:t>
      </w:r>
    </w:p>
    <w:p>
      <w:pPr>
        <w:spacing w:after="0" w:line="197" w:lineRule="exact"/>
        <w:rPr>
          <w:rFonts w:ascii="Arial" w:cs="Arial" w:eastAsia="Arial" w:hAnsi="Arial"/>
          <w:sz w:val="18"/>
          <w:szCs w:val="18"/>
          <w:color w:val="auto"/>
        </w:rPr>
      </w:pPr>
    </w:p>
    <w:p>
      <w:pPr>
        <w:ind w:left="1420" w:right="280" w:hanging="319"/>
        <w:spacing w:after="0" w:line="342" w:lineRule="auto"/>
        <w:tabs>
          <w:tab w:leader="none" w:pos="14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993,875 shares of our common stock reserved for future issuance under the Prior Plan, which shares will cease to be available for issuance at the time the 2021 Plan becomes effective and will be added to, and become available for issuance under, the 2021 Plan;</w:t>
      </w:r>
    </w:p>
    <w:p>
      <w:pPr>
        <w:spacing w:after="0" w:line="150" w:lineRule="exact"/>
        <w:rPr>
          <w:rFonts w:ascii="Arial" w:cs="Arial" w:eastAsia="Arial" w:hAnsi="Arial"/>
          <w:sz w:val="16"/>
          <w:szCs w:val="16"/>
          <w:color w:val="auto"/>
        </w:rPr>
      </w:pPr>
    </w:p>
    <w:p>
      <w:pPr>
        <w:jc w:val="both"/>
        <w:ind w:left="1420" w:right="40" w:hanging="319"/>
        <w:spacing w:after="0" w:line="263" w:lineRule="auto"/>
        <w:tabs>
          <w:tab w:leader="none" w:pos="20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2021 Plan, which will become effective in connection with this offering, as well as any automatic increases in the number of shares of common stock reserved for future issuance under the 2021 Plan; and</w:t>
      </w:r>
    </w:p>
    <w:p>
      <w:pPr>
        <w:spacing w:after="0" w:line="210" w:lineRule="exact"/>
        <w:rPr>
          <w:rFonts w:ascii="Arial" w:cs="Arial" w:eastAsia="Arial" w:hAnsi="Arial"/>
          <w:sz w:val="18"/>
          <w:szCs w:val="18"/>
          <w:color w:val="auto"/>
        </w:rPr>
      </w:pPr>
    </w:p>
    <w:p>
      <w:pPr>
        <w:ind w:left="1420" w:right="80" w:hanging="319"/>
        <w:spacing w:after="0" w:line="342" w:lineRule="auto"/>
        <w:tabs>
          <w:tab w:leader="none" w:pos="2005" w:val="left"/>
        </w:tabs>
        <w:numPr>
          <w:ilvl w:val="0"/>
          <w:numId w:val="62"/>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the ESPP, which will become effective in connection with this offering, as well as any automatic increases in the number of shares of common stock reserved for future issuance under the ESPP.</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right="580" w:firstLine="881"/>
        <w:spacing w:after="0" w:line="263"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84" w:lineRule="exact"/>
        <w:rPr>
          <w:sz w:val="20"/>
          <w:szCs w:val="20"/>
          <w:color w:val="auto"/>
        </w:rPr>
      </w:pPr>
    </w:p>
    <w:p>
      <w:pPr>
        <w:ind w:left="120" w:right="160" w:firstLine="881"/>
        <w:spacing w:after="0" w:line="311" w:lineRule="auto"/>
        <w:rPr>
          <w:sz w:val="20"/>
          <w:szCs w:val="20"/>
          <w:color w:val="auto"/>
        </w:rPr>
      </w:pPr>
      <w:r>
        <w:rPr>
          <w:rFonts w:ascii="Arial" w:cs="Arial" w:eastAsia="Arial" w:hAnsi="Arial"/>
          <w:sz w:val="16"/>
          <w:szCs w:val="16"/>
          <w:color w:val="auto"/>
        </w:rPr>
        <w:t>As of March 31, 2021, we had a historical net tangible book value (deficit) of $(45.5) million, or $(72.78) per share of common stock. Our historical net tangible book value (deficit) per share represents total tangible assets less total liabilities and convertible preferred stock, which is not included within our stockholders’ equity (deficit), divided by the number of shares of our common stock outstanding as of March 31, 2021.</w:t>
      </w:r>
    </w:p>
    <w:p>
      <w:pPr>
        <w:spacing w:after="0" w:line="149" w:lineRule="exact"/>
        <w:rPr>
          <w:sz w:val="20"/>
          <w:szCs w:val="20"/>
          <w:color w:val="auto"/>
        </w:rPr>
      </w:pPr>
    </w:p>
    <w:p>
      <w:pPr>
        <w:ind w:left="120" w:right="220" w:firstLine="881"/>
        <w:spacing w:after="0" w:line="274" w:lineRule="auto"/>
        <w:rPr>
          <w:sz w:val="20"/>
          <w:szCs w:val="20"/>
          <w:color w:val="auto"/>
        </w:rPr>
      </w:pPr>
      <w:r>
        <w:rPr>
          <w:rFonts w:ascii="Arial" w:cs="Arial" w:eastAsia="Arial" w:hAnsi="Arial"/>
          <w:sz w:val="17"/>
          <w:szCs w:val="17"/>
          <w:color w:val="auto"/>
        </w:rPr>
        <w:t>Our pro forma net tangible book value as of March 31, 2021 was $ million, or $ per share of our common stock. Pro forma net tangible book value represents the amount of our total tangible assets less our total liabilities, after giving effect to the conversion of all of the</w:t>
      </w:r>
    </w:p>
    <w:p>
      <w:pPr>
        <w:ind w:left="120" w:right="80"/>
        <w:spacing w:after="0" w:line="265" w:lineRule="auto"/>
        <w:rPr>
          <w:sz w:val="20"/>
          <w:szCs w:val="20"/>
          <w:color w:val="auto"/>
        </w:rPr>
      </w:pPr>
      <w:r>
        <w:rPr>
          <w:rFonts w:ascii="Arial" w:cs="Arial" w:eastAsia="Arial" w:hAnsi="Arial"/>
          <w:sz w:val="17"/>
          <w:szCs w:val="17"/>
          <w:color w:val="auto"/>
        </w:rPr>
        <w:t>outstanding preferred shares of our convertible preferred stock into an aggregate of shares of our common stock upon the closing of this offering, as well as the automatic exercise and conversion of an outstanding preferred stock warrant into shares of our common stock (based on assumed initial public offering price of $ per share, which is the midpoint of the price range set forth on the cover page of this prospectus), as if such</w:t>
      </w:r>
    </w:p>
    <w:p>
      <w:pPr>
        <w:ind w:left="120" w:right="200"/>
        <w:spacing w:after="0" w:line="290" w:lineRule="auto"/>
        <w:rPr>
          <w:sz w:val="20"/>
          <w:szCs w:val="20"/>
          <w:color w:val="auto"/>
        </w:rPr>
      </w:pPr>
      <w:r>
        <w:rPr>
          <w:rFonts w:ascii="Arial" w:cs="Arial" w:eastAsia="Arial" w:hAnsi="Arial"/>
          <w:sz w:val="17"/>
          <w:szCs w:val="17"/>
          <w:color w:val="auto"/>
        </w:rPr>
        <w:t>conversions had occurred on March 31, 2021. Pro forma net tangible book value per share represents pro forma net tangible book value divided by the total number of shares outstanding as of March 31, 2021, after giving effect to the pro forma adjustment described above.</w:t>
      </w:r>
    </w:p>
    <w:p>
      <w:pPr>
        <w:spacing w:after="0" w:line="161" w:lineRule="exact"/>
        <w:rPr>
          <w:sz w:val="20"/>
          <w:szCs w:val="20"/>
          <w:color w:val="auto"/>
        </w:rPr>
      </w:pPr>
    </w:p>
    <w:p>
      <w:pPr>
        <w:ind w:left="1000"/>
        <w:spacing w:after="0"/>
        <w:tabs>
          <w:tab w:leader="none" w:pos="4440" w:val="left"/>
        </w:tabs>
        <w:rPr>
          <w:sz w:val="20"/>
          <w:szCs w:val="20"/>
          <w:color w:val="auto"/>
        </w:rPr>
      </w:pPr>
      <w:r>
        <w:rPr>
          <w:rFonts w:ascii="Arial" w:cs="Arial" w:eastAsia="Arial" w:hAnsi="Arial"/>
          <w:sz w:val="18"/>
          <w:szCs w:val="18"/>
          <w:color w:val="auto"/>
        </w:rPr>
        <w:t>After giving further effect to the sale of</w:t>
      </w:r>
      <w:r>
        <w:rPr>
          <w:sz w:val="20"/>
          <w:szCs w:val="20"/>
          <w:color w:val="auto"/>
        </w:rPr>
        <w:tab/>
      </w:r>
      <w:r>
        <w:rPr>
          <w:rFonts w:ascii="Arial" w:cs="Arial" w:eastAsia="Arial" w:hAnsi="Arial"/>
          <w:sz w:val="16"/>
          <w:szCs w:val="16"/>
          <w:color w:val="auto"/>
        </w:rPr>
        <w:t>shares of common stock in this offering at an assumed initial public offering price of</w:t>
      </w:r>
    </w:p>
    <w:p>
      <w:pPr>
        <w:spacing w:after="0" w:line="23" w:lineRule="exact"/>
        <w:rPr>
          <w:sz w:val="20"/>
          <w:szCs w:val="20"/>
          <w:color w:val="auto"/>
        </w:rPr>
      </w:pPr>
    </w:p>
    <w:p>
      <w:pPr>
        <w:ind w:left="800" w:hanging="684"/>
        <w:spacing w:after="0"/>
        <w:tabs>
          <w:tab w:leader="none" w:pos="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per share, which is the midpoint of the price range set forth on the cover page of this prospectus, and after deducting the estimated</w:t>
      </w:r>
    </w:p>
    <w:p>
      <w:pPr>
        <w:spacing w:after="0" w:line="20"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7"/>
          <w:szCs w:val="17"/>
          <w:color w:val="auto"/>
        </w:rPr>
        <w:t>underwriting discounts and commissions and estimated offering expenses payable by us, our pro forma as adjusted net tangible book value as of</w:t>
      </w:r>
    </w:p>
    <w:p>
      <w:pPr>
        <w:spacing w:after="0" w:line="222"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color w:val="auto"/>
        </w:rPr>
        <w:t>March 31, 2021 would have been $ million, or $ per share. This amount represents an immediate increase in pro forma net tangible book value of $ per share to our existing stockholders and immediate dilution of $ per share to new investors in this offering. We determine</w:t>
      </w:r>
    </w:p>
    <w:p>
      <w:pPr>
        <w:spacing w:after="0" w:line="1"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dilution by subtracting the pro forma as adjusted net tangible book value per share after this offering from the amount of cash that a new investor paid for a share of common stock in this offering.</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880" w:type="dxa"/>
            <w:vAlign w:val="bottom"/>
          </w:tcPr>
          <w:p>
            <w:pPr>
              <w:ind w:left="880"/>
              <w:spacing w:after="0"/>
              <w:rPr>
                <w:sz w:val="20"/>
                <w:szCs w:val="20"/>
                <w:color w:val="auto"/>
              </w:rPr>
            </w:pPr>
            <w:r>
              <w:rPr>
                <w:rFonts w:ascii="Arial" w:cs="Arial" w:eastAsia="Arial" w:hAnsi="Arial"/>
                <w:sz w:val="18"/>
                <w:szCs w:val="18"/>
                <w:color w:val="auto"/>
              </w:rPr>
              <w:t>The following table illustrates this dilution:</w:t>
            </w: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8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080" w:type="dxa"/>
            <w:vAlign w:val="bottom"/>
            <w:gridSpan w:val="4"/>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8880" w:type="dxa"/>
            <w:vAlign w:val="bottom"/>
          </w:tcPr>
          <w:p>
            <w:pPr>
              <w:ind w:left="360"/>
              <w:spacing w:after="0"/>
              <w:rPr>
                <w:sz w:val="20"/>
                <w:szCs w:val="20"/>
                <w:color w:val="auto"/>
              </w:rPr>
            </w:pPr>
            <w:r>
              <w:rPr>
                <w:rFonts w:ascii="Arial" w:cs="Arial" w:eastAsia="Arial" w:hAnsi="Arial"/>
                <w:sz w:val="18"/>
                <w:szCs w:val="18"/>
                <w:color w:val="auto"/>
              </w:rPr>
              <w:t>Historical net tangible book value (deficit) per share as of March 31, 2021</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$(72.78)</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102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rPr>
              <w:t>Pro forma increase in net tangible book value (deficit) per share attributable to the pro forma transactions described above</w:t>
            </w:r>
          </w:p>
        </w:tc>
      </w:tr>
      <w:tr>
        <w:trPr>
          <w:trHeight w:val="223"/>
        </w:trPr>
        <w:tc>
          <w:tcPr>
            <w:tcW w:w="888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March 31, 2021</w:t>
            </w:r>
          </w:p>
        </w:tc>
        <w:tc>
          <w:tcPr>
            <w:tcW w:w="5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2"/>
        </w:trPr>
        <w:tc>
          <w:tcPr>
            <w:tcW w:w="8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Increase in pro forma as adjusted net tangible book value per share attributable to new investors participating in this</w:t>
            </w: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8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offering</w:t>
            </w:r>
          </w:p>
        </w:tc>
        <w:tc>
          <w:tcPr>
            <w:tcW w:w="54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3"/>
        </w:trPr>
        <w:tc>
          <w:tcPr>
            <w:tcW w:w="8880" w:type="dxa"/>
            <w:vAlign w:val="bottom"/>
          </w:tcPr>
          <w:p>
            <w:pPr>
              <w:ind w:left="36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380" w:type="dxa"/>
            <w:vAlign w:val="bottom"/>
            <w:gridSpan w:val="3"/>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0"/>
        </w:trPr>
        <w:tc>
          <w:tcPr>
            <w:tcW w:w="10260" w:type="dxa"/>
            <w:vAlign w:val="bottom"/>
            <w:gridSpan w:val="4"/>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1020" w:type="dxa"/>
            <w:vAlign w:val="bottom"/>
            <w:gridSpan w:val="6"/>
          </w:tcPr>
          <w:p>
            <w:pPr>
              <w:ind w:left="880"/>
              <w:spacing w:after="0"/>
              <w:rPr>
                <w:sz w:val="20"/>
                <w:szCs w:val="20"/>
                <w:color w:val="auto"/>
              </w:rPr>
            </w:pPr>
            <w:r>
              <w:rPr>
                <w:rFonts w:ascii="Arial" w:cs="Arial" w:eastAsia="Arial" w:hAnsi="Arial"/>
                <w:sz w:val="18"/>
                <w:szCs w:val="18"/>
                <w:color w:val="auto"/>
                <w:w w:val="92"/>
              </w:rPr>
              <w:t>The dilution information discussed above is illustrative only and will change based on the actual initial public offering price and other terms</w:t>
            </w:r>
          </w:p>
        </w:tc>
      </w:tr>
      <w:tr>
        <w:trPr>
          <w:trHeight w:val="230"/>
        </w:trPr>
        <w:tc>
          <w:tcPr>
            <w:tcW w:w="8880" w:type="dxa"/>
            <w:vAlign w:val="bottom"/>
          </w:tcPr>
          <w:p>
            <w:pPr>
              <w:spacing w:after="0"/>
              <w:rPr>
                <w:sz w:val="20"/>
                <w:szCs w:val="20"/>
                <w:color w:val="auto"/>
              </w:rPr>
            </w:pPr>
            <w:r>
              <w:rPr>
                <w:rFonts w:ascii="Arial" w:cs="Arial" w:eastAsia="Arial" w:hAnsi="Arial"/>
                <w:sz w:val="18"/>
                <w:szCs w:val="18"/>
                <w:color w:val="auto"/>
                <w:w w:val="95"/>
              </w:rPr>
              <w:t>of this offering determined at pricing. Each $1.00 increase or decrease in the assumed initial public offering price of $</w:t>
            </w:r>
          </w:p>
        </w:tc>
        <w:tc>
          <w:tcPr>
            <w:tcW w:w="2140" w:type="dxa"/>
            <w:vAlign w:val="bottom"/>
            <w:gridSpan w:val="5"/>
          </w:tcPr>
          <w:p>
            <w:pPr>
              <w:ind w:left="180"/>
              <w:spacing w:after="0"/>
              <w:rPr>
                <w:sz w:val="20"/>
                <w:szCs w:val="20"/>
                <w:color w:val="auto"/>
              </w:rPr>
            </w:pPr>
            <w:r>
              <w:rPr>
                <w:rFonts w:ascii="Arial" w:cs="Arial" w:eastAsia="Arial" w:hAnsi="Arial"/>
                <w:sz w:val="18"/>
                <w:szCs w:val="18"/>
                <w:color w:val="auto"/>
              </w:rPr>
              <w:t>per share, which is the</w:t>
            </w:r>
          </w:p>
        </w:tc>
      </w:tr>
    </w:tbl>
    <w:p>
      <w:pPr>
        <w:ind w:left="120"/>
        <w:spacing w:after="0"/>
        <w:rPr>
          <w:sz w:val="20"/>
          <w:szCs w:val="20"/>
          <w:color w:val="auto"/>
        </w:rPr>
      </w:pPr>
      <w:r>
        <w:rPr>
          <w:rFonts w:ascii="Arial" w:cs="Arial" w:eastAsia="Arial" w:hAnsi="Arial"/>
          <w:sz w:val="16"/>
          <w:szCs w:val="16"/>
          <w:color w:val="auto"/>
        </w:rPr>
        <w:t>midpoint of the price range set forth on the cover page of this prospectus, would increase or decrease the pro forma as adjusted net tangible book value</w:t>
      </w:r>
    </w:p>
    <w:p>
      <w:pPr>
        <w:spacing w:after="0" w:line="3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per share after this offering by $ , and dilution in pro forma net tangible book value per share to new investors by $ , assuming that the number of shares offered by us, as set forth on the cover page of this prospectus, remains the same and after deducting estimated underwriting discounts and commissions and</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estimated offering expenses payable by us. An increase of 1.0 million shares in the number of shares we are offering would increase the pro forma as</w:t>
      </w:r>
    </w:p>
    <w:p>
      <w:pPr>
        <w:spacing w:after="0" w:line="46" w:lineRule="exact"/>
        <w:rPr>
          <w:sz w:val="20"/>
          <w:szCs w:val="20"/>
          <w:color w:val="auto"/>
        </w:rPr>
      </w:pPr>
    </w:p>
    <w:p>
      <w:pPr>
        <w:ind w:left="120"/>
        <w:spacing w:after="0"/>
        <w:tabs>
          <w:tab w:leader="none" w:pos="5320" w:val="left"/>
        </w:tabs>
        <w:rPr>
          <w:sz w:val="20"/>
          <w:szCs w:val="20"/>
          <w:color w:val="auto"/>
        </w:rPr>
      </w:pPr>
      <w:r>
        <w:rPr>
          <w:rFonts w:ascii="Arial" w:cs="Arial" w:eastAsia="Arial" w:hAnsi="Arial"/>
          <w:sz w:val="18"/>
          <w:szCs w:val="18"/>
          <w:color w:val="auto"/>
        </w:rPr>
        <w:t>adjusted net tangible book value per share after this offering by $</w:t>
      </w:r>
      <w:r>
        <w:rPr>
          <w:sz w:val="20"/>
          <w:szCs w:val="20"/>
          <w:color w:val="auto"/>
        </w:rPr>
        <w:tab/>
      </w:r>
      <w:r>
        <w:rPr>
          <w:rFonts w:ascii="Arial" w:cs="Arial" w:eastAsia="Arial" w:hAnsi="Arial"/>
          <w:sz w:val="16"/>
          <w:szCs w:val="16"/>
          <w:color w:val="auto"/>
        </w:rPr>
        <w:t>and decrease the dilution per share to new investors participating in this offering</w:t>
      </w:r>
    </w:p>
    <w:p>
      <w:pPr>
        <w:spacing w:after="0" w:line="9" w:lineRule="exact"/>
        <w:rPr>
          <w:sz w:val="20"/>
          <w:szCs w:val="20"/>
          <w:color w:val="auto"/>
        </w:rPr>
      </w:pPr>
    </w:p>
    <w:p>
      <w:pPr>
        <w:ind w:left="120" w:right="260"/>
        <w:spacing w:after="0" w:line="281" w:lineRule="auto"/>
        <w:rPr>
          <w:sz w:val="20"/>
          <w:szCs w:val="20"/>
          <w:color w:val="auto"/>
        </w:rPr>
      </w:pPr>
      <w:r>
        <w:rPr>
          <w:rFonts w:ascii="Arial" w:cs="Arial" w:eastAsia="Arial" w:hAnsi="Arial"/>
          <w:sz w:val="16"/>
          <w:szCs w:val="16"/>
          <w:color w:val="auto"/>
        </w:rPr>
        <w:t>by $ , assuming no change in the assumed initial public offering price per share and after deducting the estimated underwriting discounts and commissions and estimated offering expenses payable by us. A decrease of 1.0 million shares in the number of shares we are offering would decrease</w:t>
      </w:r>
    </w:p>
    <w:p>
      <w:pPr>
        <w:spacing w:after="0" w:line="1" w:lineRule="exact"/>
        <w:rPr>
          <w:sz w:val="20"/>
          <w:szCs w:val="20"/>
          <w:color w:val="auto"/>
        </w:rPr>
      </w:pPr>
    </w:p>
    <w:p>
      <w:pPr>
        <w:ind w:left="120"/>
        <w:spacing w:after="0"/>
        <w:tabs>
          <w:tab w:leader="none" w:pos="6540" w:val="left"/>
        </w:tabs>
        <w:rPr>
          <w:sz w:val="20"/>
          <w:szCs w:val="20"/>
          <w:color w:val="auto"/>
        </w:rPr>
      </w:pPr>
      <w:r>
        <w:rPr>
          <w:rFonts w:ascii="Arial" w:cs="Arial" w:eastAsia="Arial" w:hAnsi="Arial"/>
          <w:sz w:val="18"/>
          <w:szCs w:val="18"/>
          <w:color w:val="auto"/>
        </w:rPr>
        <w:t>the pro forma as adjusted net tangible book value per share after this offering by $</w:t>
      </w:r>
      <w:r>
        <w:rPr>
          <w:sz w:val="20"/>
          <w:szCs w:val="20"/>
          <w:color w:val="auto"/>
        </w:rPr>
        <w:tab/>
      </w:r>
      <w:r>
        <w:rPr>
          <w:rFonts w:ascii="Arial" w:cs="Arial" w:eastAsia="Arial" w:hAnsi="Arial"/>
          <w:sz w:val="16"/>
          <w:szCs w:val="16"/>
          <w:color w:val="auto"/>
        </w:rPr>
        <w:t>and increase the dilution per share to new investors</w:t>
      </w:r>
    </w:p>
    <w:p>
      <w:pPr>
        <w:spacing w:after="0" w:line="9" w:lineRule="exact"/>
        <w:rPr>
          <w:sz w:val="20"/>
          <w:szCs w:val="20"/>
          <w:color w:val="auto"/>
        </w:rPr>
      </w:pPr>
    </w:p>
    <w:p>
      <w:pPr>
        <w:ind w:left="120" w:right="320"/>
        <w:spacing w:after="0" w:line="260" w:lineRule="auto"/>
        <w:rPr>
          <w:sz w:val="20"/>
          <w:szCs w:val="20"/>
          <w:color w:val="auto"/>
        </w:rPr>
      </w:pPr>
      <w:r>
        <w:rPr>
          <w:rFonts w:ascii="Arial" w:cs="Arial" w:eastAsia="Arial" w:hAnsi="Arial"/>
          <w:sz w:val="18"/>
          <w:szCs w:val="18"/>
          <w:color w:val="auto"/>
        </w:rPr>
        <w:t>participating in this offering by $ , assuming no change in the assumed initial public offering price per share and after deducting the estimated underwriting discounts and commissions and estimated offering expenses payable by us.</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If the underwriters exercise their option to purchase additional shares of our common stock in full, the pro forma as adjusted net tangible</w:t>
      </w:r>
    </w:p>
    <w:p>
      <w:pPr>
        <w:spacing w:after="0" w:line="4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book value after this offering would be $ per share, the increase in pro forma net tangible book value would be $ per share and the dilution to new investors would be $ per share, in each case assuming an initial public offering price of $ per share, which is the midpoint of the price range set forth on the cover page of this prospectus.</w:t>
      </w:r>
    </w:p>
    <w:p>
      <w:pPr>
        <w:spacing w:after="0" w:line="190" w:lineRule="exact"/>
        <w:rPr>
          <w:sz w:val="20"/>
          <w:szCs w:val="20"/>
          <w:color w:val="auto"/>
        </w:rPr>
      </w:pPr>
    </w:p>
    <w:p>
      <w:pPr>
        <w:ind w:left="120" w:right="380" w:firstLine="881"/>
        <w:spacing w:after="0" w:line="291" w:lineRule="auto"/>
        <w:rPr>
          <w:sz w:val="20"/>
          <w:szCs w:val="20"/>
          <w:color w:val="auto"/>
        </w:rPr>
      </w:pPr>
      <w:r>
        <w:rPr>
          <w:rFonts w:ascii="Arial" w:cs="Arial" w:eastAsia="Arial" w:hAnsi="Arial"/>
          <w:sz w:val="16"/>
          <w:szCs w:val="16"/>
          <w:color w:val="auto"/>
        </w:rPr>
        <w:t>The following table summarizes, as of March 31, 2021, on the pro forma as adjusted basis described above, the differences between the number of shares purchased from us, the total consideration paid to us in cash and the average price per share that existing stockholders and new</w:t>
      </w:r>
    </w:p>
    <w:p>
      <w:pPr>
        <w:ind w:left="120" w:right="260"/>
        <w:spacing w:after="0" w:line="255" w:lineRule="auto"/>
        <w:rPr>
          <w:sz w:val="20"/>
          <w:szCs w:val="20"/>
          <w:color w:val="auto"/>
        </w:rPr>
      </w:pPr>
      <w:r>
        <w:rPr>
          <w:rFonts w:ascii="Arial" w:cs="Arial" w:eastAsia="Arial" w:hAnsi="Arial"/>
          <w:sz w:val="18"/>
          <w:szCs w:val="18"/>
          <w:color w:val="auto"/>
        </w:rPr>
        <w:t>investors paid for such shares. This calculation is based on an assumed initial public offering price of $ per share, which is the midpoint of the price range set forth on the cover page of this prospectus, before deducting the estimated underwriting discounts and commissions and estimated offering expenses payable by us.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rPr>
              <w:t>Total Shares</w:t>
            </w:r>
          </w:p>
        </w:tc>
        <w:tc>
          <w:tcPr>
            <w:tcW w:w="3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 Consideration</w:t>
            </w:r>
          </w:p>
        </w:tc>
        <w:tc>
          <w:tcPr>
            <w:tcW w:w="18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58"/>
        </w:trPr>
        <w:tc>
          <w:tcPr>
            <w:tcW w:w="6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19"/>
        </w:trPr>
        <w:tc>
          <w:tcPr>
            <w:tcW w:w="6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10"/>
                <w:szCs w:val="10"/>
                <w:color w:val="auto"/>
              </w:rPr>
            </w:pPr>
          </w:p>
        </w:tc>
        <w:tc>
          <w:tcPr>
            <w:tcW w:w="80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85"/>
              </w:rPr>
              <w:t>Percent</w:t>
            </w:r>
          </w:p>
        </w:tc>
        <w:tc>
          <w:tcPr>
            <w:tcW w:w="320" w:type="dxa"/>
            <w:vAlign w:val="bottom"/>
          </w:tcPr>
          <w:p>
            <w:pPr>
              <w:spacing w:after="0"/>
              <w:rPr>
                <w:sz w:val="10"/>
                <w:szCs w:val="10"/>
                <w:color w:val="auto"/>
              </w:rPr>
            </w:pPr>
          </w:p>
        </w:tc>
        <w:tc>
          <w:tcPr>
            <w:tcW w:w="74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Price Per</w:t>
            </w: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New investors</w:t>
            </w:r>
          </w:p>
        </w:tc>
        <w:tc>
          <w:tcPr>
            <w:tcW w:w="3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$ 100%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20" w:type="dxa"/>
            <w:vAlign w:val="bottom"/>
            <w:gridSpan w:val="15"/>
          </w:tcPr>
          <w:p>
            <w:pPr>
              <w:ind w:left="880"/>
              <w:spacing w:after="0"/>
              <w:rPr>
                <w:sz w:val="20"/>
                <w:szCs w:val="20"/>
                <w:color w:val="auto"/>
              </w:rPr>
            </w:pPr>
            <w:r>
              <w:rPr>
                <w:rFonts w:ascii="Arial" w:cs="Arial" w:eastAsia="Arial" w:hAnsi="Arial"/>
                <w:sz w:val="18"/>
                <w:szCs w:val="18"/>
                <w:color w:val="auto"/>
                <w:w w:val="94"/>
              </w:rPr>
              <w:t>The foregoing tables and calculations are based on the number of shares of our common stock outstanding as of March 31, 2021, after</w:t>
            </w:r>
          </w:p>
        </w:tc>
        <w:tc>
          <w:tcPr>
            <w:tcW w:w="0" w:type="dxa"/>
            <w:vAlign w:val="bottom"/>
          </w:tcPr>
          <w:p>
            <w:pPr>
              <w:spacing w:after="0"/>
              <w:rPr>
                <w:sz w:val="1"/>
                <w:szCs w:val="1"/>
                <w:color w:val="auto"/>
              </w:rPr>
            </w:pPr>
          </w:p>
        </w:tc>
      </w:tr>
      <w:tr>
        <w:trPr>
          <w:trHeight w:val="216"/>
        </w:trPr>
        <w:tc>
          <w:tcPr>
            <w:tcW w:w="9320" w:type="dxa"/>
            <w:vAlign w:val="bottom"/>
            <w:gridSpan w:val="10"/>
          </w:tcPr>
          <w:p>
            <w:pPr>
              <w:spacing w:after="0"/>
              <w:rPr>
                <w:sz w:val="20"/>
                <w:szCs w:val="20"/>
                <w:color w:val="auto"/>
              </w:rPr>
            </w:pPr>
            <w:r>
              <w:rPr>
                <w:rFonts w:ascii="Arial" w:cs="Arial" w:eastAsia="Arial" w:hAnsi="Arial"/>
                <w:sz w:val="18"/>
                <w:szCs w:val="18"/>
                <w:color w:val="auto"/>
                <w:w w:val="93"/>
              </w:rPr>
              <w:t>giving effect to the conversion of all of the outstanding preferred shares of our convertible preferred stock into an aggregate of</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Arial" w:cs="Arial" w:eastAsia="Arial" w:hAnsi="Arial"/>
                <w:sz w:val="18"/>
                <w:szCs w:val="18"/>
                <w:color w:val="auto"/>
                <w:w w:val="95"/>
              </w:rPr>
              <w:t>shares of our</w:t>
            </w:r>
          </w:p>
        </w:tc>
        <w:tc>
          <w:tcPr>
            <w:tcW w:w="0" w:type="dxa"/>
            <w:vAlign w:val="bottom"/>
          </w:tcPr>
          <w:p>
            <w:pPr>
              <w:spacing w:after="0"/>
              <w:rPr>
                <w:sz w:val="1"/>
                <w:szCs w:val="1"/>
                <w:color w:val="auto"/>
              </w:rPr>
            </w:pPr>
          </w:p>
        </w:tc>
      </w:tr>
      <w:tr>
        <w:trPr>
          <w:trHeight w:val="216"/>
        </w:trPr>
        <w:tc>
          <w:tcPr>
            <w:tcW w:w="11020" w:type="dxa"/>
            <w:vAlign w:val="bottom"/>
            <w:gridSpan w:val="15"/>
          </w:tcPr>
          <w:p>
            <w:pPr>
              <w:spacing w:after="0"/>
              <w:rPr>
                <w:sz w:val="20"/>
                <w:szCs w:val="20"/>
                <w:color w:val="auto"/>
              </w:rPr>
            </w:pPr>
            <w:r>
              <w:rPr>
                <w:rFonts w:ascii="Arial" w:cs="Arial" w:eastAsia="Arial" w:hAnsi="Arial"/>
                <w:sz w:val="18"/>
                <w:szCs w:val="18"/>
                <w:color w:val="auto"/>
                <w:w w:val="96"/>
              </w:rPr>
              <w:t>common stock upon the closing of this offering, as well as the automatic exercise and conversion of an outstanding preferred stock warrant into</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w w:val="95"/>
              </w:rPr>
              <w:t>shares of our common stock (based on assumed initial public offering price of $</w:t>
            </w:r>
          </w:p>
        </w:tc>
        <w:tc>
          <w:tcPr>
            <w:tcW w:w="5000" w:type="dxa"/>
            <w:vAlign w:val="bottom"/>
            <w:gridSpan w:val="14"/>
          </w:tcPr>
          <w:p>
            <w:pPr>
              <w:ind w:left="260"/>
              <w:spacing w:after="0"/>
              <w:rPr>
                <w:sz w:val="20"/>
                <w:szCs w:val="20"/>
                <w:color w:val="auto"/>
              </w:rPr>
            </w:pPr>
            <w:r>
              <w:rPr>
                <w:rFonts w:ascii="Arial" w:cs="Arial" w:eastAsia="Arial" w:hAnsi="Arial"/>
                <w:sz w:val="18"/>
                <w:szCs w:val="18"/>
                <w:color w:val="auto"/>
                <w:w w:val="95"/>
              </w:rPr>
              <w:t>per share, which is the midpoint of the price range set forth on</w:t>
            </w:r>
          </w:p>
        </w:tc>
        <w:tc>
          <w:tcPr>
            <w:tcW w:w="0" w:type="dxa"/>
            <w:vAlign w:val="bottom"/>
          </w:tcPr>
          <w:p>
            <w:pPr>
              <w:spacing w:after="0"/>
              <w:rPr>
                <w:sz w:val="1"/>
                <w:szCs w:val="1"/>
                <w:color w:val="auto"/>
              </w:rPr>
            </w:pPr>
          </w:p>
        </w:tc>
      </w:tr>
      <w:tr>
        <w:trPr>
          <w:trHeight w:val="230"/>
        </w:trPr>
        <w:tc>
          <w:tcPr>
            <w:tcW w:w="8100" w:type="dxa"/>
            <w:vAlign w:val="bottom"/>
            <w:gridSpan w:val="6"/>
          </w:tcPr>
          <w:p>
            <w:pPr>
              <w:spacing w:after="0"/>
              <w:rPr>
                <w:sz w:val="20"/>
                <w:szCs w:val="20"/>
                <w:color w:val="auto"/>
              </w:rPr>
            </w:pPr>
            <w:r>
              <w:rPr>
                <w:rFonts w:ascii="Arial" w:cs="Arial" w:eastAsia="Arial" w:hAnsi="Arial"/>
                <w:sz w:val="18"/>
                <w:szCs w:val="18"/>
                <w:color w:val="auto"/>
                <w:w w:val="95"/>
              </w:rPr>
              <w:t>the cover page of this prospectus), as if such conversions had occurred on March 31, 2021, and excludes: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420" w:right="100" w:hanging="319"/>
        <w:spacing w:after="0" w:line="277"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5,187,014 shares of our common stock issuable upon the exercise of options under the Prior Plan outstanding as of March 31, 2021 at a weighted-average exercise price of $0.79 per share;</w:t>
      </w:r>
    </w:p>
    <w:p>
      <w:pPr>
        <w:spacing w:after="0" w:line="197"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574,760 shares of our common stock issuable upon the exercise of common stock warrants outstanding as of March 31, 2021 at an exercise price of $3.00;</w:t>
      </w:r>
    </w:p>
    <w:p>
      <w:pPr>
        <w:spacing w:after="0" w:line="197" w:lineRule="exact"/>
        <w:rPr>
          <w:rFonts w:ascii="Arial" w:cs="Arial" w:eastAsia="Arial" w:hAnsi="Arial"/>
          <w:sz w:val="18"/>
          <w:szCs w:val="18"/>
          <w:color w:val="auto"/>
        </w:rPr>
      </w:pPr>
    </w:p>
    <w:p>
      <w:pPr>
        <w:ind w:left="1420" w:right="280" w:hanging="319"/>
        <w:spacing w:after="0" w:line="342" w:lineRule="auto"/>
        <w:tabs>
          <w:tab w:leader="none" w:pos="14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993,875 shares of our common stock reserved for future issuance under the Prior Plan, which shares will cease to be available for issuance at the time the 2021 Plan becomes effective and will be added to, and become available for issuance under, the 2021 Plan;</w:t>
      </w:r>
    </w:p>
    <w:p>
      <w:pPr>
        <w:spacing w:after="0" w:line="150" w:lineRule="exact"/>
        <w:rPr>
          <w:rFonts w:ascii="Arial" w:cs="Arial" w:eastAsia="Arial" w:hAnsi="Arial"/>
          <w:sz w:val="16"/>
          <w:szCs w:val="16"/>
          <w:color w:val="auto"/>
        </w:rPr>
      </w:pPr>
    </w:p>
    <w:p>
      <w:pPr>
        <w:jc w:val="both"/>
        <w:ind w:left="1420" w:right="40" w:hanging="319"/>
        <w:spacing w:after="0" w:line="263" w:lineRule="auto"/>
        <w:tabs>
          <w:tab w:leader="none" w:pos="20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2021 Plan, which will become effective in connection with this offering, as well as any automatic increases in the number of shares of common stock reserved for future issuance under the 2021 Plan; and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342" w:lineRule="auto"/>
        <w:tabs>
          <w:tab w:leader="none" w:pos="2005" w:val="left"/>
        </w:tabs>
        <w:numPr>
          <w:ilvl w:val="0"/>
          <w:numId w:val="65"/>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the ESPP, which will become effective in connection with this offering, as well as any automatic increases in the number of shares of common stock reserved for future issuance under the ESPP.</w:t>
      </w:r>
    </w:p>
    <w:p>
      <w:pPr>
        <w:spacing w:after="0" w:line="124"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To the extent that stock options or warrants are exercised, new stock options or other equity awards are issued under our equity incentive plan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60"/>
          </w:cols>
          <w:pgMar w:left="320" w:top="459" w:right="5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i w:val="1"/>
          <w:iCs w:val="1"/>
          <w:color w:val="auto"/>
        </w:rPr>
        <w:t>The following discussion and analysis should be read in conjunction with our financial statements and related notes included elsewhere in this prospectus. This discussion and analysis and other parts of this prospectus contain forward-looking statements based upon current beliefs that involve risks, uncertainties and assumptions, such as statements regarding our plans, objectives, expectations, intentions and projections. Our actual results and the timing of selected events could differ materially from those described in or implied by these forward-looking statements as a result of several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the section entitled “Special Note Regarding Forward-Looking Statements.”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We are a clinical-stage biopharmaceutical company developing a novel disease-modifying approach to target what we believe to be a key underlying cause of Alzheimer’s disease (AD). Alzheimer’s disease is a progressive neurodegenerative disease of the brain that leads to loss of memory and cognitive functions and ultimately results in death. Our scientific founders pioneered research on soluble amyloid-beta oligomers (AbOs), globular assemblies of the amyloid-beta (Ab) peptide that are distinct from other forms of Ab and amyloid. We are currently focused on advancing a targeted immunotherapy drug candidate, ACU193, through clinical proof of mechanism in early AD patients. We initiated our Phase 1 clinical trial of ACU193 in the second quarter of 2021.</w:t>
      </w:r>
    </w:p>
    <w:p>
      <w:pPr>
        <w:spacing w:after="0" w:line="192"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We were incorporated in 1996 and were party to an exclusive license and research collaboration with Merck in 2003. Although we acquired the exclusive rights to ACU193 from Merck in 2011 following Merck’s strategic decision to focus its AD development efforts on a different product candidate, we did not recommence meaningful operations until we completed our first institutional fundraising in 2018. Since 2018, we have devoted substantially all of our efforts to organizing and staffing our company, business planning, raising capital, conducting discovery, research and development activities, and providing general and administrative support for these operations. We do not have any products approved for sale and have not generated any revenue from product sales. We have funded our operations primarily through the sale of our convertible preferred stock and common stock, the issuance of notes, grant revenue and during our collaboration with Merck, certain payments received under our collaboration agreement.</w:t>
      </w:r>
    </w:p>
    <w:p>
      <w:pPr>
        <w:spacing w:after="0" w:line="166" w:lineRule="exact"/>
        <w:rPr>
          <w:sz w:val="20"/>
          <w:szCs w:val="20"/>
          <w:color w:val="auto"/>
        </w:rPr>
      </w:pPr>
    </w:p>
    <w:p>
      <w:pPr>
        <w:ind w:left="120" w:right="180"/>
        <w:spacing w:after="0" w:line="289" w:lineRule="auto"/>
        <w:rPr>
          <w:sz w:val="20"/>
          <w:szCs w:val="20"/>
          <w:color w:val="auto"/>
        </w:rPr>
      </w:pPr>
      <w:r>
        <w:rPr>
          <w:rFonts w:ascii="Arial" w:cs="Arial" w:eastAsia="Arial" w:hAnsi="Arial"/>
          <w:sz w:val="16"/>
          <w:szCs w:val="16"/>
          <w:color w:val="auto"/>
        </w:rPr>
        <w:t>From inception through March 31, 2021, we have raised an aggregate of $67.5 million of gross proceeds through the issuance of convertible preferred stock, as well as sales of common stock and issuance of notes that were converted to preferred stock, with the vast majority of this capital being raised since our Series A-1 convertible preferred stock, or Series A-1, financing in 2018. In 2020, we conducted a Series B convertible preferred stock, or Series B, financing, with the funding to occur in two tranches. We closed the first tranche of the Series B financing in November 2020, selling 17,674,469 shares of Series B at $2.55 per share for gross proceeds of $45.1 million. On June 9, 2021, our board of directors and the holders of more than 67% of the outstanding shares of Series B preferred stock elected to waive the achievement of the milestone event. Certain of our investors have committed to invest an additional aggregate of $30 million prior to the completion of this offering in a second closing of our Series B preferred stock financing, after which they will have no commitment to make any additional investment in the company. The second tranche of the Series B preferred stock financing is expected to close prior to the completion of this offering.</w:t>
      </w:r>
    </w:p>
    <w:p>
      <w:pPr>
        <w:spacing w:after="0" w:line="166"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We have incurred net losses and negative cash flows from operations since our inception. Our net loss was $7.3 million and $27.0 million for the year ended December 31, 2020 and for the three months ended March 31, 2021, respectively. As of March 31, 2021, we had an accumulated deficit of $54.0 million. Our net losses and cash flows from operations may fluctuate significantly from quarter-to-quarter and year-to-year, depending on the timing of nonclinical studies, clinical trials and our expenditures on other research and development activities. We expect our expenses and operating losses will increase substantially for the foreseeable future as we advance ACU193 into clinical trials, seek to expand our product candidate portfolio through developing</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color w:val="auto"/>
        </w:rPr>
        <w:t>additional product candidates, grow our clinical, regulatory and quality capabilities, and incur additional costs associated with operating as a public company. It is likely that we will seek third-party collaborators for the future commercialization of ACU193 or any other product candidate that is approved for marketing. However, we may seek to commercialize our products at our own expense, which would require us to incur significant additional expenses for marketing, sales, manufacturing and distribution.</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March 2020, the World Health Organization declared COVID-19 a global pandemic and the United States declared a national emergency with respect to COVID-19. In response to the COVID-19 pandemic, a number of governmental orders and other public health guidance measures have been implemented across much of the United States, including in the locations of our office, clinical trial sites and third parties on whom we rely. We implemented a work-from-home policy allowing employees and consultants who can work from home to do so. Business travel has been limited, and online video and teleconference technology is used to meet virtually rather than in person. We have taken measures to secure our research and development activities, while work in laboratories by our partners has been organized to reduce risk of COVID-19 transmission. Although to date, our business has not been materially impacted by COVID-19, it is possible that our clinical development timelines could be negatively affected by COVID-19, which could materially and adversely affect our business, financial condition and results of operations.</w:t>
      </w:r>
    </w:p>
    <w:p>
      <w:pPr>
        <w:spacing w:after="0" w:line="17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regulatory approval for our product candidates.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w:t>
      </w:r>
    </w:p>
    <w:p>
      <w:pPr>
        <w:spacing w:after="0" w:line="18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material adverse effect on our business, results of operations and financial condition.</w:t>
      </w:r>
    </w:p>
    <w:p>
      <w:pPr>
        <w:spacing w:after="0" w:line="161"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As of March 31, 2021, we had cash and cash equivalents of $41.4 million. Without giving effect to the second tranche of the Series B financing, or the anticipated net proceeds from this offering, based on our current operating plan, we believe we have sufficient cash and cash equivalents on hand to support current operations through the third quarter of 2022. We have based this estimate on assumptions that may prove to be wrong, and we could exhaust our available capital resources sooner than we expect. See “—Liquidity and Capital Resources.”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Grants and Other Revenue</w:t>
      </w:r>
    </w:p>
    <w:p>
      <w:pPr>
        <w:spacing w:after="0" w:line="225"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To date, we have not generated any revenues from the commercial sale of any products, and we do not expect to generate revenues from the commercial sale of any products for the foreseeable future, if ever. For the years ended December 31, 2019 and 2020, we derived revenue from a grant awarded by the National Institutes of Health in September 2017 and renewed annually in 2018 through 2020. The grant provides us with funding to support the completion of preclinical chemistry, manufacturing and control studies, toxicology and pharmacokinetic studies, submit an IND dossier to the FDA, and then conduct first in human clinical safety trials for ACU193. We recognize revenue from this grant when the related costs are incurred and the right to payment is realized. As of December 31, 2020, we had been awarded a total of $3.9 million under this grant, all of which has been recognized as revenue prior to or during the years ended December 31, 2019 and 2020.</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operating expenses consist of (i) research and development expenses and (ii) general and administrative expenses.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Research and development costs primarily consist of direct costs associated with consultants and materials, biologic storage, third party, contract research organization costs and contract development and manufacturing expenses, salaries and other personnel-related expenses. Research and development costs are expensed as incurred. More specifically, these costs include:</w:t>
      </w:r>
    </w:p>
    <w:p>
      <w:pPr>
        <w:spacing w:after="0" w:line="211" w:lineRule="exact"/>
        <w:rPr>
          <w:sz w:val="20"/>
          <w:szCs w:val="20"/>
          <w:color w:val="auto"/>
        </w:rPr>
      </w:pPr>
    </w:p>
    <w:p>
      <w:pPr>
        <w:ind w:left="1420" w:right="140" w:hanging="319"/>
        <w:spacing w:after="0" w:line="277" w:lineRule="auto"/>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of funding research performed by third parties that conduct research and development and nonclinical and clinical activities on our behalf;</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of manufacturing drug supply and drug product;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of conducting nonclinical studies and clinical trials of our product candidates;</w:t>
      </w:r>
    </w:p>
    <w:p>
      <w:pPr>
        <w:spacing w:after="0" w:line="252" w:lineRule="exact"/>
        <w:rPr>
          <w:rFonts w:ascii="Arial" w:cs="Arial" w:eastAsia="Arial" w:hAnsi="Arial"/>
          <w:sz w:val="18"/>
          <w:szCs w:val="18"/>
          <w:color w:val="auto"/>
        </w:rPr>
      </w:pPr>
    </w:p>
    <w:p>
      <w:pPr>
        <w:ind w:left="1420" w:right="1060" w:hanging="319"/>
        <w:spacing w:after="0" w:line="277" w:lineRule="auto"/>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consulting and professional fees related to research and development activities, including equity-based compensation to non-employees;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related to compliance with clinical regulatory requirements; and</w:t>
      </w:r>
    </w:p>
    <w:p>
      <w:pPr>
        <w:spacing w:after="0" w:line="252"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 for our research and development personnel.</w:t>
      </w:r>
    </w:p>
    <w:p>
      <w:pPr>
        <w:spacing w:after="0" w:line="17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Costs for certain activities are recognized based on an evaluation of the progress to completion of specific tasks using data such as information provided to us by our vendors and analyzing the progress of our nonclinical and clinical studies or other services performed. Significant judgment and estimates are made in determining the accrued expense balances at the end of any reporting period.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6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As we currently only have one product candidate, ACU193, in development, we do not separately track expenses by program. Further, as we have historically relied exclusively on consultants for research and development activities, we did not have any material internal research and development costs for the years ended December 31, 2019 and 2020 or for the three months ended March 31, 2021.</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expect that our research and development expenses will increase substantially in connection with our clinical development activities for our ACU193 program. At this time, we cannot accurately estimate or know the nature, timing and costs of the efforts that will be necessary to complete the clinical development of, or obtain regulatory approval for, any of our current or future product candidates. This is due to the numerous risks and uncertainties associated with product development and commercialization, including the following:</w:t>
      </w:r>
    </w:p>
    <w:p>
      <w:pPr>
        <w:spacing w:after="0" w:line="214" w:lineRule="exact"/>
        <w:rPr>
          <w:sz w:val="20"/>
          <w:szCs w:val="20"/>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add and retain key research and development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our ability to successfully develop, obtain regulatory approval for, and then successfully commercialize our product candidates;</w:t>
      </w:r>
    </w:p>
    <w:p>
      <w:pPr>
        <w:spacing w:after="0" w:line="263" w:lineRule="exact"/>
        <w:rPr>
          <w:rFonts w:ascii="Arial" w:cs="Arial" w:eastAsia="Arial" w:hAnsi="Arial"/>
          <w:sz w:val="17"/>
          <w:szCs w:val="17"/>
          <w:color w:val="auto"/>
        </w:rPr>
      </w:pPr>
    </w:p>
    <w:p>
      <w:pPr>
        <w:ind w:left="5540" w:right="420" w:hanging="4439"/>
        <w:spacing w:after="0" w:line="449" w:lineRule="auto"/>
        <w:tabs>
          <w:tab w:leader="none" w:pos="1431"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successful enrollment in and completion of clinical trials, including our ability to generate positive data from any such trials; 87</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size and cost of any future clinical trials for existing or future product candidates in our pipeline;</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programs we identify in-house or acquire through collaborations and other arrangements and the success of such collaborations;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terms and timing of any additional collaborations, license or other arrangement, including the timing of any payments thereunder;</w:t>
      </w:r>
    </w:p>
    <w:p>
      <w:pPr>
        <w:spacing w:after="0" w:line="275" w:lineRule="exact"/>
        <w:rPr>
          <w:rFonts w:ascii="Arial" w:cs="Arial" w:eastAsia="Arial" w:hAnsi="Arial"/>
          <w:sz w:val="16"/>
          <w:szCs w:val="16"/>
          <w:color w:val="auto"/>
        </w:rPr>
      </w:pPr>
    </w:p>
    <w:p>
      <w:pPr>
        <w:ind w:left="1420" w:right="220" w:hanging="319"/>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establish and maintain agreements and operate with third-party manufacturers for clinical supply for our clinical trials and commercial manufacturing, if any of our product candidates are approved;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costs related to manufacturing of our product candidates or to account for any future changes in our manufacturing plans;</w:t>
      </w:r>
    </w:p>
    <w:p>
      <w:pPr>
        <w:spacing w:after="0" w:line="252"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obtain and maintain patents, trade secret and other intellectual property protection and regulatory exclusivity for our product candidates, both in the United States and internationally;</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obtain and maintain third-party insurance coverage and adequate reimbursement for our product candidates, if and when approved;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effectively competing with other products if our product candidates are approved;</w:t>
      </w:r>
    </w:p>
    <w:p>
      <w:pPr>
        <w:spacing w:after="0" w:line="252" w:lineRule="exact"/>
        <w:rPr>
          <w:rFonts w:ascii="Arial" w:cs="Arial" w:eastAsia="Arial" w:hAnsi="Arial"/>
          <w:sz w:val="18"/>
          <w:szCs w:val="18"/>
          <w:color w:val="auto"/>
        </w:rPr>
      </w:pPr>
    </w:p>
    <w:p>
      <w:pPr>
        <w:ind w:left="1420" w:right="260" w:hanging="319"/>
        <w:spacing w:after="0" w:line="263"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including the timing and enrollment of patients in our planned clinical trials, or to those of our manufacturers, suppliers, or other vendors resulting from the COVID-19 pandemic or similar public health crisis; and</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maintain a continued acceptable safety profile for our therapies following approval.</w:t>
      </w:r>
    </w:p>
    <w:p>
      <w:pPr>
        <w:spacing w:after="0" w:line="22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640"/>
        <w:spacing w:after="0" w:line="263" w:lineRule="auto"/>
        <w:rPr>
          <w:sz w:val="20"/>
          <w:szCs w:val="20"/>
          <w:color w:val="auto"/>
        </w:rPr>
      </w:pPr>
      <w:r>
        <w:rPr>
          <w:rFonts w:ascii="Arial" w:cs="Arial" w:eastAsia="Arial" w:hAnsi="Arial"/>
          <w:sz w:val="18"/>
          <w:szCs w:val="18"/>
          <w:color w:val="auto"/>
        </w:rPr>
        <w:t>General and administrative expenses consist primarily of management and business consultants and other related costs, including stock-based compensation. General and administrative expenses also include board of directors’ expenses and professional fees for legal, patent, consulting, accounting, auditing, tax services and insurance costs.</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expect that our general and administrative expenses will increase as our organization and headcount needed in the future grows to support continued research and development activities and potential commercialization of our product candidates. These increases will likely include increased costs related to the hiring of additional personnel and fees to outside consultants, attorneys and accountants, among other expenses. Additionally, we expect to incur increased expenses associated with being a public company, including costs of additional personnel, accounting, audit, legal, regulatory and tax-related services associated with maintaining compliance with exchange listing and Securities and Exchange Commission, or SEC, requirements, director and officer insurance costs, and investor and public relations costs.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Other income (expense) primarily includes changes in fair value of the Series A-1 warrant liability and the Series B tranche rights and interest income, net.</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Series A-1 warrant was issued in October 2018 in connection with the Series A-1 preferred financing. The warrant liability met the definition of a freestanding financial instrument, as it was legally detachable and separately exercisable from the initial closing of the Series A-1 convertible preferred stock. The warrant liability was initially recorded at fair value as a liability on our balance sheet and was subsequently re-measured at fair value at the end of each reporting period. The changes in the fair value were recognized as a component of other income (expense).</w:t>
      </w:r>
    </w:p>
    <w:p>
      <w:pPr>
        <w:spacing w:after="0" w:line="171"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Included in the terms of the Series B stock purchase agreement in November 2020 were tranche rights granted to the holders of the Series B. The tranche rights provide the Series B holders with the right to purchase additional shares of Series B at $2.55 per share in an additional tranche after the achievement of a certain milestone event. Alternatively, any time after the initial closing, the Series B investors may elect to purchase the additional shares even if the milestone event has not yet been achieved by notifying us of their election to do so. The tranche rights met the definition of a freestanding financial instrument as the tranche rights are legally detachable and separately exercisable from the Series B. The tranche rights were initially recorded at fair value as a liability on our balance sheet. The tranche rights are subsequently re-measured at fair value at the end of each reporting period and at settlement. Changes in the fair value are recognized as a component of other income (expense).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Three Months Ended March 31, 2020 and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2020 and 2021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ind w:left="180"/>
              <w:spacing w:after="0"/>
              <w:rPr>
                <w:sz w:val="20"/>
                <w:szCs w:val="20"/>
                <w:color w:val="auto"/>
              </w:rPr>
            </w:pPr>
            <w:r>
              <w:rPr>
                <w:rFonts w:ascii="Arial" w:cs="Arial" w:eastAsia="Arial" w:hAnsi="Arial"/>
                <w:sz w:val="14"/>
                <w:szCs w:val="14"/>
                <w:b w:val="1"/>
                <w:bCs w:val="1"/>
                <w:color w:val="auto"/>
              </w:rPr>
              <w:t>For the Three Months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ind w:left="320"/>
              <w:spacing w:after="0"/>
              <w:rPr>
                <w:sz w:val="20"/>
                <w:szCs w:val="20"/>
                <w:color w:val="auto"/>
              </w:rPr>
            </w:pPr>
            <w:r>
              <w:rPr>
                <w:rFonts w:ascii="Arial" w:cs="Arial" w:eastAsia="Arial" w:hAnsi="Arial"/>
                <w:sz w:val="14"/>
                <w:szCs w:val="14"/>
                <w:b w:val="1"/>
                <w:bCs w:val="1"/>
                <w:color w:val="auto"/>
              </w:rPr>
              <w:t>Ended March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141"/>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and other revenue</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80" w:type="dxa"/>
            <w:vAlign w:val="bottom"/>
            <w:gridSpan w:val="2"/>
          </w:tcPr>
          <w:p>
            <w:pPr>
              <w:spacing w:after="0"/>
              <w:rPr>
                <w:sz w:val="20"/>
                <w:szCs w:val="20"/>
                <w:color w:val="auto"/>
              </w:rPr>
            </w:pPr>
            <w:r>
              <w:rPr>
                <w:rFonts w:ascii="Arial" w:cs="Arial" w:eastAsia="Arial" w:hAnsi="Arial"/>
                <w:sz w:val="18"/>
                <w:szCs w:val="18"/>
                <w:color w:val="auto"/>
              </w:rPr>
              <w:t>Costs and operating expenses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(2,046)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(3,793)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Change in fair value of preferred stock tranche rights liability and</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preferred stock warrant liability</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95"/>
              </w:rPr>
              <w:t>(23,217)</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(23,217)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95"/>
              </w:rPr>
              <w:t>(23,204)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(23,205)</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(26,997</w:t>
            </w:r>
          </w:p>
        </w:tc>
        <w:tc>
          <w:tcPr>
            <w:tcW w:w="300" w:type="dxa"/>
            <w:vAlign w:val="bottom"/>
          </w:tcPr>
          <w:p>
            <w:pPr>
              <w:jc w:val="right"/>
              <w:ind w:right="221"/>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(24,952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jc w:val="right"/>
              <w:ind w:right="690"/>
              <w:spacing w:after="0"/>
              <w:rPr>
                <w:sz w:val="20"/>
                <w:szCs w:val="20"/>
                <w:color w:val="auto"/>
              </w:rPr>
            </w:pPr>
            <w:r>
              <w:rPr>
                <w:rFonts w:ascii="Arial" w:cs="Arial" w:eastAsia="Arial" w:hAnsi="Arial"/>
                <w:sz w:val="18"/>
                <w:szCs w:val="18"/>
                <w:color w:val="auto"/>
              </w:rPr>
              <w:t>89</w:t>
            </w: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Grant and Other Revenue</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Revenue related to our NIH grant was $0.2 million for the three months ended March 31, 2020. Revenue under the NIH grant is recognized when the related costs were incurred and the right to payment was realized. All NIH grant revenue that we expect to receive was fully recognized in periods prior to the three months ended March 31, 2021.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Research and development expenses were $2.1 million and $2.6 million for the three months ended March 31, 2020 and 2021, respectively. The $0.5 million increase was primarily due to increases in costs for contract research organizations and personnel of $0.9 million and $0.5 million, respectively, net of decreases in costs for drug safety testing and nonclinical materials of $0.7 million and $0.2 million, respectively.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General and administrative expense was $0.2 million and $1.2 million for the three months ended March 31, 2020 and 2021, respectively. The $1.0 million increase was primarily due to increased accounting and consulting expenses incurred of $0.5 million related to the audit of our financial statements, as well as increased personnel expenses of $0.4 million due to employees hired during the three months ended March 31, 2021.</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Increases in the fair value of both the Series A-1 warrant liability and the Series B tranche liability resulted in $23.2 million of other expense for the three months ended March 31,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2020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For the Year Ended December 31,</w:t>
            </w:r>
          </w:p>
        </w:tc>
        <w:tc>
          <w:tcPr>
            <w:tcW w:w="96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Grant and other revenue</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(261)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Costs and operating expenses: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(154)</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Change in fair value of preferred stock tranche rights</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liability and preferred stock warrant liability</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4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6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(7,907)</w:t>
            </w:r>
          </w:p>
        </w:tc>
        <w:tc>
          <w:tcPr>
            <w:tcW w:w="6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(7,325)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Grant and Other Revenue</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Revenue related to our NIH grant was $1.7 million and $1.4 million for the years ended December 31, 2019 and 2020, respectfully, and was recognized when the related costs were incurred and the right to payment was realized.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40"/>
          </w:cols>
          <w:pgMar w:left="320" w:top="459" w:right="5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Research and development expenses were $8.6 million and $8.0 million for the years ended December 21, 2019 and 2020, respectively. The $0.6 million decrease was primarily due to decreases for nonclinical materials and consulting costs of $1.8 million and $0.4 million, respectively; net of increases for contract research organizations and drug safety testing of $1.0 million and $0.6 million, respectively, due to our progression towards and submission of our IND to the FDA in the fourth quarter of 2020.</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General and administrative expense was $0.9 million and $1.4 million for the years ended December 31, 2019 and 2020, respectively. The $0.4 million increase was primarily due to higher executive compensation and increased business development consulting costs, as well as increased franchise taxes and accounting expenses.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Other income (expense) increased by $0.7 million due to a total gain of $0.6 million related to decreases in the fair value of both the Series A-1 warrant liability and the Series B tranche liability for the year ended December 31, 2020, as compared to a $0.1 million increase in the fair value of the Series A-1 warrant liability for the year ended December 31, 2019.</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Since our inception, we have funded our operations primarily through the sale of our convertible preferred stock and common stock, the issuance of notes, grant revenue and, during our collaboration with Merck, certain payments received under our collaboration agreement. We do not have any products approved for sale and have not generated any revenue from product sales. From inception through March 31, 2021, we have raised an aggregate of $67.5 million of gross proceeds through the issuance of convertible preferred stock, as well as sales of common stock and issuance of notes that were converted to preferred stock, with the vast majority of this capital being raised since our Series A-1 financing in 2018. In 2020, we conducted a Series B financing, with the funding to occur in two tranches. We closed the first tranche of the Series B financing in November 2020 for gross proceeds of $45.1 million. Upon achievement of a certain milestone event for ACU193, or upon election of the Series B investors to waive the requirement for the milestone event to be achieved prior to its achievement, we are obligated to issue and sell a second tranche of Series B shares to the Series B purchasers for gross proceeds of $30.0 million. On June 9, 2021, our board of directors and the holders of more than 67% of the outstanding shares of Series B preferred stock elected to waive the achievement of the milestone event. The second tranche of the Series B preferred stock financing is expected to close prior to the completion of this offering. As of March 31, 2021, our cash and cash equivalents totaled $41.4 million.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sources and uses of cash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w w:val="92"/>
              </w:rPr>
              <w:t>For the Year</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For the Three Months</w:t>
            </w: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2"/>
              </w:rPr>
              <w:t>Ended December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5"/>
              </w:rPr>
              <w:t>Ended March 31,</w:t>
            </w:r>
          </w:p>
        </w:tc>
      </w:tr>
      <w:tr>
        <w:trPr>
          <w:trHeight w:val="142"/>
        </w:trPr>
        <w:tc>
          <w:tcPr>
            <w:tcW w:w="20" w:type="dxa"/>
            <w:vAlign w:val="bottom"/>
          </w:tcPr>
          <w:p>
            <w:pPr>
              <w:spacing w:after="0"/>
              <w:rPr>
                <w:sz w:val="12"/>
                <w:szCs w:val="12"/>
                <w:color w:val="auto"/>
              </w:rPr>
            </w:pPr>
          </w:p>
        </w:tc>
        <w:tc>
          <w:tcPr>
            <w:tcW w:w="374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(6,818)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(7,450)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0"/>
              </w:rPr>
              <w:t>(1,816)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7"/>
              </w:rPr>
              <w:t>(2,370)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44,675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(579)</w:t>
            </w:r>
          </w:p>
        </w:tc>
        <w:tc>
          <w:tcPr>
            <w:tcW w:w="4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37,225</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(1,816)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(2,370)</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40" w:type="dxa"/>
            <w:vAlign w:val="bottom"/>
            <w:gridSpan w:val="3"/>
          </w:tcPr>
          <w:p>
            <w:pPr>
              <w:jc w:val="right"/>
              <w:ind w:right="419"/>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Net cash used in operating activities was $1.8 million and $2.4 million for the three months ended March 31, 2020 and 2021, respectively. Net cash used in operating activities during the three months ended March 31, 2020 was primarily due to our net loss of $2.0 million, partially offset by $0.2 million of cash provided by changes in our operating assets and liabilities. Net cash used in operating activities during the three months ended March 31, 2021 was primarily due to our net loss of $27.0 million, including other expenses of $23.2 million related to the change in the fair values of the Series A-1 warrant liability and the Series B tranche liability, partially offset by increases in accounts payable of $0.4 million and accrued expenses and other current liabilities of $1.0 million.</w:t>
      </w:r>
    </w:p>
    <w:p>
      <w:pPr>
        <w:spacing w:after="0" w:line="192"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Net cash used in operating activities was $6.8 million and $7.5 million for the years ended December 31, 2019 and 2020, respectively. Net cash used in operating activities in 2019 was primarily due to our net loss of $7.9 million, which was partially offset by an increase in accrued liabilities and accounts payable of $0.6 million. In 2020, net cash used in operating activities was primarily due to our net loss of $7.3 million and income from the change in the fair values of the Series A-1 warrant liability and the Series B tranche liability, which totaled $0.6 million; partially offset by changes in our working capital, partially offset by $0.3 million increase in accounts payable and a $0.1 million decrease in long-term prepaid service agreements.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Net cash provided by financing activities was $6.2 million and $44.7 million for the years ended December 31, 2019 and 2020, respectively, and was due to the issuance of Series A-1 convertible preferred stock in 2019 and Series B in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our research and development, conduct clinical trials, and seek marketing approval for our current and any of our future product candidates. Furthermore, upon the completion of this offering, we expect to incur additional costs associated with operating as a public company. It is likely that we will seek third-party collaborators for the future commercialization of ACU193 or any other product candidate that is approved for marketing. However, we may seek to commercialize our products at our own expense, which would require us to incur significant additional expenses for marketing, sales, manufacturing and distribution., which costs we may seek to offset through entry into collaboration agreements with third parties. As a result, we expect that we will need to obtain substantial additional funding in connection with our future operations. If we are unable to raise capital when needed or on acceptable terms, we could be forced to delay, reduce or eliminate our research and development programs or future commercialization efforts.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expect that the net proceeds from this offering, together with our existing cash and cash equivalents as of March 31, 2021, will enable us to fund our</w:t>
      </w:r>
    </w:p>
    <w:p>
      <w:pPr>
        <w:spacing w:after="0" w:line="46" w:lineRule="exact"/>
        <w:rPr>
          <w:sz w:val="20"/>
          <w:szCs w:val="20"/>
          <w:color w:val="auto"/>
        </w:rPr>
      </w:pPr>
    </w:p>
    <w:p>
      <w:pPr>
        <w:ind w:left="120" w:right="120"/>
        <w:spacing w:after="0" w:line="323" w:lineRule="auto"/>
        <w:rPr>
          <w:sz w:val="20"/>
          <w:szCs w:val="20"/>
          <w:color w:val="auto"/>
        </w:rPr>
      </w:pPr>
      <w:r>
        <w:rPr>
          <w:rFonts w:ascii="Arial" w:cs="Arial" w:eastAsia="Arial" w:hAnsi="Arial"/>
          <w:sz w:val="16"/>
          <w:szCs w:val="16"/>
          <w:color w:val="auto"/>
        </w:rPr>
        <w:t>operating expenses and capital expenditure requirements through . We have based this estimate on assumptions that may prove to be wrong, and we may use our available capital resources sooner than we currently expect. Our future capital requirements will depend on many factors, including:</w:t>
      </w:r>
    </w:p>
    <w:p>
      <w:pPr>
        <w:spacing w:after="0" w:line="165" w:lineRule="exact"/>
        <w:rPr>
          <w:sz w:val="20"/>
          <w:szCs w:val="20"/>
          <w:color w:val="auto"/>
        </w:rPr>
      </w:pPr>
    </w:p>
    <w:p>
      <w:pPr>
        <w:ind w:left="1420" w:right="280" w:hanging="319"/>
        <w:spacing w:after="0" w:line="277"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nonclinical development, laboratory testing and clinical trials for other potential product candidates we may develop, if any;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52"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the Series B agreement or any collaboration agreements we might have at such time;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77"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sales, marketing, manufacturing and distribution, for any of our product candidates for which we receive marketing approval;</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197"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obtaining, maintaining and enforcing our intellectual property rights and defending intellectual property-related claims;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business operations and our research and development activities; and</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your ownership interests may be diluted, and the terms of these securities may include liquidation or other preferences that could adversely affect your rights as a common stockholder. Any debt financing, if available, may involve agreements that include restrictive covenants that limit our ability to take specific actions, such as incurring additional debt, making capital expenditures or declaring dividends, that could adversely impact our ability to conduct our business.</w:t>
      </w:r>
    </w:p>
    <w:p>
      <w:pPr>
        <w:spacing w:after="0" w:line="17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SEC rules.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As of March 31, 2021, we have an operating lease obligation associated with a lease for our executive office space that totals approximately $2,000 for the remainder of the lease term. This amount is due in equal monthly installments over the remaining lease term, which expires on August 31, 2021.</w:t>
      </w:r>
    </w:p>
    <w:p>
      <w:pPr>
        <w:spacing w:after="0" w:line="12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have been subleasing space in Indiana since March 1, 2020 under a lease that expired on December 31, 2020. We executed a new sublease for this space that was effective February 1, 2021. The term of the sublease is for 31 months, expiring on August 30, 2023. We pay monthly rent of $12,719 and we are also allowing others to sublease a portion of the space from us for less than a one-year period. As of March 31, 2021, the remaining aggregate minimum rent obligation over the remaining term was approximately $369,000.</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At March 31, 2021, future minimum lease payments under lease agreements (including short-term leases) associated with our operations were as follows (in thousands):</w:t>
      </w:r>
    </w:p>
    <w:p>
      <w:pPr>
        <w:spacing w:after="0" w:line="212"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2021 (remaining 9 months)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$117</w:t>
            </w:r>
          </w:p>
        </w:tc>
        <w:tc>
          <w:tcPr>
            <w:tcW w:w="6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371</w:t>
            </w:r>
          </w:p>
        </w:tc>
        <w:tc>
          <w:tcPr>
            <w:tcW w:w="6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enter into contracts in the normal course of business with CROs and CMOs for clinical trials, nonclinical research studies and testing, manufacturing and other services and products for operating purposes. These contracts do not contain any minimum purchase commitments and are generally cancelable by us upon prior notice of 30 days. Payments due upon cancelation consist only of payments for services provided and expenses incurred up to the date of cancelation.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have been prepared in accordance with U.S. generally accepted accounting principles, or U.S. GAAP. The preparation of these financial statements requires us to make estimates and judgments that affect the reported amounts of assets, liabilities, and expenses and the disclosure of contingent assets and liabilities in our financial statements. In accordance with U.S. GAAP, we evaluate our estimates and judgments on an ongoing basis, including those related to accrued expenses, the preferred stock tranche and warrant liabilities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audited financial statements appearing elsewhere in this prospectus, we believe the following are the critical accounting policies used in the preparation of our financial statements that require significant estimates and judgments.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as of each balance sheet date. This process involves reviewing open contracts and purchase orders, identifying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 Since our inception, we have not experienced any material differences between accrued or prepaid costs and actual costs.</w:t>
      </w:r>
    </w:p>
    <w:p>
      <w:pPr>
        <w:spacing w:after="0" w:line="192"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Stock-based compensation expense represents the grant date fair value of equity awards recognized in the period using the Black-Scholes option pricing model. We recognize the expense for equity awards on a straight-line basis over the requisite service periods of the awards, which is usually the vesting period. Forfeitures are recognized as they occur.</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Estimating the fair value of equity awards pursuant to the Black-Scholes option pricing model requires us to make assumptions regarding a number of variables, including the risk-free interest rate, the expected stock price volatility, the expected term of stock options, the expected dividend yield and the fair value of the underlying common stock on the date of grant. Changes in these assumptions can materially affect the fair value and ultimately how much stock-based compensation expense is recognized.</w:t>
      </w:r>
    </w:p>
    <w:p>
      <w:pPr>
        <w:spacing w:after="0" w:line="18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We determine these assumptions in the following manner:</w:t>
      </w:r>
    </w:p>
    <w:p>
      <w:pPr>
        <w:spacing w:after="0" w:line="197" w:lineRule="exact"/>
        <w:rPr>
          <w:sz w:val="20"/>
          <w:szCs w:val="20"/>
          <w:color w:val="auto"/>
        </w:rPr>
      </w:pPr>
    </w:p>
    <w:p>
      <w:pPr>
        <w:ind w:left="1420" w:right="640" w:hanging="319"/>
        <w:spacing w:after="0" w:line="277" w:lineRule="auto"/>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Value of Common Stock. </w:t>
      </w:r>
      <w:r>
        <w:rPr>
          <w:rFonts w:ascii="Arial" w:cs="Arial" w:eastAsia="Arial" w:hAnsi="Arial"/>
          <w:sz w:val="18"/>
          <w:szCs w:val="18"/>
          <w:color w:val="auto"/>
        </w:rPr>
        <w:t>See the subsections titled “—Fair Value of Common Stock” and “—Common Stock Valuation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Methodology” below.</w:t>
      </w:r>
    </w:p>
    <w:p>
      <w:pPr>
        <w:spacing w:after="0" w:line="197" w:lineRule="exact"/>
        <w:rPr>
          <w:rFonts w:ascii="Arial" w:cs="Arial" w:eastAsia="Arial" w:hAnsi="Arial"/>
          <w:sz w:val="18"/>
          <w:szCs w:val="18"/>
          <w:color w:val="auto"/>
        </w:rPr>
      </w:pPr>
    </w:p>
    <w:p>
      <w:pPr>
        <w:jc w:val="both"/>
        <w:ind w:left="1420" w:right="420" w:hanging="319"/>
        <w:spacing w:after="0" w:line="311" w:lineRule="auto"/>
        <w:tabs>
          <w:tab w:leader="none" w:pos="142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Term. </w:t>
      </w:r>
      <w:r>
        <w:rPr>
          <w:rFonts w:ascii="Arial" w:cs="Arial" w:eastAsia="Arial" w:hAnsi="Arial"/>
          <w:sz w:val="16"/>
          <w:szCs w:val="16"/>
          <w:color w:val="auto"/>
        </w:rPr>
        <w:t>The expected term of stock options represents the period of time that the awards are expected to be outstanding.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Because we do not have sufficient historical exercise behavior, we determine the expected term assumption using the simplified method, which calculates the expected term as the average time-to-vesting and the contractual life of the award.</w:t>
      </w:r>
    </w:p>
    <w:p>
      <w:pPr>
        <w:spacing w:after="0" w:line="175" w:lineRule="exact"/>
        <w:rPr>
          <w:rFonts w:ascii="Arial" w:cs="Arial" w:eastAsia="Arial" w:hAnsi="Arial"/>
          <w:sz w:val="16"/>
          <w:szCs w:val="16"/>
          <w:color w:val="auto"/>
        </w:rPr>
      </w:pPr>
    </w:p>
    <w:p>
      <w:pPr>
        <w:ind w:left="1420" w:right="460" w:hanging="319"/>
        <w:spacing w:after="0" w:line="263" w:lineRule="auto"/>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As we are not yet a public company and do not have a trading history for our common stock, the expected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volatility assumption was determined by examining the historical volatilities of a group of industry peers whose share prices are publicly available.</w:t>
      </w:r>
    </w:p>
    <w:p>
      <w:pPr>
        <w:spacing w:after="0" w:line="210" w:lineRule="exact"/>
        <w:rPr>
          <w:rFonts w:ascii="Arial" w:cs="Arial" w:eastAsia="Arial" w:hAnsi="Arial"/>
          <w:sz w:val="18"/>
          <w:szCs w:val="18"/>
          <w:color w:val="auto"/>
        </w:rPr>
      </w:pPr>
    </w:p>
    <w:p>
      <w:pPr>
        <w:ind w:left="1420" w:right="500" w:hanging="319"/>
        <w:spacing w:after="0" w:line="277" w:lineRule="auto"/>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rate assumption is based on the U.S. Treasury yield in effect at the time of the grant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maturities consistent with the expected term of the awards.</w:t>
      </w:r>
    </w:p>
    <w:p>
      <w:pPr>
        <w:spacing w:after="0" w:line="197" w:lineRule="exact"/>
        <w:rPr>
          <w:rFonts w:ascii="Arial" w:cs="Arial" w:eastAsia="Arial" w:hAnsi="Arial"/>
          <w:sz w:val="18"/>
          <w:szCs w:val="18"/>
          <w:color w:val="auto"/>
        </w:rPr>
      </w:pPr>
    </w:p>
    <w:p>
      <w:pPr>
        <w:ind w:left="1420" w:right="180" w:hanging="319"/>
        <w:spacing w:after="0" w:line="342" w:lineRule="auto"/>
        <w:tabs>
          <w:tab w:leader="none" w:pos="142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Dividend Yield. </w:t>
      </w:r>
      <w:r>
        <w:rPr>
          <w:rFonts w:ascii="Arial" w:cs="Arial" w:eastAsia="Arial" w:hAnsi="Arial"/>
          <w:sz w:val="16"/>
          <w:szCs w:val="16"/>
          <w:color w:val="auto"/>
        </w:rPr>
        <w:t>The expected dividend yield assumption is based on our history and expectation of dividend payouts.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has not paid and does not intend to pay dividends and, therefore, used an expected dividend yield of zero.</w:t>
      </w:r>
    </w:p>
    <w:p>
      <w:pPr>
        <w:spacing w:after="0" w:line="12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See Note 6 to our financial statements included elsewhere in this prospectus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7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We recorded stock-based compensation expense of $0.2 million for each of the years ended December 31, 2019 and 2020 and $0.1 million for the three months ended March 31, 2021. As of December 31, 2020 and March 31, 2021, there was $0.1 million and $1.4 million, respectively, of total unrecognized stock-based compensation expense related to unvested stock options which we expected to recognize over a remaining weighted-average period of one year as of December 31, 2020 and 3.5 years as of March 31, 2021. We expect to continue to grant stock options and other equity-based awards in the future, and to the extent that we do, our stock-based compensation expense recognized in future periods will likely increase.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Common Stock</w:t>
      </w:r>
    </w:p>
    <w:p>
      <w:pPr>
        <w:spacing w:after="0" w:line="22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fair values of the shares of common stock underlying our options were estimated on each grant date by our board of directors. In order to determine the fair value, our board of directors considered, among other things, contemporaneous valuations of our common stock prepared by unrelated third-party valuation firms in accordance with the guidance provided by the American Institute of Certified Public Accountants Audit and Accounting Practice Aid Series: Valuation of Privately-Held-Company Equity Securities Issued as Compensation, or the Practice Aid. Given the absence of a public trading market of our capital stock, our board of directors will exercise reasonable judgment and consider a number of objective and subjective factors to determine the best estimate of the fair value of our common and preferred stock, including:</w:t>
      </w:r>
    </w:p>
    <w:p>
      <w:pPr>
        <w:spacing w:after="0" w:line="205" w:lineRule="exact"/>
        <w:rPr>
          <w:sz w:val="20"/>
          <w:szCs w:val="20"/>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contemporaneous third-party valuations of our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stock relative to our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including related industry trends affecting our operations;</w:t>
      </w:r>
    </w:p>
    <w:p>
      <w:pPr>
        <w:spacing w:after="0" w:line="252" w:lineRule="exact"/>
        <w:rPr>
          <w:rFonts w:ascii="Arial" w:cs="Arial" w:eastAsia="Arial" w:hAnsi="Arial"/>
          <w:sz w:val="18"/>
          <w:szCs w:val="18"/>
          <w:color w:val="auto"/>
        </w:rPr>
      </w:pPr>
    </w:p>
    <w:p>
      <w:pPr>
        <w:ind w:left="1420" w:right="640" w:hanging="319"/>
        <w:spacing w:after="0" w:line="277"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sale of our company, given prevailing market conditions;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U.S. and global economic and capital market conditions and outlook.</w:t>
      </w:r>
    </w:p>
    <w:p>
      <w:pPr>
        <w:spacing w:after="0" w:line="225"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valuations prepared as of December 31, 2018, December 31, 2019, November 20, 2020 and December 31, 2020 resulted in a valuation of our common stock of $0.48, $0.56, $0.67 and $0.56 per share, respectively, as of those dates. A valuation was also prepared as of March 31, 2021 which resulted in a valuation of our common stock of $3.40. The March 31, 2021 valuation was not used in determining the grant date fair value of any stock based compensation awarded as of the date hereof.</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 Valuation Methodology</w:t>
      </w:r>
    </w:p>
    <w:p>
      <w:pPr>
        <w:spacing w:after="0" w:line="22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In determining the estimated fair value of common stock, our board of directors considered the subjective factors discussed above in conjunction with the most recent valuations of our common stock that were prepared by an independent third-party.</w:t>
      </w:r>
    </w:p>
    <w:p>
      <w:pPr>
        <w:spacing w:after="0" w:line="170"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In estimating the fair market value of our common stock, our board of directors first determined the equity value of our business using accepted valuation methods. For valuations as of December 31, 2018, December 31, 2019, November 20, 2020 and December 31, 2020 we used the option-pricing model, or OPM, under which shares are valued by creating a series of call options with exercise prices based on the liquidation preferences and conversion terms of each equity class. The estimated fair values of the preferred and common stock are inferred by analyzing these options. Specifically, we use the OPM backsolve method to estimate the fair value of our common stock, which derives the implied equity value for one type of equity security from a contemporaneous transaction involving another type of security, such as the shares of our Series A, Series A-1 and Series B convertible preferred stock. We used the OPM backsolve method because we were at an early stage of development and future liquidity events were difficult to forecast. We applied a discount for lack of marketability to account for a lack of access to an active public market.</w:t>
      </w:r>
    </w:p>
    <w:p>
      <w:pPr>
        <w:spacing w:after="0" w:line="165"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Beginning in March 2021, we began applying the hybrid method, which combines elements of the OPM backsolve method and the expected IPO value as estimated through analysis of IPOs for comparable guideline companies, to arrive at a value per share in the IPO scenario. The underlying equity values from each approach were probability weighted based upon the expected likelihood of each scenario.</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Options granted</w:t>
      </w:r>
    </w:p>
    <w:p>
      <w:pPr>
        <w:spacing w:after="0" w:line="225"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We did not issue any stock options during 2020. The following table sets forth by grant date the number of shares subject to options granted during 2021, the per share exercise price of the options, the fair value of common stock on each grant date, and the per share estimated fair value of the options: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2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Fair value of</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3"/>
              </w:rPr>
              <w:t>Per share</w:t>
            </w: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shares subject</w:t>
            </w: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per share on</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4"/>
              </w:rPr>
              <w:t>Grant Date</w:t>
            </w:r>
          </w:p>
        </w:tc>
        <w:tc>
          <w:tcPr>
            <w:tcW w:w="6360" w:type="dxa"/>
            <w:vAlign w:val="bottom"/>
            <w:vMerge w:val="restart"/>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to options</w:t>
            </w:r>
          </w:p>
        </w:tc>
        <w:tc>
          <w:tcPr>
            <w:tcW w:w="14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date of option</w:t>
            </w: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vMerge w:val="continue"/>
          </w:tcPr>
          <w:p>
            <w:pPr>
              <w:spacing w:after="0"/>
              <w:rPr>
                <w:sz w:val="15"/>
                <w:szCs w:val="15"/>
                <w:color w:val="auto"/>
              </w:rPr>
            </w:pPr>
          </w:p>
        </w:tc>
        <w:tc>
          <w:tcPr>
            <w:tcW w:w="6360" w:type="dxa"/>
            <w:vAlign w:val="bottom"/>
            <w:vMerge w:val="continue"/>
          </w:tcPr>
          <w:p>
            <w:pPr>
              <w:spacing w:after="0"/>
              <w:rPr>
                <w:sz w:val="15"/>
                <w:szCs w:val="15"/>
                <w:color w:val="auto"/>
              </w:rPr>
            </w:pPr>
          </w:p>
        </w:tc>
        <w:tc>
          <w:tcPr>
            <w:tcW w:w="152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3"/>
              </w:rPr>
              <w:t>granted</w:t>
            </w:r>
          </w:p>
        </w:tc>
        <w:tc>
          <w:tcPr>
            <w:tcW w:w="100" w:type="dxa"/>
            <w:vAlign w:val="bottom"/>
          </w:tcPr>
          <w:p>
            <w:pPr>
              <w:spacing w:after="0"/>
              <w:rPr>
                <w:sz w:val="15"/>
                <w:szCs w:val="15"/>
                <w:color w:val="auto"/>
              </w:rPr>
            </w:pPr>
          </w:p>
        </w:tc>
        <w:tc>
          <w:tcPr>
            <w:tcW w:w="138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88"/>
              </w:rPr>
              <w:t>of options</w:t>
            </w:r>
          </w:p>
        </w:tc>
        <w:tc>
          <w:tcPr>
            <w:tcW w:w="200" w:type="dxa"/>
            <w:vAlign w:val="bottom"/>
          </w:tcPr>
          <w:p>
            <w:pPr>
              <w:spacing w:after="0"/>
              <w:rPr>
                <w:sz w:val="15"/>
                <w:szCs w:val="15"/>
                <w:color w:val="auto"/>
              </w:rPr>
            </w:pPr>
          </w:p>
        </w:tc>
        <w:tc>
          <w:tcPr>
            <w:tcW w:w="7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grant</w:t>
            </w:r>
          </w:p>
        </w:tc>
        <w:tc>
          <w:tcPr>
            <w:tcW w:w="0" w:type="dxa"/>
            <w:vAlign w:val="bottom"/>
          </w:tcPr>
          <w:p>
            <w:pPr>
              <w:spacing w:after="0"/>
              <w:rPr>
                <w:sz w:val="1"/>
                <w:szCs w:val="1"/>
                <w:color w:val="auto"/>
              </w:rPr>
            </w:pPr>
          </w:p>
        </w:tc>
      </w:tr>
      <w:tr>
        <w:trPr>
          <w:trHeight w:val="203"/>
        </w:trPr>
        <w:tc>
          <w:tcPr>
            <w:tcW w:w="7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January 4, 2021</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3,694,711</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0.80</w:t>
            </w: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 Tranche Rights Liability</w:t>
      </w:r>
    </w:p>
    <w:p>
      <w:pPr>
        <w:spacing w:after="0" w:line="225"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determined that our obligation to issue, and the investors’ right to purchase, additional shares of Series B pursuant to the milestone closings represent a freestanding financial instrument, or the tranche liability. The tranche liability was initially recorded at fair value. The proceeds from the sale of the convertible preferred stock are first allocated to the fair value of the tranche liability, with the remaining proceeds from the sale of the convertible preferred stock allocated to the Series B convertible preferred stock. The tranche liability is remeasured at each reporting period and upon the exercise or expiration of the obligation, with gains and losses arising from subsequent changes in its fair value recognized as a component of other income (expense) in the statement of operations. At the time of the exercise or expiration of the tranche liability, any remaining value of the tranche liability is reclassified to convertible preferred stock on the balance sheet.</w:t>
      </w:r>
    </w:p>
    <w:p>
      <w:pPr>
        <w:spacing w:after="0" w:line="17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fair value for the tranche liability was estimated as a forward contract using a tranche model as of November 20, 2020, December 31, 2020 and in the Stay Private scenario utilized in the hybrid methodology as of March 31, 2021. Under this approach, the fair value of the liability is discounted back to the valuation date, and adjusted for probability of the achievement of the milestone event. For the other portion of the hybrid method used as of March 31, 2021, the fair value for the tranche liability was estimated based upon an allocation of the underlying equity value, which was determined using an expected IPO value as estimated through analysis of IPOs for comparable guideline companies, to arrive at a value per share in the IPO scenario.</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225"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determined that the warrant liability met the definition of a freestanding financial instrument, as it was legally detachable and separately exercisable from the initial closing of the Series A-1 convertible preferred stock. The warrant liability is remeasured at each reporting period until the earlier of the exercise or expiration of the applicable warrant, with gains and losses arising from subsequent changes in its fair value recognized in other income (expense) in the statement of operations. At the time of the exercise or expiration of the warrant liability, any remaining value of the warrant liability is reclassified to convertible preferred stock on the balance sheet.</w:t>
      </w:r>
    </w:p>
    <w:p>
      <w:pPr>
        <w:spacing w:after="0" w:line="188"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fair value of the warrant liability was estimated using the OPM backsolve method as of December 31, 2019 and 2020 and using a hybrid method, which included an OPM backsolve in the Stay Private scenario as of March 31, 2021. The hybrid method used to value the warrant liability as of March 31, 2021 considered both the underlying equity value determined using the OPM backsolve method in a Stay Private scenario, as well as the underlying equity value that was determined using an expected IPO value as estimated through analysis of IPOs for comparable guideline companies, to arrive at a value per share in the IPO scenario. The underlying equity values from each approach were probability weighted based upon the expected likelihood of each scenario.</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See Note 2 to our financial statements included elsewhere in this prospectus for information about recent accounting pronouncements, the timing of their adoption, and our assessment, if any, of their potential impact on our financial condition and results of operations.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We are exposed to market risk related to changes in interest rates. As of December 31, 2019 and 2020 and March 31, 2021, our cash equivalents consisted of interest-bearing checking accounts and money market funds. Our primary exposure to market risk is interest rate sensitivity, which is affected by changes in the general level of U.S. interest rates. Due to the short-term nature and the low risk profile of our interest-bearing accounts, an immediate 10% change in interest rates would not have a material effect on the fair market value of our cash and cash equivalents or on our financial position or results of operations.</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Inflation generally affects us by increasing our costs. We do not believe that inflation had a material effect on our business, financial condition or results of operations during the years ended December 31, 2019 and 2020 and the three months ended March 31, 2021.</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2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are an emerging growth company, as defined in the JOBS Act, and we may remain an emerging growth company for up to five years following the completion of this offering.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reduced disclosure obligations regarding executive compensation in our periodic reports and proxy statements, exemptions from the requirements of holding a nonbinding advisory vote on executive compensation and any golden parachute payments not previously approved and an exemption from compliance with the requirements regarding the communication of critical audit matters in the auditor’s report on financial statements. In particular, in this prospectus, we have provided only two years of audited financial statements and have not included all of the executive compensation-related information that would be required if we were not an emerging growth company. Accordingly, the information contained herein may be different than the information you receive from other public companies in which you hold stock.</w:t>
      </w:r>
    </w:p>
    <w:p>
      <w:pPr>
        <w:spacing w:after="0" w:line="18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Under the JOBS Act, emerging growth companies can delay adopting new or revised accounting standards issued subsequent to the enactment of the JOBS Act until such time as those standards apply to private companies. We have elected to avail ourselves of this exemption from new or revised accounting standards and, therefore, we will not be subject to the same new or revised accounting standards as public companies that are not emerging growth companies. As a result of this election, our financial statements may not be comparable to those of companies that are not emerging growth companies.</w:t>
      </w:r>
    </w:p>
    <w:p>
      <w:pPr>
        <w:spacing w:after="0" w:line="188"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will remain an emerging growth company until the earliest to occur of: (i) the last day of the fiscal year in which we have at least $1.07 billion in annual revenue; (ii) the last day of the fiscal year in which we are deemed to be a “large accelerated filer,” as defined in Rule 12b-2 under the Exchange Act, which would occur if the market value of our common stock held by non-affiliates exceeded $700 million as of the last business day of the second fiscal quarter of such year; (iii) the date on which we have issued more than $1.0 billion in nonconvertible debt securities during the prior three-year period; and (iv) the last day of the fiscal year ending after the fifth anniversary of this offering.</w:t>
      </w:r>
    </w:p>
    <w:p>
      <w:pPr>
        <w:spacing w:after="0" w:line="17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are a clinical-stage biopharmaceutical company developing a novel disease-modifying approach to target what we believe to be a key underlying cause of Alzheimer’s disease, or AD. Alzheimer’s disease is a progressive neurodegenerative disease of the brain that leads to loss of memory and cognitive functions and ultimately results in death. Our scientific founders pioneered research on soluble amyloid-beta oligomers, or AbOs, which are globular assemblies of the amyloid-beta, or Ab, peptide that are distinct from Ab monomers and amyloid plaques. Based on decades of research and supporting evidence, AbOs have gained increasing scientific acceptance as a primary toxin involved in the initiation and propagation of AD pathology. We are currently focused on advancing a targeted immunotherapy drug candidate, ACU193, through clinical proof of mechanism trials in early AD patients. ACU193 is a humanized monoclonal antibody, or mAb, that selectively targets AbOs, has demonstrated functional and protective effects in in vitro assays, and has demonstrated in vivo safety and pharmacologic activity in multiple animal species, including transgenic models for AD. We initiated our Phase 1 clinical trial of ACU193 in the second quarter of 2021 with the objective to evaluate its safety and tolerability and explore its pharmacokinetics and target engagement. This trial is enrolling patients with mild dementia or mild cognitive impairment, or MCI, due to AD, conditions referred to as “early AD.” Data from this trial are expected by the fourth quarter of 2022.</w:t>
      </w:r>
    </w:p>
    <w:p>
      <w:pPr>
        <w:spacing w:after="0" w:line="172"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ACU193 is the result of over a decade of research and development undertaken by the company, which included a drug discovery partnership with Merck &amp; Co., Inc., or Merck, from 2003 to 2011. ACU193’s mechanism of action is intended to slow disease progression and potentially preserve or improve memory function in early AD patients by binding to AbOs. AbOs are known to bind to neurons, leading to synaptic malfunction, memory deficits, cognitive impairment and, ultimately, neurodegeneration and cell death. As such, we believe AbOs are the most toxic and pathogenic form of Ab in the brains of AD patients relative to other forms of amyloid, including Ab monomers and amyloid plaques. We believe the development and commercialization of a drug that reduces toxicity of AbOs is one of the most promising approaches for the potential treatment and prevention of the progression of AD.</w:t>
      </w:r>
    </w:p>
    <w:p>
      <w:pPr>
        <w:spacing w:after="0" w:line="195" w:lineRule="exact"/>
        <w:rPr>
          <w:sz w:val="20"/>
          <w:szCs w:val="20"/>
          <w:color w:val="auto"/>
        </w:rPr>
      </w:pPr>
    </w:p>
    <w:p>
      <w:pPr>
        <w:jc w:val="both"/>
        <w:ind w:left="120" w:right="140" w:firstLine="881"/>
        <w:spacing w:after="0" w:line="287" w:lineRule="auto"/>
        <w:rPr>
          <w:sz w:val="20"/>
          <w:szCs w:val="20"/>
          <w:color w:val="auto"/>
        </w:rPr>
      </w:pPr>
      <w:r>
        <w:rPr>
          <w:rFonts w:ascii="Arial" w:cs="Arial" w:eastAsia="Arial" w:hAnsi="Arial"/>
          <w:sz w:val="16"/>
          <w:szCs w:val="16"/>
          <w:color w:val="auto"/>
        </w:rPr>
        <w:t>In our nonclinical studies, we observed that ACU193 has over 500-fold greater selectivity for AbOs over Ab monomers and has limited or no binding to amyloid plaques. Also, ACU193 potently prevents binding of AbOs to hippocampal neurons. Recent laboratory studies conducted by us and others suggest that inhibiting AbOs may enable damaged brain circuits to regain some function and prevent further degeneration from occurring.</w:t>
      </w:r>
    </w:p>
    <w:p>
      <w:pPr>
        <w:spacing w:after="0" w:line="2"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ACU193 has demonstrated in vivo biochemical and behavioral activity in several AD mouse models, including crossing the blood-brain barrier and forming complexes with AbOs in a dose-dependent manner. ACU193 has shown consistent pharmacokinetics and brain penetration properties in four animal species. Safety toxicology studies in rats and monkeys provide acceptable margins for dosing in the clinic. Additionally, studies in transgenic mice indicate low potential for microhemorrhage. Based in part on its binding affinity for AbOs rather than amyloid plaques, ACU193 has the potential to have a lower rate of amyloid-related imaging abnormalities, or ARIA, than the plaque-clearing anti-amyloid antibody therapies currently in development. ARIA is a common adverse event for antibodies targeting amyloid plaque and can be a dose-limiting safety liability for those antibodies.</w:t>
      </w:r>
    </w:p>
    <w:p>
      <w:pPr>
        <w:spacing w:after="0" w:line="164"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Our Phase 1 trial is a U.S.-based, multi-center, randomized, double-blind, placebo-controlled clinical trial with overlapping single ascending dose, or SAD, and multiple ascending dose, or MAD, cohorts involving 62 patients with early AD. The overall objective of the trial is to evaluate the safety and tolerability, and establish clinical proof of mechanism of ACU193 administered intravenously in single and multiple escalating doses. The primary trial endpoints are focused on safety and immunogenicity. An important safety measure will be the use of magnetic resonance imaging, or MRI, to assess the presence or absence of ARIA. Secondary endpoints include pharmacokinetics in plasma and cerebrospinal fluid, or CSF, and target engagement as evidenced by detection of ACU193 bound to AbOs in CSF. Clinical scales typically used in AD trials as well as computerized cognitive testing are included as exploratory measures. We expect to report proof of mechanism results by the fourth quarter of 2022, with periodic updates including trial progress and cohort advancement.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Alzheimer’s disease currently affects over 6 million people in the United States and approximately 32 million people worldwide and is the sixth-leading cause of death in the United States. However, due to the aging population, patient populations in the United States impacted by AD are expected to triple by 2050 without effective preventative measures or disease-modifying treatments. By 2050, healthcare costs for AD in the United States alone are estimated to exceed $1 trillion. While medications that provide a modest improvement in AD symptoms are available, with the exception of Biogen’s aducanumab, which was approved by the FDA in June 2021 and is pending regulatory approval in Europe and Japan, there are no therapies currently approved to address the underlying pathology of and slow the inexorable progression of the disease. The need for a medical breakthrough in AD treatment and prevention becomes more urgent with each passing year, and we believe that our novel approach can potentially help address this pressing need.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Understanding the Foundation of Our Therapeutic Approach</w:t>
      </w:r>
    </w:p>
    <w:p>
      <w:pPr>
        <w:spacing w:after="0" w:line="229"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While the pathology of AD was first described by Dr. Alois Alzheimer in 1906, the amyloid hypothesis was not developed until the Ab peptide was first identified as a major constituent of amyloid plaques in the 1980s. Historically, the primary hypothesis of decades of AD research, known as the amyloid hypothesis, held that AD dementia is the clinical consequence of Ab peptide monomers accumulating into extracellular amyloid plaques, or amyloid plaques, which in turn contribute to the formation of intracellular neurofibrillary tangles composed of the tau protein and cause inflammation, ultimately leading to neuronal cell loss and progressive dementia. The primary constituent of amyloid plaques is the Ab peptide, although other proteins are present to lesser degrees.</w:t>
      </w:r>
    </w:p>
    <w:p>
      <w:pPr>
        <w:spacing w:after="0" w:line="192"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amyloid hypothesis was more firmly established when a series of genetic mutations causing AD were discovered in the early to mid-1990s. These mutations were found in genes coding for the Amyloid Precursor Protein, or APP, and the genes coding for one of the enzymes which cleaves APP, creating the Ab peptide. Based on this hypothesis, a number of monoclonal antibodies currently or previously in clinical development for AD have primarily targeted either Ab monomers or amyloid plaques; for our purposes, this broadly defined class is referred to as anti-Ab/plaque antibodies. Several of these antibodies are currently in late-stage development or are awaiting regulatory approval, and collectively they have provided a biological foothold for treating AD. However, the clinical data available to date indicate some of the potential limitations of these approaches with respect to clinically meaningful patient benefit and safety.</w:t>
      </w:r>
    </w:p>
    <w:p>
      <w:pPr>
        <w:spacing w:after="0" w:line="19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Though alternative hypotheses to the amyloid hypothesis propose that amyloid accumulation is a consequence of another process such as infection, the field has now developed an understanding that the three predominant pools of Ab species exist in vivo: Ab monomers (single Ab peptide), amyloid plaques (insoluble fibrillar Ab), and soluble AbOs (dimers and up to 200-mers). The more recent appreciation of the crucial role of AbOs in the pathologic process is the central tenet of our therapeutic approach.</w:t>
      </w:r>
    </w:p>
    <w:p>
      <w:pPr>
        <w:spacing w:after="0" w:line="187" w:lineRule="exact"/>
        <w:rPr>
          <w:sz w:val="20"/>
          <w:szCs w:val="20"/>
          <w:color w:val="auto"/>
        </w:rPr>
      </w:pPr>
    </w:p>
    <w:p>
      <w:pPr>
        <w:ind w:left="120" w:right="160" w:firstLine="881"/>
        <w:spacing w:after="0" w:line="272" w:lineRule="auto"/>
        <w:rPr>
          <w:sz w:val="20"/>
          <w:szCs w:val="20"/>
          <w:color w:val="auto"/>
        </w:rPr>
      </w:pPr>
      <w:r>
        <w:rPr>
          <w:rFonts w:ascii="Arial" w:cs="Arial" w:eastAsia="Arial" w:hAnsi="Arial"/>
          <w:sz w:val="17"/>
          <w:szCs w:val="17"/>
          <w:color w:val="auto"/>
        </w:rPr>
        <w:t>Our therapeutic approach focuses on targeting AbOs, which we believe are the most toxic and pathogenic form of Ab relative to Ab monomers and amyloid plaques. Growing evidence, spurred by advances in AD research and analytic techniques, supports our view that AbOs are the main instigators of AD neurodegeneration. AbOs have been observed to be potent neurotoxins that cause both acute synaptic toxicity and induce neurodegeneration. Experimentally in animal models, the accumulation of AbOs is associated with core AD neuropathologies, including synapse deterioration and loss, tau phosphorylation, and inflammation. Research has also shown that the accumulation of AbOs is associated with AD-related behavioral deficits, such as learning and memory impairment. In light of this evidence, we believe that blocking the toxicity of AbOs is the most promising approach for the treatment of AD, which led us to discover and develop ACU193.</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 Candidate</w:t>
      </w:r>
    </w:p>
    <w:p>
      <w:pPr>
        <w:spacing w:after="0" w:line="229"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Our product candidate, ACU193, is a humanized monoclonal antibody that targets soluble AbOs. We are developing ACU193 for intravenous, or IV, administration every four weeks for the treatment of early AD. We believe that ACU193 represents a differentiated approach from current and prior anti-Ab/plaque immunotherapies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63" w:lineRule="auto"/>
        <w:rPr>
          <w:sz w:val="20"/>
          <w:szCs w:val="20"/>
          <w:color w:val="auto"/>
        </w:rPr>
      </w:pPr>
      <w:r>
        <w:rPr>
          <w:rFonts w:ascii="Arial" w:cs="Arial" w:eastAsia="Arial" w:hAnsi="Arial"/>
          <w:sz w:val="18"/>
          <w:szCs w:val="18"/>
          <w:color w:val="auto"/>
        </w:rPr>
        <w:t>because it is highly selective for soluble AbOs. ACU193 has a nanomolar affinity for AbOs, over 500-fold greater selectivity for AbOs over Ab monomers, and limited or no binding to dense core amyloid plaques. We believe ACU193 is the most advanced immunotherapy candidate in development that selectively targets AbOs.</w:t>
      </w:r>
    </w:p>
    <w:p>
      <w:pPr>
        <w:spacing w:after="0" w:line="184"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We believe ACU193 has characteristics that make it a promising potential treatment for AD relative to other antibodies that do not selectively target oligomers. ACU193 is engineered to reduce immune effector function signaling and to avoid binding to vascular amyloid, which we expect will reduce the incidence of ARIA observed with amyloid plaque-targeting immunotherapies currently in development for AD. We are currently assessing ACU193 in a proof of mechanism Phase 1 clinical trial involving early AD patients, which we expect to follow with an adaptive Phase 2/3 clinical trial in 2023.</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Clinical Development Plan</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In the second quarter of 2021, we initiated a U.S.-based, multi-center, randomized, placebo-controlled, single and multiple ascending dose Phase 1 clinical trial of ACU193 in patients with early AD. The early AD patient group is comprised of individuals who have mild dementia or MCI due to AD, and our trial excludes patients with moderate to severe AD dementia. We plan to enroll 62 patients across seven cohorts, consisting of a single ascending dose Part A (32 participants) and an overlapping multiple ascending dose Part B (30 participants). Part A will contain Cohorts 1 through 4; each cohort will receive a single IV dose between 2mg/kg and 60 mg/kg, or placebo. Part B will contain Cohorts 5 through 7; each cohort will receive a total of three doses of ACU193 or placebo as follows: 10 mg/kg every four weeks (Q4W), 60 mg/kg Q4W, or 60 mg/kg every two weeks (Q2W).</w:t>
      </w:r>
    </w:p>
    <w:p>
      <w:pPr>
        <w:spacing w:after="0" w:line="16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main objectives of the trial are to evaluate the safety, tolerability, pharmacokinetics, pharmacodynamics, and target engagement of single and multiple ascending doses of ACU193 administered by intravenous infusion. Exploratory outcomes will include cognitive scales and computerized cognitive testing. Our goal is to establish proof of mechanism of ACU193 in early AD patients in order to enable rapid progression into an adaptive Phase 2/3 clinical trial. We intend to provide periodic updates of the status of the Phase 1 trial and anticipate reporting proof of mechanism results in the fourth quarter of 2022.</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Our Nonclinical Data</w:t>
      </w:r>
    </w:p>
    <w:p>
      <w:pPr>
        <w:spacing w:after="0" w:line="229"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In nonclinical studies, ACU193 has demonstrated promising characteristics that indicate its potential to inhibit AbOs as a possible therapeutic treatment of AD. ACU193 has high selectivity, with over 500-fold binding selectivity for AbOs compared to Ab monomers and has limited or no binding to amyloid plaques. ACU193 binds to a broad spectrum of small to large soluble AbOs. Additionally, ACU193 has been shown to offer protection from synaptic toxicity by inhibiting binding of AbOs to primary hippocampal neurons. ACU193 has also demonstrated suitable in vivo pharmacology, target engagement, blood-brain barrier penetration and reduction of behavioral deficits. Based on nonclinical studies, AbO target engagement has the potential to be achieved at doses of ACU193 that will be tested in our Phase 1 clinical trial. Lastly, ACU193 has been shown to have an adequate safety margin in Good Laboratory Practice, or GLP, toxicity studies conducted in two animal species. These data indicate that ACU193 has the potential to offer patients a reduction in cognitive decline.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Our objective is to transform the treatment of AD, and potentially other diseases, by developing innovative therapeutics that target primary drivers of disease pathology. Our initial therapeutic approach is focused on inhibiting and reducing the toxic activity of AbOs, which may allow for synaptic protection and decreased neurodegeneration, leading to more effective treatment for patients with early AD. To achieve this objective, we are pursuing the following strategies:</w:t>
      </w:r>
    </w:p>
    <w:p>
      <w:pPr>
        <w:spacing w:after="0" w:line="210" w:lineRule="exact"/>
        <w:rPr>
          <w:sz w:val="20"/>
          <w:szCs w:val="20"/>
          <w:color w:val="auto"/>
        </w:rPr>
      </w:pPr>
    </w:p>
    <w:p>
      <w:pPr>
        <w:ind w:left="1420" w:right="60" w:hanging="319"/>
        <w:spacing w:after="0" w:line="282"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Rapidly advance ACU193 through clinical development in patients with early AD. </w:t>
      </w:r>
      <w:r>
        <w:rPr>
          <w:rFonts w:ascii="Arial" w:cs="Arial" w:eastAsia="Arial" w:hAnsi="Arial"/>
          <w:sz w:val="18"/>
          <w:szCs w:val="18"/>
          <w:color w:val="auto"/>
        </w:rPr>
        <w:t>Based on the strength of the data we observed</w:t>
      </w:r>
      <w:r>
        <w:rPr>
          <w:rFonts w:ascii="Arial" w:cs="Arial" w:eastAsia="Arial" w:hAnsi="Arial"/>
          <w:sz w:val="18"/>
          <w:szCs w:val="18"/>
          <w:b w:val="1"/>
          <w:bCs w:val="1"/>
          <w:color w:val="auto"/>
        </w:rPr>
        <w:t xml:space="preserve"> </w:t>
      </w:r>
      <w:r>
        <w:rPr>
          <w:rFonts w:ascii="Arial" w:cs="Arial" w:eastAsia="Arial" w:hAnsi="Arial"/>
          <w:sz w:val="18"/>
          <w:szCs w:val="18"/>
          <w:color w:val="auto"/>
        </w:rPr>
        <w:t>in our nonclinical studies, we initiated a Phase 1 clinical trial in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20"/>
        <w:spacing w:after="0" w:line="277" w:lineRule="auto"/>
        <w:rPr>
          <w:sz w:val="20"/>
          <w:szCs w:val="20"/>
          <w:color w:val="auto"/>
        </w:rPr>
      </w:pPr>
      <w:r>
        <w:rPr>
          <w:rFonts w:ascii="Arial" w:cs="Arial" w:eastAsia="Arial" w:hAnsi="Arial"/>
          <w:sz w:val="18"/>
          <w:szCs w:val="18"/>
          <w:color w:val="auto"/>
        </w:rPr>
        <w:t>the second quarter of 2021 designed to evaluate safety and tolerability and establish proof of mechanism of ACU193 in early AD patients, which we expect to follow with an adaptive Phase 2/3 clinical trial.</w:t>
      </w:r>
    </w:p>
    <w:p>
      <w:pPr>
        <w:spacing w:after="0" w:line="193" w:lineRule="exact"/>
        <w:rPr>
          <w:sz w:val="20"/>
          <w:szCs w:val="20"/>
          <w:color w:val="auto"/>
        </w:rPr>
      </w:pPr>
    </w:p>
    <w:p>
      <w:pPr>
        <w:ind w:left="1420" w:hanging="319"/>
        <w:spacing w:after="0" w:line="298" w:lineRule="auto"/>
        <w:tabs>
          <w:tab w:leader="none" w:pos="142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Evaluate combination approaches to complement our core ACU193 monotherapy strategy. </w:t>
      </w:r>
      <w:r>
        <w:rPr>
          <w:rFonts w:ascii="Arial" w:cs="Arial" w:eastAsia="Arial" w:hAnsi="Arial"/>
          <w:sz w:val="16"/>
          <w:szCs w:val="16"/>
          <w:color w:val="auto"/>
        </w:rPr>
        <w:t>Using ACU193 as the foundation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our AD therapy, we will evaluate its potential to be used in combination with drugs currently in development that have complementary mechanisms, which, if successful, could provide additive or even synergistic effects when used with ACU193. These other drugs include various antibodies and small molecules targeting tau, investigational drugs targeting inflammation (TREM2), regenerative drugs (hepatocyte growth factor/MET receptor stimulator) and drugs which putatively improve astrocyte function.</w:t>
      </w:r>
    </w:p>
    <w:p>
      <w:pPr>
        <w:spacing w:after="0" w:line="180" w:lineRule="exact"/>
        <w:rPr>
          <w:rFonts w:ascii="Arial" w:cs="Arial" w:eastAsia="Arial" w:hAnsi="Arial"/>
          <w:sz w:val="16"/>
          <w:szCs w:val="16"/>
          <w:color w:val="auto"/>
        </w:rPr>
      </w:pPr>
    </w:p>
    <w:p>
      <w:pPr>
        <w:ind w:left="1420" w:right="120" w:hanging="319"/>
        <w:spacing w:after="0" w:line="261"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Selectively explore potential of ACU193 for other diseases. </w:t>
      </w:r>
      <w:r>
        <w:rPr>
          <w:rFonts w:ascii="Arial" w:cs="Arial" w:eastAsia="Arial" w:hAnsi="Arial"/>
          <w:sz w:val="18"/>
          <w:szCs w:val="18"/>
          <w:color w:val="auto"/>
        </w:rPr>
        <w:t>Toxic AbOs have been implicated in several disease pathologies in</w:t>
      </w:r>
      <w:r>
        <w:rPr>
          <w:rFonts w:ascii="Arial" w:cs="Arial" w:eastAsia="Arial" w:hAnsi="Arial"/>
          <w:sz w:val="18"/>
          <w:szCs w:val="18"/>
          <w:b w:val="1"/>
          <w:bCs w:val="1"/>
          <w:color w:val="auto"/>
        </w:rPr>
        <w:t xml:space="preserve"> </w:t>
      </w:r>
      <w:r>
        <w:rPr>
          <w:rFonts w:ascii="Arial" w:cs="Arial" w:eastAsia="Arial" w:hAnsi="Arial"/>
          <w:sz w:val="18"/>
          <w:szCs w:val="18"/>
          <w:color w:val="auto"/>
        </w:rPr>
        <w:t>nonclinical and epidemiological studies (e.g., dementia associated with Down Syndrome, glaucoma and retinopathies associated with age-related macular degeneration). Where both human observational data and nonclinical experiments support its therapeutic potential, we may conduct clinical trials of ACU193 in other indications.</w:t>
      </w:r>
    </w:p>
    <w:p>
      <w:pPr>
        <w:spacing w:after="0" w:line="206" w:lineRule="exact"/>
        <w:rPr>
          <w:rFonts w:ascii="Arial" w:cs="Arial" w:eastAsia="Arial" w:hAnsi="Arial"/>
          <w:sz w:val="18"/>
          <w:szCs w:val="18"/>
          <w:color w:val="auto"/>
        </w:rPr>
      </w:pPr>
    </w:p>
    <w:p>
      <w:pPr>
        <w:ind w:left="1420" w:right="220" w:hanging="319"/>
        <w:spacing w:after="0" w:line="261"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Expand our portfolio by developing additional molecules. </w:t>
      </w:r>
      <w:r>
        <w:rPr>
          <w:rFonts w:ascii="Arial" w:cs="Arial" w:eastAsia="Arial" w:hAnsi="Arial"/>
          <w:sz w:val="18"/>
          <w:szCs w:val="18"/>
          <w:color w:val="auto"/>
        </w:rPr>
        <w:t>In the long term, a key element of our portfolio strategy is to advance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molecule development through in-licensing or development of alternative formulations for or derivatives of ACU193. Additional molecules may utilize complementary mechanisms to ACU193, making them candidates for combination therapies or as next-generation products.</w:t>
      </w:r>
    </w:p>
    <w:p>
      <w:pPr>
        <w:spacing w:after="0" w:line="206" w:lineRule="exact"/>
        <w:rPr>
          <w:rFonts w:ascii="Arial" w:cs="Arial" w:eastAsia="Arial" w:hAnsi="Arial"/>
          <w:sz w:val="18"/>
          <w:szCs w:val="18"/>
          <w:color w:val="auto"/>
        </w:rPr>
      </w:pPr>
    </w:p>
    <w:p>
      <w:pPr>
        <w:ind w:left="1420" w:right="180" w:hanging="319"/>
        <w:spacing w:after="0" w:line="261"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Optimize value of ACU193 and future drug candidates in major markets. </w:t>
      </w:r>
      <w:r>
        <w:rPr>
          <w:rFonts w:ascii="Arial" w:cs="Arial" w:eastAsia="Arial" w:hAnsi="Arial"/>
          <w:sz w:val="18"/>
          <w:szCs w:val="18"/>
          <w:color w:val="auto"/>
        </w:rPr>
        <w:t>We have an exclusive license from Merck to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claiming the composition and method of use of ACU193. We plan to develop and pursue approval of ACU193 and other future drug candidates in major markets. We anticipate entering into strategic collaborations and partnerships to maximize the commercial potential of ACU193 and any future programs.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We are led by an experienced management team with deep scientific and drug development knowledge and a strong commitment to developing safe and effective therapies for patients. Collectively, our management team has a rich set of experiences in industry as well as in academia, and has led clinical development programs at both public and venture-backed clinical-stage companies, as well as with large biopharmaceutical companies such as Eli Lilly &amp; Co., or Eli Lilly. We are led by our President and Chief Executive Officer, Daniel O’Connell, our Chief Financial Officer and Chief Business Officer, Matthew Zuga, our Chief Medical Officer, Eric Siemers, M.D. and our Chief Operating Officer, Russell Barton. Our executive team is complemented our drug development experts, approximately half of whom hold Ph.D. or M.D. degrees and are former members of Eli Lilly’s global AD clinical development organization. These team members, including Dr. Siemers and Mr. Barton, have worked for over a decade on early- through late-phase AD drug development, including numerous early-phase AD trials and five large multi-national Phase 3 studies in AD. Together, our management team brings expertise across relevant disciplines, including neuroscience, neurology, translational science, protein manufacturing, biomarker development and quality and regulatory affairs. We believe our team’s experience and longstanding working relationships position us to take ACU193 through late-stage clinical development and potentially regulatory approval.</w:t>
      </w:r>
    </w:p>
    <w:p>
      <w:pPr>
        <w:spacing w:after="0" w:line="182"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Our board of directors is comprised of our CEO and industry leaders that bring relevant biopharma and finance experience, including Jeffrey Ives, Ph.D., Venture Partner at New Leaf Venture Partners; Jeffrey Sevigny, M.D., Chief Medical Officer at Prevail Therapeutics; Sean Stalfort, President at PBM Capital; Laura Stoppel, Ph.D., Principal at RA Capital Management; and Stephen Zachary, Ph.D., Partner at Sands Capital.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We were founded by Caleb Finch, Ph.D., Grant Krafft, Ph.D. and William Klein, Ph.D., and Drs. Krafft and Klein currently serve as Scientific Advisors. Our clinical and scientific advisory board is comprised of leading researchers in the fields of AD, neurodegeneration and medicine, including Jeffrey Cummings, M.D., Sc.D., director for Transformative Neuroscience at the University of Nevada, Las Vegas; Steven DeKosky, M.D., deputy director at McKnight Brain Institute at the University of Florida; Cynthia Lemere, Ph.D., associate professor of neurology in the Ann Romney Center for Neurologic Diseases at Brigham and Women’s Hospital and Harvard Medical School; Colin Masters, M.D., professor and laboratory head of neuropathology and neurodegeneration at The Florey Institute; Stephen Salloway, M.D., M.S., director of neurology at Butler Hospital and professor at Brown University; Jeffrey Sevigny, M.D., who also sits on the Company’s board of directors; Reisa Sperling, M.D., professor of neurology at Harvard Medical School; and Michael Weiner, M.D., professor in residence in radiology and biomedical imaging, medicine, psychiatry, and neurology at the University of California, San Francisco.</w:t>
      </w:r>
    </w:p>
    <w:p>
      <w:pPr>
        <w:spacing w:after="0" w:line="181"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Our company has been financially supported by a group of institutional investors, and we have raised approximately $67.5 million in funding as of March 31, 2021. Our key investors include BlackRock, PBM Capital, RA Capital Management, Rock Springs Capital, Sands Capital and several other private investors, each of whom has participated in our Series A, Series A-1 or Series B financings or purchased convertible notes or warrants to purchase common stock of the company. Certain of our investors have committed to invest an additional aggregate of $30 million prior to the completion of this offering in a second closing of our Series B preferred stock financing, after which they will have no commitment to make any additional investment in the company. For additional information regarding our Series B preferred stock financing, see “Certain Relationships and Related Party Transactions—Private Placements of Our Securities—Convertible Preferred Stock Financings.”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AD</w:t>
      </w:r>
    </w:p>
    <w:p>
      <w:pPr>
        <w:spacing w:after="0" w:line="229"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Alzheimer’s disease represents a significant unmet medical need and there are no marketed treatments that address the underlying pathology of the disease with the exception of Biogen’s aducanumab, which received FDA accelerated approval in June 2021 and is pending regulatory approval in Europe and Japan. Alzheimer’s disease is a progressive neurodegenerative disease that destroys memory and other important cognitive functions and ultimately leads to patient death. Alzheimer’s disease is the sixth-leading cause of death in the United States. The disease afflicts more than 6 million people in the United States and more than 32 million people worldwide, and the patient population in the United States is expected to grow to approximately 13 million people in the United States by 2050. Alzheimer’s disease can have a significant burden on family and caretakers. In 2020, these caregivers provided an estimated 15.3 billion hours of care valued at nearly $257 billion. The direct costs of caring for individuals with AD and other dementias in the United States were estimated to total $355 billion in 2021, and are projected to increase to $1.1 trillion by 2050, according to the Alzheimer’s Association.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Therapeutic Approaches to AD</w:t>
      </w:r>
    </w:p>
    <w:p>
      <w:pPr>
        <w:spacing w:after="0" w:line="229"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color w:val="auto"/>
        </w:rPr>
        <w:t>The development of effective therapeutics addressing the underlying cause of AD is one of the greatest medical challenges facing society. Existing treatments for AD consist of drugs that provide modest improvements in symptoms but have no impact on the underlying disease and are unable to halt or slow disease progression. While the pathology of AD was first described by Dr. Alois Alzheimer in 1906, the amyloid hypothesis was not developed until the Ab peptide was first identified as a major constituent of amyloid plaques in the 1980s. The hypothesis was more firmly established when a series of genetic mutations causing the disease were discovered in the early to mid-1990s. These mutations were found in genes coding for APP or in genes coding for one of the enzymes which cleaves APP, creating the Ab peptide.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Available Treatments: Symptomatic Treatments</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Currently available symptomatic treatments include memantine, an N-methyl-D-aspartate receptor antagonist, and cholinesterase inhibitors, a class of drugs that block the normal breakdown of acetylcholine. The first approved cholinesterase inhibitor, tacrine, was approved in 1993, but was later withdrawn from the market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308" w:lineRule="auto"/>
        <w:rPr>
          <w:sz w:val="20"/>
          <w:szCs w:val="20"/>
          <w:color w:val="auto"/>
        </w:rPr>
      </w:pPr>
      <w:r>
        <w:rPr>
          <w:rFonts w:ascii="Arial" w:cs="Arial" w:eastAsia="Arial" w:hAnsi="Arial"/>
          <w:sz w:val="17"/>
          <w:szCs w:val="17"/>
          <w:color w:val="auto"/>
        </w:rPr>
        <w:t>due to liver toxicity. Three other cholinesterase inhibitors were subsequently approved and continue to be used clinically. Memantine is the most recently approved symptomatic treatment drug for AD in 2003 and is indicated for use in moderate to severe AD patients.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Disease-Modifying Approaches focusing on A</w:t>
      </w:r>
      <w:r>
        <w:rPr>
          <w:rFonts w:ascii="Arial" w:cs="Arial" w:eastAsia="Arial" w:hAnsi="Arial"/>
          <w:sz w:val="18"/>
          <w:szCs w:val="18"/>
          <w:color w:val="auto"/>
        </w:rPr>
        <w:t>b</w:t>
      </w:r>
    </w:p>
    <w:p>
      <w:pPr>
        <w:spacing w:after="0" w:line="225" w:lineRule="exact"/>
        <w:rPr>
          <w:sz w:val="20"/>
          <w:szCs w:val="20"/>
          <w:color w:val="auto"/>
        </w:rPr>
      </w:pPr>
    </w:p>
    <w:p>
      <w:pPr>
        <w:ind w:left="120" w:right="340" w:firstLine="881"/>
        <w:spacing w:after="0" w:line="279" w:lineRule="auto"/>
        <w:rPr>
          <w:sz w:val="20"/>
          <w:szCs w:val="20"/>
          <w:color w:val="auto"/>
        </w:rPr>
      </w:pPr>
      <w:r>
        <w:rPr>
          <w:rFonts w:ascii="Arial" w:cs="Arial" w:eastAsia="Arial" w:hAnsi="Arial"/>
          <w:sz w:val="17"/>
          <w:szCs w:val="17"/>
          <w:color w:val="auto"/>
        </w:rPr>
        <w:t>Because of the lack of significant improvement provided by these symptomatic drugs, there remains a significant need for therapies that target underlying disease pathology and potentially slow or halt disease progression. Based on the strong linkage between Ab and AD pathology established by decades of research, a range of treatment modalities focusing on Ab have been explored as potential disease-modifying treatments, including g-secretase inhibitors, b-site APP-cleaving enzyme, or BACE, inhibitors and monoclonal antibodies.</w:t>
      </w:r>
    </w:p>
    <w:p>
      <w:pPr>
        <w:spacing w:after="0" w:line="171"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Initial attempts at disease modification were made using g-secretase inhibitors and BACE inhibitors, each of which inhibited a different enzyme necessary to produce the Ab peptide. The first Phase 3 clinical trial results from a g-secretase inhibitor, semagacestat, were reported in 2010 and unexpectedly showed modest cognitive worsening. Development of the other g-secretase inhibitor, avagacestat, was also stopped due to cognitive worsening observed in the clinic. At least four BACE inhibitors have reached clinical trials; however, during 2018 and 2019, Phase 3 clinical trial results for many BACE inhibitors, including verubecestat and elenbecestat, also unexpectedly showed modest clinical worsening.</w:t>
      </w:r>
    </w:p>
    <w:p>
      <w:pPr>
        <w:spacing w:after="0" w:line="176"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A third class of potential disease-modifying agents, monoclonal antibodies, or mAbs, have targeted Ab monomers or amyloid plaques directly. Some of these monoclonal antibodies, such as solanezumab (an Eli Lilly product), target Ab monomers, while others, such as aducanumab (a Biogen product), target deposited amyloid plaque, and these monoclonal antibodies have been evaluated in Phase 2 and Phase 3 trials over the period from 2012 to 2021. The most advanced monoclonal antibody for the treatment of AD is aducanumab, which received Food and Drug Administration, or FDA, approval in June 2021 and for which Biogen has applied for regulatory approval from the European Medicines Agency, or EMA, and Pharmaceuticals and Medical Devises Agency, or PMDA, in the United States, Europe, and Japan, respectively. As shown in Table 1 below, several of these antibodies have demonstrated some degree of slowing of disease progression in clinical trials, as measured by customary assessments of cognition and function.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1: Percent Slowing of Cognitive/Functional Decline*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7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solanezumab</w:t>
            </w: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0"/>
              </w:rPr>
              <w:t>aducanumab</w:t>
            </w: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aducanumab</w:t>
            </w: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1"/>
              </w:rPr>
              <w:t>BAN2401</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donanemab</w:t>
            </w:r>
          </w:p>
        </w:tc>
        <w:tc>
          <w:tcPr>
            <w:tcW w:w="0" w:type="dxa"/>
            <w:vAlign w:val="bottom"/>
          </w:tcPr>
          <w:p>
            <w:pPr>
              <w:spacing w:after="0"/>
              <w:rPr>
                <w:sz w:val="1"/>
                <w:szCs w:val="1"/>
                <w:color w:val="auto"/>
              </w:rPr>
            </w:pPr>
          </w:p>
        </w:tc>
      </w:tr>
      <w:tr>
        <w:trPr>
          <w:trHeight w:val="149"/>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5"/>
              </w:rPr>
              <w:t>Measured Outcome**</w:t>
            </w:r>
          </w:p>
        </w:tc>
        <w:tc>
          <w:tcPr>
            <w:tcW w:w="2960" w:type="dxa"/>
            <w:vAlign w:val="bottom"/>
          </w:tcPr>
          <w:p>
            <w:pPr>
              <w:spacing w:after="0"/>
              <w:rPr>
                <w:sz w:val="12"/>
                <w:szCs w:val="12"/>
                <w:color w:val="auto"/>
              </w:rPr>
            </w:pP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rPr>
              <w:t>EXPEDITION 3</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EMERGE</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ENGAGE†</w:t>
            </w:r>
          </w:p>
        </w:tc>
        <w:tc>
          <w:tcPr>
            <w:tcW w:w="11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360" w:type="dxa"/>
            <w:vAlign w:val="bottom"/>
            <w:tcBorders>
              <w:bottom w:val="single" w:sz="8" w:color="auto"/>
            </w:tcBorders>
            <w:vMerge w:val="continue"/>
          </w:tcPr>
          <w:p>
            <w:pPr>
              <w:spacing w:after="0"/>
              <w:rPr>
                <w:sz w:val="13"/>
                <w:szCs w:val="13"/>
                <w:color w:val="auto"/>
              </w:rPr>
            </w:pPr>
          </w:p>
        </w:tc>
        <w:tc>
          <w:tcPr>
            <w:tcW w:w="2960" w:type="dxa"/>
            <w:vAlign w:val="bottom"/>
          </w:tcPr>
          <w:p>
            <w:pPr>
              <w:spacing w:after="0"/>
              <w:rPr>
                <w:sz w:val="13"/>
                <w:szCs w:val="13"/>
                <w:color w:val="auto"/>
              </w:rPr>
            </w:pPr>
          </w:p>
        </w:tc>
        <w:tc>
          <w:tcPr>
            <w:tcW w:w="176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89"/>
              </w:rPr>
              <w:t>(Phase 3)</w:t>
            </w:r>
          </w:p>
        </w:tc>
        <w:tc>
          <w:tcPr>
            <w:tcW w:w="140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(Phase 3)</w:t>
            </w:r>
          </w:p>
        </w:tc>
        <w:tc>
          <w:tcPr>
            <w:tcW w:w="142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89"/>
              </w:rPr>
              <w:t>(Phase 3)</w:t>
            </w:r>
          </w:p>
        </w:tc>
        <w:tc>
          <w:tcPr>
            <w:tcW w:w="118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w w:val="89"/>
              </w:rPr>
              <w:t>(Phase 2)</w:t>
            </w:r>
          </w:p>
        </w:tc>
        <w:tc>
          <w:tcPr>
            <w:tcW w:w="94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w w:val="99"/>
              </w:rPr>
              <w:t>(Phase 2)</w:t>
            </w:r>
          </w:p>
        </w:tc>
        <w:tc>
          <w:tcPr>
            <w:tcW w:w="0" w:type="dxa"/>
            <w:vAlign w:val="bottom"/>
          </w:tcPr>
          <w:p>
            <w:pPr>
              <w:spacing w:after="0"/>
              <w:rPr>
                <w:sz w:val="1"/>
                <w:szCs w:val="1"/>
                <w:color w:val="auto"/>
              </w:rPr>
            </w:pPr>
          </w:p>
        </w:tc>
      </w:tr>
      <w:tr>
        <w:trPr>
          <w:trHeight w:val="20"/>
        </w:trPr>
        <w:tc>
          <w:tcPr>
            <w:tcW w:w="1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ADAS-cog</w:t>
            </w:r>
          </w:p>
        </w:tc>
        <w:tc>
          <w:tcPr>
            <w:tcW w:w="296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vMerge w:val="continue"/>
            <w:shd w:val="clear" w:color="auto" w:fill="CCEEFF"/>
          </w:tcPr>
          <w:p>
            <w:pPr>
              <w:spacing w:after="0"/>
              <w:rPr>
                <w:sz w:val="17"/>
                <w:szCs w:val="17"/>
                <w:color w:val="auto"/>
              </w:rPr>
            </w:pPr>
          </w:p>
        </w:tc>
        <w:tc>
          <w:tcPr>
            <w:tcW w:w="2960" w:type="dxa"/>
            <w:vAlign w:val="bottom"/>
            <w:vMerge w:val="continue"/>
            <w:shd w:val="clear" w:color="auto" w:fill="CCEEFF"/>
          </w:tcPr>
          <w:p>
            <w:pPr>
              <w:spacing w:after="0"/>
              <w:rPr>
                <w:sz w:val="17"/>
                <w:szCs w:val="17"/>
                <w:color w:val="auto"/>
              </w:rPr>
            </w:pPr>
          </w:p>
        </w:tc>
        <w:tc>
          <w:tcPr>
            <w:tcW w:w="176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-11%</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w:t>
            </w:r>
          </w:p>
        </w:tc>
        <w:tc>
          <w:tcPr>
            <w:tcW w:w="58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6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60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ADCS-ADL</w:t>
            </w:r>
          </w:p>
        </w:tc>
        <w:tc>
          <w:tcPr>
            <w:tcW w:w="4720" w:type="dxa"/>
            <w:vAlign w:val="bottom"/>
            <w:gridSpan w:val="3"/>
          </w:tcPr>
          <w:p>
            <w:pPr>
              <w:jc w:val="right"/>
              <w:ind w:right="580"/>
              <w:spacing w:after="0"/>
              <w:rPr>
                <w:sz w:val="20"/>
                <w:szCs w:val="20"/>
                <w:color w:val="auto"/>
              </w:rPr>
            </w:pPr>
            <w:r>
              <w:rPr>
                <w:rFonts w:ascii="Arial" w:cs="Arial" w:eastAsia="Arial" w:hAnsi="Arial"/>
                <w:sz w:val="18"/>
                <w:szCs w:val="18"/>
                <w:color w:val="auto"/>
              </w:rPr>
              <w:t>-15%</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-40%</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-18%</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CDR-SB</w:t>
            </w:r>
          </w:p>
        </w:tc>
        <w:tc>
          <w:tcPr>
            <w:tcW w:w="4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MMSE</w:t>
            </w:r>
          </w:p>
        </w:tc>
        <w:tc>
          <w:tcPr>
            <w:tcW w:w="4720" w:type="dxa"/>
            <w:vAlign w:val="bottom"/>
            <w:gridSpan w:val="3"/>
          </w:tcPr>
          <w:p>
            <w:pPr>
              <w:jc w:val="right"/>
              <w:ind w:right="580"/>
              <w:spacing w:after="0"/>
              <w:rPr>
                <w:sz w:val="20"/>
                <w:szCs w:val="20"/>
                <w:color w:val="auto"/>
              </w:rPr>
            </w:pPr>
            <w:r>
              <w:rPr>
                <w:rFonts w:ascii="Arial" w:cs="Arial" w:eastAsia="Arial" w:hAnsi="Arial"/>
                <w:sz w:val="18"/>
                <w:szCs w:val="18"/>
                <w:color w:val="auto"/>
              </w:rPr>
              <w:t>-13%</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-15%</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iADRS</w:t>
            </w:r>
          </w:p>
        </w:tc>
        <w:tc>
          <w:tcPr>
            <w:tcW w:w="4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9" w:lineRule="exact"/>
        <w:rPr>
          <w:sz w:val="20"/>
          <w:szCs w:val="20"/>
          <w:color w:val="auto"/>
        </w:rPr>
      </w:pPr>
    </w:p>
    <w:p>
      <w:pPr>
        <w:ind w:left="120" w:right="3460" w:hanging="4"/>
        <w:spacing w:after="0" w:line="266" w:lineRule="auto"/>
        <w:tabs>
          <w:tab w:leader="none" w:pos="336" w:val="left"/>
        </w:tabs>
        <w:numPr>
          <w:ilvl w:val="0"/>
          <w:numId w:val="75"/>
        </w:numPr>
        <w:rPr>
          <w:rFonts w:ascii="Arial" w:cs="Arial" w:eastAsia="Arial" w:hAnsi="Arial"/>
          <w:sz w:val="16"/>
          <w:szCs w:val="16"/>
          <w:color w:val="auto"/>
        </w:rPr>
      </w:pPr>
      <w:r>
        <w:rPr>
          <w:rFonts w:ascii="Arial" w:cs="Arial" w:eastAsia="Arial" w:hAnsi="Arial"/>
          <w:sz w:val="16"/>
          <w:szCs w:val="16"/>
          <w:color w:val="auto"/>
        </w:rPr>
        <w:t>Percent Slowing= [1- [(endpoint score-baseline score)active/(endpoint score-baseline score)placebo]]*100%*(-1) ** ADAS-cog: Alzheimer’s Disease Assessment Scale – Cognitive Subscale</w:t>
      </w:r>
    </w:p>
    <w:p>
      <w:pPr>
        <w:spacing w:after="0" w:line="1" w:lineRule="exact"/>
        <w:rPr>
          <w:rFonts w:ascii="Arial" w:cs="Arial" w:eastAsia="Arial" w:hAnsi="Arial"/>
          <w:sz w:val="16"/>
          <w:szCs w:val="16"/>
          <w:color w:val="auto"/>
        </w:rPr>
      </w:pPr>
    </w:p>
    <w:p>
      <w:pPr>
        <w:ind w:left="440" w:right="5380"/>
        <w:spacing w:after="0" w:line="264" w:lineRule="auto"/>
        <w:rPr>
          <w:rFonts w:ascii="Arial" w:cs="Arial" w:eastAsia="Arial" w:hAnsi="Arial"/>
          <w:sz w:val="16"/>
          <w:szCs w:val="16"/>
          <w:color w:val="auto"/>
        </w:rPr>
      </w:pPr>
      <w:r>
        <w:rPr>
          <w:rFonts w:ascii="Arial" w:cs="Arial" w:eastAsia="Arial" w:hAnsi="Arial"/>
          <w:sz w:val="16"/>
          <w:szCs w:val="16"/>
          <w:color w:val="auto"/>
        </w:rPr>
        <w:t>ADCS-ADL:Alzheimer’s Disease Cooperative Study – Activities of Daily Living CDR-SB:Clinical Dementia Rating – Sum of Boxes</w:t>
      </w:r>
    </w:p>
    <w:p>
      <w:pPr>
        <w:ind w:left="440" w:right="7280"/>
        <w:spacing w:after="0" w:line="301" w:lineRule="auto"/>
        <w:rPr>
          <w:rFonts w:ascii="Arial" w:cs="Arial" w:eastAsia="Arial" w:hAnsi="Arial"/>
          <w:sz w:val="16"/>
          <w:szCs w:val="16"/>
          <w:color w:val="auto"/>
        </w:rPr>
      </w:pPr>
      <w:r>
        <w:rPr>
          <w:rFonts w:ascii="Arial" w:cs="Arial" w:eastAsia="Arial" w:hAnsi="Arial"/>
          <w:sz w:val="14"/>
          <w:szCs w:val="14"/>
          <w:color w:val="auto"/>
        </w:rPr>
        <w:t>MMSE:Mini-Mental State Examination iADRS:Integrated Alzheimer’s Disease Rating Scale</w:t>
      </w:r>
    </w:p>
    <w:p>
      <w:pPr>
        <w:spacing w:after="0" w:line="1" w:lineRule="exact"/>
        <w:rPr>
          <w:rFonts w:ascii="Arial" w:cs="Arial" w:eastAsia="Arial" w:hAnsi="Arial"/>
          <w:sz w:val="16"/>
          <w:szCs w:val="16"/>
          <w:color w:val="auto"/>
        </w:rPr>
      </w:pPr>
    </w:p>
    <w:p>
      <w:pPr>
        <w:ind w:left="340" w:right="300" w:hanging="216"/>
        <w:spacing w:after="0" w:line="288" w:lineRule="auto"/>
        <w:rPr>
          <w:rFonts w:ascii="Arial" w:cs="Arial" w:eastAsia="Arial" w:hAnsi="Arial"/>
          <w:sz w:val="16"/>
          <w:szCs w:val="16"/>
          <w:color w:val="auto"/>
        </w:rPr>
      </w:pPr>
      <w:r>
        <w:rPr>
          <w:rFonts w:ascii="Arial" w:cs="Arial" w:eastAsia="Arial" w:hAnsi="Arial"/>
          <w:sz w:val="16"/>
          <w:szCs w:val="16"/>
          <w:color w:val="auto"/>
        </w:rPr>
        <w:t>†: ENGAGE Post-Protocol Version 4 – patients who received at least 14 doses of 10 mg/kg, High Dose cohort achieved 27% improvement on CDR-SB compared to placebo.</w:t>
      </w:r>
    </w:p>
    <w:p>
      <w:pPr>
        <w:spacing w:after="0" w:line="171" w:lineRule="exact"/>
        <w:rPr>
          <w:sz w:val="20"/>
          <w:szCs w:val="20"/>
          <w:color w:val="auto"/>
        </w:rPr>
      </w:pPr>
    </w:p>
    <w:p>
      <w:pPr>
        <w:jc w:val="both"/>
        <w:ind w:left="120" w:right="260" w:firstLine="881"/>
        <w:spacing w:after="0" w:line="311" w:lineRule="auto"/>
        <w:rPr>
          <w:sz w:val="20"/>
          <w:szCs w:val="20"/>
          <w:color w:val="auto"/>
        </w:rPr>
      </w:pPr>
      <w:r>
        <w:rPr>
          <w:rFonts w:ascii="Arial" w:cs="Arial" w:eastAsia="Arial" w:hAnsi="Arial"/>
          <w:sz w:val="16"/>
          <w:szCs w:val="16"/>
          <w:color w:val="auto"/>
        </w:rPr>
        <w:t>A potential limitation of the amyloid plaque-targeting antibodies under development is an adverse effect known as ARIA. ARIA has two different forms, ARIA-E, or cerebral edema, formerly called vasogenic edema, and ARIA-H, or cerebral microhemorrhages. While the mechanism of ARIA is not known with certainty, the prevailing theory is that ARIAs are related to the presence of amyloid plaques around blood vessels in the vast</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majority of people with AD, a condition known as cerebral amyloid angiopathy. It is generally believed that the removal of these amyloid plaques by the antibody can result in small hemorrhages, or ARIA-H. ARIA-H occurs in untreated individuals with AD and is increased in individuals treated with antibodies that target amyloid plaques. Increased ARIA-H is correlated with worsening cognition. In contrast to ARIA-H, ARIA-E is hypothesized to result from the leakage of fluid from the blood vessels into the interstitial spaces in the brain, causing edema, or ARIA-E. ARIA-E, in particular, is sometimes associated with symptoms that include worsening of cognition, headache, and gait disturbance, which can be severe enough to lead to hospitalization. ARIA-E usually resolves weeks to months following the cessation of treatment. In clinical trials for anti-Ab/plaque mAbs, surveillance MRI scans are required to detect asymptomatic ARIA. Table 2 below illustrates the rates of ARIA observed in Phase 2 or 3 studies for the most advanced mAbs. Given observed rates of ARIA, from approximately 10% to over 40%, we believe that MRI scans to assess for ARIA are likely to be required in clinical practice for any amyloid plaque-targeting monoclonal antibody that receives regulatory approval.</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2: Percent of ARIA Events for Anti-A</w:t>
      </w:r>
      <w:r>
        <w:rPr>
          <w:rFonts w:ascii="Arial" w:cs="Arial" w:eastAsia="Arial" w:hAnsi="Arial"/>
          <w:sz w:val="18"/>
          <w:szCs w:val="18"/>
          <w:color w:val="auto"/>
        </w:rPr>
        <w:t>b</w:t>
      </w:r>
      <w:r>
        <w:rPr>
          <w:rFonts w:ascii="Arial" w:cs="Arial" w:eastAsia="Arial" w:hAnsi="Arial"/>
          <w:sz w:val="18"/>
          <w:szCs w:val="18"/>
          <w:b w:val="1"/>
          <w:bCs w:val="1"/>
          <w:color w:val="auto"/>
        </w:rPr>
        <w:t>/plaque mAbs*</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ARIA-E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ApoE e4 carriers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5"/>
          <w:szCs w:val="15"/>
          <w:color w:val="auto"/>
        </w:rPr>
        <w:t>ApoE e4 non-carriers</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ARIA E or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101600</wp:posOffset>
            </wp:positionV>
            <wp:extent cx="18173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Targeting A</w:t>
            </w:r>
            <w:r>
              <w:rPr>
                <w:rFonts w:ascii="Arial" w:cs="Arial" w:eastAsia="Arial" w:hAnsi="Arial"/>
                <w:sz w:val="14"/>
                <w:szCs w:val="14"/>
                <w:color w:val="auto"/>
                <w:w w:val="93"/>
              </w:rPr>
              <w:t>b</w:t>
            </w:r>
            <w:r>
              <w:rPr>
                <w:rFonts w:ascii="Arial" w:cs="Arial" w:eastAsia="Arial" w:hAnsi="Arial"/>
                <w:sz w:val="14"/>
                <w:szCs w:val="14"/>
                <w:b w:val="1"/>
                <w:bCs w:val="1"/>
                <w:color w:val="auto"/>
                <w:w w:val="93"/>
              </w:rPr>
              <w:t xml:space="preserve"> Monomers</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right"/>
              <w:ind w:right="335"/>
              <w:spacing w:after="0"/>
              <w:rPr>
                <w:sz w:val="20"/>
                <w:szCs w:val="20"/>
                <w:color w:val="auto"/>
              </w:rPr>
            </w:pPr>
            <w:r>
              <w:rPr>
                <w:rFonts w:ascii="Arial" w:cs="Arial" w:eastAsia="Arial" w:hAnsi="Arial"/>
                <w:sz w:val="14"/>
                <w:szCs w:val="14"/>
                <w:b w:val="1"/>
                <w:bCs w:val="1"/>
                <w:color w:val="auto"/>
                <w:w w:val="93"/>
              </w:rPr>
              <w:t>Targeting Amyloid Plaques</w:t>
            </w: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solanezumab</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aducanumab</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4"/>
          </w:tcPr>
          <w:p>
            <w:pPr>
              <w:jc w:val="center"/>
              <w:ind w:left="11"/>
              <w:spacing w:after="0" w:line="119" w:lineRule="exact"/>
              <w:rPr>
                <w:sz w:val="20"/>
                <w:szCs w:val="20"/>
                <w:color w:val="auto"/>
              </w:rPr>
            </w:pPr>
            <w:r>
              <w:rPr>
                <w:rFonts w:ascii="Arial" w:cs="Arial" w:eastAsia="Arial" w:hAnsi="Arial"/>
                <w:sz w:val="13"/>
                <w:szCs w:val="13"/>
                <w:b w:val="1"/>
                <w:bCs w:val="1"/>
                <w:color w:val="auto"/>
                <w:w w:val="99"/>
              </w:rPr>
              <w:t>aducanumab</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4"/>
              </w:rPr>
              <w:t>BAN2401</w:t>
            </w:r>
          </w:p>
        </w:tc>
        <w:tc>
          <w:tcPr>
            <w:tcW w:w="132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donanemab</w:t>
            </w:r>
          </w:p>
        </w:tc>
        <w:tc>
          <w:tcPr>
            <w:tcW w:w="0" w:type="dxa"/>
            <w:vAlign w:val="bottom"/>
          </w:tcPr>
          <w:p>
            <w:pPr>
              <w:spacing w:after="0"/>
              <w:rPr>
                <w:sz w:val="1"/>
                <w:szCs w:val="1"/>
                <w:color w:val="auto"/>
              </w:rPr>
            </w:pPr>
          </w:p>
        </w:tc>
      </w:tr>
      <w:tr>
        <w:trPr>
          <w:trHeight w:val="148"/>
        </w:trPr>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EXPEDITION 3</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rPr>
              <w:t>EMERGE</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ENGAGE</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1140" w:type="dxa"/>
            <w:vAlign w:val="bottom"/>
            <w:gridSpan w:val="2"/>
          </w:tcPr>
          <w:p>
            <w:pPr>
              <w:jc w:val="center"/>
              <w:ind w:right="401"/>
              <w:spacing w:after="0"/>
              <w:rPr>
                <w:sz w:val="20"/>
                <w:szCs w:val="20"/>
                <w:color w:val="auto"/>
              </w:rPr>
            </w:pPr>
            <w:r>
              <w:rPr>
                <w:rFonts w:ascii="Arial" w:cs="Arial" w:eastAsia="Arial" w:hAnsi="Arial"/>
                <w:sz w:val="14"/>
                <w:szCs w:val="14"/>
                <w:b w:val="1"/>
                <w:bCs w:val="1"/>
                <w:color w:val="auto"/>
                <w:w w:val="93"/>
              </w:rPr>
              <w:t>(Phase 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(Phase 3)</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(Phase 3)</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(Phase2)</w:t>
            </w:r>
          </w:p>
        </w:tc>
        <w:tc>
          <w:tcPr>
            <w:tcW w:w="300" w:type="dxa"/>
            <w:vAlign w:val="bottom"/>
          </w:tcPr>
          <w:p>
            <w:pPr>
              <w:spacing w:after="0"/>
              <w:rPr>
                <w:sz w:val="14"/>
                <w:szCs w:val="14"/>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9"/>
              </w:rPr>
              <w:t>(Phase 2)</w:t>
            </w:r>
          </w:p>
        </w:tc>
        <w:tc>
          <w:tcPr>
            <w:tcW w:w="0" w:type="dxa"/>
            <w:vAlign w:val="bottom"/>
          </w:tcPr>
          <w:p>
            <w:pPr>
              <w:spacing w:after="0"/>
              <w:rPr>
                <w:sz w:val="1"/>
                <w:szCs w:val="1"/>
                <w:color w:val="auto"/>
              </w:rPr>
            </w:pPr>
          </w:p>
        </w:tc>
      </w:tr>
      <w:tr>
        <w:trPr>
          <w:trHeight w:val="162"/>
        </w:trPr>
        <w:tc>
          <w:tcPr>
            <w:tcW w:w="48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PC</w:t>
            </w: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Treated</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PC</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4"/>
                <w:szCs w:val="14"/>
                <w:color w:val="auto"/>
              </w:rPr>
            </w:pPr>
          </w:p>
        </w:tc>
        <w:tc>
          <w:tcPr>
            <w:tcW w:w="2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PC</w:t>
            </w: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Low</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PC</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4"/>
                <w:szCs w:val="14"/>
                <w:color w:val="auto"/>
              </w:rPr>
            </w:pPr>
          </w:p>
        </w:tc>
        <w:tc>
          <w:tcPr>
            <w:tcW w:w="3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PC</w:t>
            </w:r>
          </w:p>
        </w:tc>
        <w:tc>
          <w:tcPr>
            <w:tcW w:w="38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Treated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0" w:type="dxa"/>
            <w:vAlign w:val="bottom"/>
            <w:gridSpan w:val="2"/>
          </w:tcPr>
          <w:p>
            <w:pPr>
              <w:jc w:val="right"/>
              <w:ind w:right="148"/>
              <w:spacing w:after="0" w:line="176" w:lineRule="exact"/>
              <w:rPr>
                <w:sz w:val="20"/>
                <w:szCs w:val="20"/>
                <w:color w:val="auto"/>
              </w:rPr>
            </w:pPr>
            <w:r>
              <w:rPr>
                <w:rFonts w:ascii="Arial" w:cs="Arial" w:eastAsia="Arial" w:hAnsi="Arial"/>
                <w:sz w:val="17"/>
                <w:szCs w:val="17"/>
                <w:color w:val="auto"/>
              </w:rPr>
              <w:t>0.2%</w:t>
            </w:r>
          </w:p>
        </w:tc>
        <w:tc>
          <w:tcPr>
            <w:tcW w:w="780" w:type="dxa"/>
            <w:vAlign w:val="bottom"/>
          </w:tcPr>
          <w:p>
            <w:pPr>
              <w:jc w:val="right"/>
              <w:ind w:right="81"/>
              <w:spacing w:after="0" w:line="176" w:lineRule="exact"/>
              <w:rPr>
                <w:sz w:val="20"/>
                <w:szCs w:val="20"/>
                <w:color w:val="auto"/>
              </w:rPr>
            </w:pPr>
            <w:r>
              <w:rPr>
                <w:rFonts w:ascii="Arial" w:cs="Arial" w:eastAsia="Arial" w:hAnsi="Arial"/>
                <w:sz w:val="17"/>
                <w:szCs w:val="17"/>
                <w:color w:val="auto"/>
              </w:rPr>
              <w:t>0.1%</w:t>
            </w:r>
          </w:p>
        </w:tc>
        <w:tc>
          <w:tcPr>
            <w:tcW w:w="100" w:type="dxa"/>
            <w:vAlign w:val="bottom"/>
          </w:tcPr>
          <w:p>
            <w:pPr>
              <w:spacing w:after="0"/>
              <w:rPr>
                <w:sz w:val="15"/>
                <w:szCs w:val="15"/>
                <w:color w:val="auto"/>
              </w:rPr>
            </w:pPr>
          </w:p>
        </w:tc>
        <w:tc>
          <w:tcPr>
            <w:tcW w:w="54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2.2%</w:t>
            </w:r>
          </w:p>
        </w:tc>
        <w:tc>
          <w:tcPr>
            <w:tcW w:w="100" w:type="dxa"/>
            <w:vAlign w:val="bottom"/>
          </w:tcPr>
          <w:p>
            <w:pPr>
              <w:spacing w:after="0"/>
              <w:rPr>
                <w:sz w:val="15"/>
                <w:szCs w:val="15"/>
                <w:color w:val="auto"/>
              </w:rPr>
            </w:pPr>
          </w:p>
        </w:tc>
        <w:tc>
          <w:tcPr>
            <w:tcW w:w="640" w:type="dxa"/>
            <w:vAlign w:val="bottom"/>
            <w:gridSpan w:val="2"/>
          </w:tcPr>
          <w:p>
            <w:pPr>
              <w:jc w:val="right"/>
              <w:ind w:right="120"/>
              <w:spacing w:after="0" w:line="176" w:lineRule="exact"/>
              <w:rPr>
                <w:sz w:val="20"/>
                <w:szCs w:val="20"/>
                <w:color w:val="auto"/>
              </w:rPr>
            </w:pPr>
            <w:r>
              <w:rPr>
                <w:rFonts w:ascii="Arial" w:cs="Arial" w:eastAsia="Arial" w:hAnsi="Arial"/>
                <w:sz w:val="17"/>
                <w:szCs w:val="17"/>
                <w:color w:val="auto"/>
              </w:rPr>
              <w:t>26.1%</w:t>
            </w:r>
          </w:p>
        </w:tc>
        <w:tc>
          <w:tcPr>
            <w:tcW w:w="660" w:type="dxa"/>
            <w:vAlign w:val="bottom"/>
            <w:gridSpan w:val="2"/>
          </w:tcPr>
          <w:p>
            <w:pPr>
              <w:jc w:val="right"/>
              <w:ind w:right="140"/>
              <w:spacing w:after="0" w:line="176" w:lineRule="exact"/>
              <w:rPr>
                <w:sz w:val="20"/>
                <w:szCs w:val="20"/>
                <w:color w:val="auto"/>
              </w:rPr>
            </w:pPr>
            <w:r>
              <w:rPr>
                <w:rFonts w:ascii="Arial" w:cs="Arial" w:eastAsia="Arial" w:hAnsi="Arial"/>
                <w:sz w:val="17"/>
                <w:szCs w:val="17"/>
                <w:color w:val="auto"/>
              </w:rPr>
              <w:t>34.4%</w:t>
            </w:r>
          </w:p>
        </w:tc>
        <w:tc>
          <w:tcPr>
            <w:tcW w:w="4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3.0%</w:t>
            </w:r>
          </w:p>
        </w:tc>
        <w:tc>
          <w:tcPr>
            <w:tcW w:w="100" w:type="dxa"/>
            <w:vAlign w:val="bottom"/>
          </w:tcPr>
          <w:p>
            <w:pPr>
              <w:spacing w:after="0"/>
              <w:rPr>
                <w:sz w:val="15"/>
                <w:szCs w:val="15"/>
                <w:color w:val="auto"/>
              </w:rPr>
            </w:pPr>
          </w:p>
        </w:tc>
        <w:tc>
          <w:tcPr>
            <w:tcW w:w="640" w:type="dxa"/>
            <w:vAlign w:val="bottom"/>
            <w:gridSpan w:val="2"/>
          </w:tcPr>
          <w:p>
            <w:pPr>
              <w:jc w:val="right"/>
              <w:ind w:right="120"/>
              <w:spacing w:after="0" w:line="176" w:lineRule="exact"/>
              <w:rPr>
                <w:sz w:val="20"/>
                <w:szCs w:val="20"/>
                <w:color w:val="auto"/>
              </w:rPr>
            </w:pPr>
            <w:r>
              <w:rPr>
                <w:rFonts w:ascii="Arial" w:cs="Arial" w:eastAsia="Arial" w:hAnsi="Arial"/>
                <w:sz w:val="17"/>
                <w:szCs w:val="17"/>
                <w:color w:val="auto"/>
              </w:rPr>
              <w:t>25.6%</w:t>
            </w:r>
          </w:p>
        </w:tc>
        <w:tc>
          <w:tcPr>
            <w:tcW w:w="640" w:type="dxa"/>
            <w:vAlign w:val="bottom"/>
            <w:gridSpan w:val="2"/>
          </w:tcPr>
          <w:p>
            <w:pPr>
              <w:jc w:val="right"/>
              <w:ind w:right="120"/>
              <w:spacing w:after="0" w:line="176" w:lineRule="exact"/>
              <w:rPr>
                <w:sz w:val="20"/>
                <w:szCs w:val="20"/>
                <w:color w:val="auto"/>
              </w:rPr>
            </w:pPr>
            <w:r>
              <w:rPr>
                <w:rFonts w:ascii="Arial" w:cs="Arial" w:eastAsia="Arial" w:hAnsi="Arial"/>
                <w:sz w:val="17"/>
                <w:szCs w:val="17"/>
                <w:color w:val="auto"/>
              </w:rPr>
              <w:t>35.7%</w:t>
            </w:r>
          </w:p>
        </w:tc>
        <w:tc>
          <w:tcPr>
            <w:tcW w:w="560" w:type="dxa"/>
            <w:vAlign w:val="bottom"/>
            <w:gridSpan w:val="2"/>
          </w:tcPr>
          <w:p>
            <w:pPr>
              <w:jc w:val="right"/>
              <w:ind w:right="35"/>
              <w:spacing w:after="0" w:line="176" w:lineRule="exact"/>
              <w:rPr>
                <w:sz w:val="20"/>
                <w:szCs w:val="20"/>
                <w:color w:val="auto"/>
              </w:rPr>
            </w:pPr>
            <w:r>
              <w:rPr>
                <w:rFonts w:ascii="Arial" w:cs="Arial" w:eastAsia="Arial" w:hAnsi="Arial"/>
                <w:sz w:val="17"/>
                <w:szCs w:val="17"/>
                <w:color w:val="auto"/>
              </w:rPr>
              <w:t>0.8%</w:t>
            </w:r>
          </w:p>
        </w:tc>
        <w:tc>
          <w:tcPr>
            <w:tcW w:w="640" w:type="dxa"/>
            <w:vAlign w:val="bottom"/>
            <w:gridSpan w:val="2"/>
          </w:tcPr>
          <w:p>
            <w:pPr>
              <w:jc w:val="right"/>
              <w:ind w:right="120"/>
              <w:spacing w:after="0" w:line="176" w:lineRule="exact"/>
              <w:rPr>
                <w:sz w:val="20"/>
                <w:szCs w:val="20"/>
                <w:color w:val="auto"/>
              </w:rPr>
            </w:pPr>
            <w:r>
              <w:rPr>
                <w:rFonts w:ascii="Arial" w:cs="Arial" w:eastAsia="Arial" w:hAnsi="Arial"/>
                <w:sz w:val="17"/>
                <w:szCs w:val="17"/>
                <w:color w:val="auto"/>
              </w:rPr>
              <w:t>9.9%</w:t>
            </w:r>
          </w:p>
        </w:tc>
        <w:tc>
          <w:tcPr>
            <w:tcW w:w="680" w:type="dxa"/>
            <w:vAlign w:val="bottom"/>
            <w:gridSpan w:val="2"/>
          </w:tcPr>
          <w:p>
            <w:pPr>
              <w:jc w:val="right"/>
              <w:ind w:right="168"/>
              <w:spacing w:after="0" w:line="176" w:lineRule="exact"/>
              <w:rPr>
                <w:sz w:val="20"/>
                <w:szCs w:val="20"/>
                <w:color w:val="auto"/>
              </w:rPr>
            </w:pPr>
            <w:r>
              <w:rPr>
                <w:rFonts w:ascii="Arial" w:cs="Arial" w:eastAsia="Arial" w:hAnsi="Arial"/>
                <w:sz w:val="17"/>
                <w:szCs w:val="17"/>
                <w:color w:val="auto"/>
              </w:rPr>
              <w:t>0.8%</w:t>
            </w:r>
          </w:p>
        </w:tc>
        <w:tc>
          <w:tcPr>
            <w:tcW w:w="64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29.8%</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28.7%</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41.8%</w:t>
            </w:r>
          </w:p>
        </w:tc>
        <w:tc>
          <w:tcPr>
            <w:tcW w:w="560" w:type="dxa"/>
            <w:vAlign w:val="bottom"/>
            <w:gridSpan w:val="2"/>
          </w:tcPr>
          <w:p>
            <w:pPr>
              <w:jc w:val="right"/>
              <w:ind w:right="35"/>
              <w:spacing w:after="0"/>
              <w:rPr>
                <w:sz w:val="20"/>
                <w:szCs w:val="20"/>
                <w:color w:val="auto"/>
              </w:rPr>
            </w:pPr>
            <w:r>
              <w:rPr>
                <w:rFonts w:ascii="Arial" w:cs="Arial" w:eastAsia="Arial" w:hAnsi="Arial"/>
                <w:sz w:val="18"/>
                <w:szCs w:val="18"/>
                <w:color w:val="auto"/>
              </w:rPr>
              <w:t>1.2%</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14.6%</w:t>
            </w:r>
          </w:p>
        </w:tc>
        <w:tc>
          <w:tcPr>
            <w:tcW w:w="680" w:type="dxa"/>
            <w:vAlign w:val="bottom"/>
            <w:gridSpan w:val="2"/>
          </w:tcPr>
          <w:p>
            <w:pPr>
              <w:jc w:val="right"/>
              <w:ind w:right="168"/>
              <w:spacing w:after="0"/>
              <w:rPr>
                <w:sz w:val="20"/>
                <w:szCs w:val="20"/>
                <w:color w:val="auto"/>
              </w:rPr>
            </w:pPr>
            <w:r>
              <w:rPr>
                <w:rFonts w:ascii="Arial" w:cs="Arial" w:eastAsia="Arial" w:hAnsi="Arial"/>
                <w:sz w:val="18"/>
                <w:szCs w:val="18"/>
                <w:color w:val="auto"/>
              </w:rPr>
              <w:t>3.6%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18.1%</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17.5%</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27.7%</w:t>
            </w:r>
          </w:p>
        </w:tc>
        <w:tc>
          <w:tcPr>
            <w:tcW w:w="560" w:type="dxa"/>
            <w:vAlign w:val="bottom"/>
            <w:gridSpan w:val="2"/>
          </w:tcPr>
          <w:p>
            <w:pPr>
              <w:jc w:val="right"/>
              <w:ind w:right="35"/>
              <w:spacing w:after="0"/>
              <w:rPr>
                <w:sz w:val="20"/>
                <w:szCs w:val="20"/>
                <w:color w:val="auto"/>
              </w:rPr>
            </w:pPr>
            <w:r>
              <w:rPr>
                <w:rFonts w:ascii="Arial" w:cs="Arial" w:eastAsia="Arial" w:hAnsi="Arial"/>
                <w:sz w:val="18"/>
                <w:szCs w:val="18"/>
                <w:color w:val="auto"/>
              </w:rPr>
              <w:t>0.0%</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10.3%</w:t>
            </w:r>
          </w:p>
        </w:tc>
        <w:tc>
          <w:tcPr>
            <w:tcW w:w="740" w:type="dxa"/>
            <w:vAlign w:val="bottom"/>
            <w:gridSpan w:val="3"/>
          </w:tcPr>
          <w:p>
            <w:pPr>
              <w:jc w:val="right"/>
              <w:ind w:right="120"/>
              <w:spacing w:after="0"/>
              <w:rPr>
                <w:sz w:val="20"/>
                <w:szCs w:val="20"/>
                <w:color w:val="auto"/>
              </w:rPr>
            </w:pPr>
            <w:r>
              <w:rPr>
                <w:rFonts w:ascii="Arial" w:cs="Arial" w:eastAsia="Arial" w:hAnsi="Arial"/>
                <w:sz w:val="17"/>
                <w:szCs w:val="17"/>
                <w:color w:val="auto"/>
              </w:rPr>
              <w:t>32.8%</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41.2%</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9.8%</w:t>
            </w:r>
          </w:p>
        </w:tc>
        <w:tc>
          <w:tcPr>
            <w:tcW w:w="740" w:type="dxa"/>
            <w:vAlign w:val="bottom"/>
            <w:gridSpan w:val="3"/>
          </w:tcPr>
          <w:p>
            <w:pPr>
              <w:jc w:val="right"/>
              <w:ind w:right="120"/>
              <w:spacing w:after="0"/>
              <w:rPr>
                <w:sz w:val="20"/>
                <w:szCs w:val="20"/>
                <w:color w:val="auto"/>
              </w:rPr>
            </w:pPr>
            <w:r>
              <w:rPr>
                <w:rFonts w:ascii="Arial" w:cs="Arial" w:eastAsia="Arial" w:hAnsi="Arial"/>
                <w:sz w:val="17"/>
                <w:szCs w:val="17"/>
                <w:color w:val="auto"/>
              </w:rPr>
              <w:t>30.7%</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40.3%</w:t>
            </w:r>
          </w:p>
        </w:tc>
        <w:tc>
          <w:tcPr>
            <w:tcW w:w="3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7"/>
                <w:szCs w:val="17"/>
                <w:color w:val="auto"/>
              </w:rPr>
              <w:t>N.A.</w:t>
            </w:r>
          </w:p>
        </w:tc>
        <w:tc>
          <w:tcPr>
            <w:tcW w:w="680" w:type="dxa"/>
            <w:vAlign w:val="bottom"/>
            <w:gridSpan w:val="2"/>
          </w:tcPr>
          <w:p>
            <w:pPr>
              <w:jc w:val="right"/>
              <w:ind w:right="168"/>
              <w:spacing w:after="0"/>
              <w:rPr>
                <w:sz w:val="20"/>
                <w:szCs w:val="20"/>
                <w:color w:val="auto"/>
              </w:rPr>
            </w:pPr>
            <w:r>
              <w:rPr>
                <w:rFonts w:ascii="Arial" w:cs="Arial" w:eastAsia="Arial" w:hAnsi="Arial"/>
                <w:sz w:val="17"/>
                <w:szCs w:val="17"/>
                <w:color w:val="auto"/>
              </w:rPr>
              <w:t>8.0%</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-1868805</wp:posOffset>
            </wp:positionH>
            <wp:positionV relativeFrom="paragraph">
              <wp:posOffset>-537210</wp:posOffset>
            </wp:positionV>
            <wp:extent cx="699516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-262890</wp:posOffset>
            </wp:positionV>
            <wp:extent cx="699516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2340" w:space="720"/>
            <w:col w:w="808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PC = Placebo, Low = Low Dose; High = High Dose</w:t>
      </w:r>
    </w:p>
    <w:p>
      <w:pPr>
        <w:spacing w:after="0" w:line="22" w:lineRule="exact"/>
        <w:rPr>
          <w:sz w:val="20"/>
          <w:szCs w:val="20"/>
          <w:color w:val="auto"/>
        </w:rPr>
      </w:pPr>
    </w:p>
    <w:p>
      <w:pPr>
        <w:ind w:left="120" w:right="80"/>
        <w:spacing w:after="0" w:line="302" w:lineRule="auto"/>
        <w:rPr>
          <w:sz w:val="20"/>
          <w:szCs w:val="20"/>
          <w:color w:val="auto"/>
        </w:rPr>
      </w:pPr>
      <w:r>
        <w:rPr>
          <w:rFonts w:ascii="Arial" w:cs="Arial" w:eastAsia="Arial" w:hAnsi="Arial"/>
          <w:sz w:val="15"/>
          <w:szCs w:val="15"/>
          <w:color w:val="auto"/>
        </w:rPr>
        <w:t>*Shows the absence of ARIA after treatment with antibodies targeting Ab monomers (solanezumab) in comparison to the increasing presence of ARIA after treatment at increasing dose levels with antibodies targeting amyloid plaques (aducanumab, BAN2401, and donanemab), indicate that ARIA results from the removal of amyloid plaques around blood vessels and likely does not result, from treatment with antibodies that target other species of Ab, i.e. Ab monomers and AbOs.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3: AD Product Candidates and Target Selectivity and ARIA Profile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Target Selectivity</w:t>
            </w:r>
            <w:r>
              <w:rPr>
                <w:rFonts w:ascii="Arial" w:cs="Arial" w:eastAsia="Arial" w:hAnsi="Arial"/>
                <w:sz w:val="12"/>
                <w:szCs w:val="12"/>
                <w:b w:val="1"/>
                <w:bCs w:val="1"/>
                <w:color w:val="auto"/>
              </w:rPr>
              <w:t>+</w:t>
            </w:r>
          </w:p>
        </w:tc>
        <w:tc>
          <w:tcPr>
            <w:tcW w:w="8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ARIA Profile</w:t>
            </w:r>
          </w:p>
        </w:tc>
        <w:tc>
          <w:tcPr>
            <w:tcW w:w="0" w:type="dxa"/>
            <w:vAlign w:val="bottom"/>
          </w:tcPr>
          <w:p>
            <w:pPr>
              <w:spacing w:after="0"/>
              <w:rPr>
                <w:sz w:val="1"/>
                <w:szCs w:val="1"/>
                <w:color w:val="auto"/>
              </w:rPr>
            </w:pPr>
          </w:p>
        </w:tc>
      </w:tr>
      <w:tr>
        <w:trPr>
          <w:trHeight w:val="119"/>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6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3"/>
              </w:rPr>
              <w:t>Amyloid plaque</w:t>
            </w:r>
          </w:p>
        </w:tc>
        <w:tc>
          <w:tcPr>
            <w:tcW w:w="126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A</w:t>
            </w:r>
            <w:r>
              <w:rPr>
                <w:rFonts w:ascii="Arial" w:cs="Arial" w:eastAsia="Arial" w:hAnsi="Arial"/>
                <w:sz w:val="13"/>
                <w:szCs w:val="13"/>
                <w:color w:val="auto"/>
              </w:rPr>
              <w:t>b</w:t>
            </w:r>
          </w:p>
        </w:tc>
        <w:tc>
          <w:tcPr>
            <w:tcW w:w="152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2"/>
              </w:rPr>
              <w:t>A</w:t>
            </w:r>
            <w:r>
              <w:rPr>
                <w:rFonts w:ascii="Arial" w:cs="Arial" w:eastAsia="Arial" w:hAnsi="Arial"/>
                <w:sz w:val="14"/>
                <w:szCs w:val="14"/>
                <w:color w:val="auto"/>
                <w:w w:val="92"/>
              </w:rPr>
              <w:t>b</w:t>
            </w:r>
            <w:r>
              <w:rPr>
                <w:rFonts w:ascii="Arial" w:cs="Arial" w:eastAsia="Arial" w:hAnsi="Arial"/>
                <w:sz w:val="14"/>
                <w:szCs w:val="14"/>
                <w:b w:val="1"/>
                <w:bCs w:val="1"/>
                <w:color w:val="auto"/>
                <w:w w:val="92"/>
              </w:rPr>
              <w:t xml:space="preserve"> monomers</w:t>
            </w:r>
          </w:p>
        </w:tc>
        <w:tc>
          <w:tcPr>
            <w:tcW w:w="150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0"/>
              </w:rPr>
              <w:t>A</w:t>
            </w:r>
            <w:r>
              <w:rPr>
                <w:rFonts w:ascii="Arial" w:cs="Arial" w:eastAsia="Arial" w:hAnsi="Arial"/>
                <w:sz w:val="14"/>
                <w:szCs w:val="14"/>
                <w:color w:val="auto"/>
                <w:w w:val="90"/>
              </w:rPr>
              <w:t>b</w:t>
            </w:r>
            <w:r>
              <w:rPr>
                <w:rFonts w:ascii="Arial" w:cs="Arial" w:eastAsia="Arial" w:hAnsi="Arial"/>
                <w:sz w:val="14"/>
                <w:szCs w:val="14"/>
                <w:b w:val="1"/>
                <w:bCs w:val="1"/>
                <w:color w:val="auto"/>
                <w:w w:val="90"/>
              </w:rPr>
              <w:t xml:space="preserve"> oligomers</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Lack of ARIA</w:t>
            </w: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fibrils</w:t>
            </w:r>
          </w:p>
        </w:tc>
        <w:tc>
          <w:tcPr>
            <w:tcW w:w="152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ACU193</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x</w:t>
            </w: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8"/>
              </w:rPr>
              <w:t>untested</w:t>
            </w:r>
          </w:p>
        </w:tc>
        <w:tc>
          <w:tcPr>
            <w:tcW w:w="6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x</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6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aducanumab</w:t>
            </w:r>
          </w:p>
        </w:tc>
        <w:tc>
          <w:tcPr>
            <w:tcW w:w="1660" w:type="dxa"/>
            <w:vAlign w:val="bottom"/>
            <w:gridSpan w:val="2"/>
          </w:tcPr>
          <w:p>
            <w:pPr>
              <w:jc w:val="center"/>
              <w:ind w:right="680"/>
              <w:spacing w:after="0" w:line="171" w:lineRule="exact"/>
              <w:rPr>
                <w:sz w:val="20"/>
                <w:szCs w:val="20"/>
                <w:color w:val="auto"/>
              </w:rPr>
            </w:pPr>
            <w:r>
              <w:rPr>
                <w:rFonts w:ascii="MS PGothic" w:cs="MS PGothic" w:eastAsia="MS PGothic" w:hAnsi="MS PGothic"/>
                <w:sz w:val="17"/>
                <w:szCs w:val="17"/>
                <w:color w:val="auto"/>
                <w:w w:val="82"/>
              </w:rPr>
              <w:t>✓</w:t>
            </w:r>
          </w:p>
        </w:tc>
        <w:tc>
          <w:tcPr>
            <w:tcW w:w="1260" w:type="dxa"/>
            <w:vAlign w:val="bottom"/>
            <w:gridSpan w:val="2"/>
          </w:tcPr>
          <w:p>
            <w:pPr>
              <w:jc w:val="center"/>
              <w:ind w:right="680"/>
              <w:spacing w:after="0" w:line="171" w:lineRule="exact"/>
              <w:rPr>
                <w:sz w:val="20"/>
                <w:szCs w:val="20"/>
                <w:color w:val="auto"/>
              </w:rPr>
            </w:pPr>
            <w:r>
              <w:rPr>
                <w:rFonts w:ascii="MS PGothic" w:cs="MS PGothic" w:eastAsia="MS PGothic" w:hAnsi="MS PGothic"/>
                <w:sz w:val="17"/>
                <w:szCs w:val="17"/>
                <w:color w:val="auto"/>
                <w:w w:val="82"/>
              </w:rPr>
              <w:t>✓</w:t>
            </w:r>
          </w:p>
        </w:tc>
        <w:tc>
          <w:tcPr>
            <w:tcW w:w="1520" w:type="dxa"/>
            <w:vAlign w:val="bottom"/>
            <w:gridSpan w:val="2"/>
          </w:tcPr>
          <w:p>
            <w:pPr>
              <w:jc w:val="center"/>
              <w:ind w:right="680"/>
              <w:spacing w:after="0"/>
              <w:rPr>
                <w:sz w:val="20"/>
                <w:szCs w:val="20"/>
                <w:color w:val="auto"/>
              </w:rPr>
            </w:pPr>
            <w:r>
              <w:rPr>
                <w:rFonts w:ascii="Arial" w:cs="Arial" w:eastAsia="Arial" w:hAnsi="Arial"/>
                <w:sz w:val="17"/>
                <w:szCs w:val="17"/>
                <w:color w:val="auto"/>
                <w:w w:val="93"/>
              </w:rPr>
              <w:t>x</w:t>
            </w:r>
          </w:p>
        </w:tc>
        <w:tc>
          <w:tcPr>
            <w:tcW w:w="1500" w:type="dxa"/>
            <w:vAlign w:val="bottom"/>
            <w:gridSpan w:val="2"/>
          </w:tcPr>
          <w:p>
            <w:pPr>
              <w:jc w:val="center"/>
              <w:ind w:right="660"/>
              <w:spacing w:after="0" w:line="171" w:lineRule="exact"/>
              <w:rPr>
                <w:sz w:val="20"/>
                <w:szCs w:val="20"/>
                <w:color w:val="auto"/>
              </w:rPr>
            </w:pPr>
            <w:r>
              <w:rPr>
                <w:rFonts w:ascii="MS PGothic" w:cs="MS PGothic" w:eastAsia="MS PGothic" w:hAnsi="MS PGothic"/>
                <w:sz w:val="17"/>
                <w:szCs w:val="17"/>
                <w:color w:val="auto"/>
                <w:w w:val="93"/>
              </w:rPr>
              <w:t>✓</w:t>
            </w:r>
          </w:p>
        </w:tc>
        <w:tc>
          <w:tcPr>
            <w:tcW w:w="880" w:type="dxa"/>
            <w:vAlign w:val="bottom"/>
          </w:tcPr>
          <w:p>
            <w:pPr>
              <w:jc w:val="center"/>
              <w:spacing w:after="0"/>
              <w:rPr>
                <w:sz w:val="20"/>
                <w:szCs w:val="20"/>
                <w:color w:val="auto"/>
              </w:rPr>
            </w:pPr>
            <w:r>
              <w:rPr>
                <w:rFonts w:ascii="Arial" w:cs="Arial" w:eastAsia="Arial" w:hAnsi="Arial"/>
                <w:sz w:val="17"/>
                <w:szCs w:val="17"/>
                <w:color w:val="auto"/>
                <w:w w:val="93"/>
              </w:rPr>
              <w:t>x</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lecanemab BAN2401</w:t>
            </w:r>
          </w:p>
        </w:tc>
        <w:tc>
          <w:tcPr>
            <w:tcW w:w="1660" w:type="dxa"/>
            <w:vAlign w:val="bottom"/>
            <w:gridSpan w:val="2"/>
            <w:shd w:val="clear" w:color="auto" w:fill="CCEEFF"/>
          </w:tcPr>
          <w:p>
            <w:pPr>
              <w:jc w:val="center"/>
              <w:ind w:right="680"/>
              <w:spacing w:after="0" w:line="171" w:lineRule="exact"/>
              <w:rPr>
                <w:sz w:val="20"/>
                <w:szCs w:val="20"/>
                <w:color w:val="auto"/>
              </w:rPr>
            </w:pPr>
            <w:r>
              <w:rPr>
                <w:rFonts w:ascii="MS PGothic" w:cs="MS PGothic" w:eastAsia="MS PGothic" w:hAnsi="MS PGothic"/>
                <w:sz w:val="17"/>
                <w:szCs w:val="17"/>
                <w:color w:val="auto"/>
                <w:w w:val="82"/>
              </w:rPr>
              <w:t>✓</w:t>
            </w:r>
          </w:p>
        </w:tc>
        <w:tc>
          <w:tcPr>
            <w:tcW w:w="1260" w:type="dxa"/>
            <w:vAlign w:val="bottom"/>
            <w:gridSpan w:val="2"/>
            <w:shd w:val="clear" w:color="auto" w:fill="CCEEFF"/>
          </w:tcPr>
          <w:p>
            <w:pPr>
              <w:jc w:val="center"/>
              <w:ind w:right="680"/>
              <w:spacing w:after="0" w:line="171" w:lineRule="exact"/>
              <w:rPr>
                <w:sz w:val="20"/>
                <w:szCs w:val="20"/>
                <w:color w:val="auto"/>
              </w:rPr>
            </w:pPr>
            <w:r>
              <w:rPr>
                <w:rFonts w:ascii="MS PGothic" w:cs="MS PGothic" w:eastAsia="MS PGothic" w:hAnsi="MS PGothic"/>
                <w:sz w:val="17"/>
                <w:szCs w:val="17"/>
                <w:color w:val="auto"/>
                <w:w w:val="82"/>
              </w:rPr>
              <w:t>✓</w:t>
            </w:r>
          </w:p>
        </w:tc>
        <w:tc>
          <w:tcPr>
            <w:tcW w:w="1520" w:type="dxa"/>
            <w:vAlign w:val="bottom"/>
            <w:gridSpan w:val="2"/>
            <w:shd w:val="clear" w:color="auto" w:fill="CCEEFF"/>
          </w:tcPr>
          <w:p>
            <w:pPr>
              <w:jc w:val="center"/>
              <w:ind w:right="680"/>
              <w:spacing w:after="0"/>
              <w:rPr>
                <w:sz w:val="20"/>
                <w:szCs w:val="20"/>
                <w:color w:val="auto"/>
              </w:rPr>
            </w:pPr>
            <w:r>
              <w:rPr>
                <w:rFonts w:ascii="Arial" w:cs="Arial" w:eastAsia="Arial" w:hAnsi="Arial"/>
                <w:sz w:val="17"/>
                <w:szCs w:val="17"/>
                <w:color w:val="auto"/>
                <w:w w:val="93"/>
              </w:rPr>
              <w:t>x</w:t>
            </w:r>
          </w:p>
        </w:tc>
        <w:tc>
          <w:tcPr>
            <w:tcW w:w="1500" w:type="dxa"/>
            <w:vAlign w:val="bottom"/>
            <w:gridSpan w:val="2"/>
            <w:shd w:val="clear" w:color="auto" w:fill="CCEEFF"/>
          </w:tcPr>
          <w:p>
            <w:pPr>
              <w:jc w:val="center"/>
              <w:ind w:right="660"/>
              <w:spacing w:after="0" w:line="171" w:lineRule="exact"/>
              <w:rPr>
                <w:sz w:val="20"/>
                <w:szCs w:val="20"/>
                <w:color w:val="auto"/>
              </w:rPr>
            </w:pPr>
            <w:r>
              <w:rPr>
                <w:rFonts w:ascii="MS PGothic" w:cs="MS PGothic" w:eastAsia="MS PGothic" w:hAnsi="MS PGothic"/>
                <w:sz w:val="17"/>
                <w:szCs w:val="17"/>
                <w:color w:val="auto"/>
                <w:w w:val="93"/>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x</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gantenerumab</w:t>
            </w:r>
          </w:p>
        </w:tc>
        <w:tc>
          <w:tcPr>
            <w:tcW w:w="1660" w:type="dxa"/>
            <w:vAlign w:val="bottom"/>
            <w:gridSpan w:val="2"/>
          </w:tcPr>
          <w:p>
            <w:pPr>
              <w:jc w:val="center"/>
              <w:ind w:right="680"/>
              <w:spacing w:after="0" w:line="171" w:lineRule="exact"/>
              <w:rPr>
                <w:sz w:val="20"/>
                <w:szCs w:val="20"/>
                <w:color w:val="auto"/>
              </w:rPr>
            </w:pPr>
            <w:r>
              <w:rPr>
                <w:rFonts w:ascii="MS PGothic" w:cs="MS PGothic" w:eastAsia="MS PGothic" w:hAnsi="MS PGothic"/>
                <w:sz w:val="17"/>
                <w:szCs w:val="17"/>
                <w:color w:val="auto"/>
                <w:w w:val="82"/>
              </w:rPr>
              <w:t>✓</w:t>
            </w:r>
          </w:p>
        </w:tc>
        <w:tc>
          <w:tcPr>
            <w:tcW w:w="1260" w:type="dxa"/>
            <w:vAlign w:val="bottom"/>
            <w:gridSpan w:val="2"/>
          </w:tcPr>
          <w:p>
            <w:pPr>
              <w:jc w:val="center"/>
              <w:ind w:right="680"/>
              <w:spacing w:after="0" w:line="171" w:lineRule="exact"/>
              <w:rPr>
                <w:sz w:val="20"/>
                <w:szCs w:val="20"/>
                <w:color w:val="auto"/>
              </w:rPr>
            </w:pPr>
            <w:r>
              <w:rPr>
                <w:rFonts w:ascii="MS PGothic" w:cs="MS PGothic" w:eastAsia="MS PGothic" w:hAnsi="MS PGothic"/>
                <w:sz w:val="17"/>
                <w:szCs w:val="17"/>
                <w:color w:val="auto"/>
                <w:w w:val="82"/>
              </w:rPr>
              <w:t>✓</w:t>
            </w:r>
          </w:p>
        </w:tc>
        <w:tc>
          <w:tcPr>
            <w:tcW w:w="1520" w:type="dxa"/>
            <w:vAlign w:val="bottom"/>
            <w:gridSpan w:val="2"/>
          </w:tcPr>
          <w:p>
            <w:pPr>
              <w:jc w:val="center"/>
              <w:ind w:right="680"/>
              <w:spacing w:after="0"/>
              <w:rPr>
                <w:sz w:val="20"/>
                <w:szCs w:val="20"/>
                <w:color w:val="auto"/>
              </w:rPr>
            </w:pPr>
            <w:r>
              <w:rPr>
                <w:rFonts w:ascii="Arial" w:cs="Arial" w:eastAsia="Arial" w:hAnsi="Arial"/>
                <w:sz w:val="17"/>
                <w:szCs w:val="17"/>
                <w:color w:val="auto"/>
                <w:w w:val="93"/>
              </w:rPr>
              <w:t>x</w:t>
            </w:r>
          </w:p>
        </w:tc>
        <w:tc>
          <w:tcPr>
            <w:tcW w:w="1500" w:type="dxa"/>
            <w:vAlign w:val="bottom"/>
            <w:gridSpan w:val="2"/>
          </w:tcPr>
          <w:p>
            <w:pPr>
              <w:jc w:val="center"/>
              <w:ind w:right="660"/>
              <w:spacing w:after="0" w:line="171" w:lineRule="exact"/>
              <w:rPr>
                <w:sz w:val="20"/>
                <w:szCs w:val="20"/>
                <w:color w:val="auto"/>
              </w:rPr>
            </w:pPr>
            <w:r>
              <w:rPr>
                <w:rFonts w:ascii="MS PGothic" w:cs="MS PGothic" w:eastAsia="MS PGothic" w:hAnsi="MS PGothic"/>
                <w:sz w:val="17"/>
                <w:szCs w:val="17"/>
                <w:color w:val="auto"/>
                <w:w w:val="93"/>
              </w:rPr>
              <w:t>✓</w:t>
            </w:r>
          </w:p>
        </w:tc>
        <w:tc>
          <w:tcPr>
            <w:tcW w:w="880" w:type="dxa"/>
            <w:vAlign w:val="bottom"/>
          </w:tcPr>
          <w:p>
            <w:pPr>
              <w:jc w:val="center"/>
              <w:spacing w:after="0"/>
              <w:rPr>
                <w:sz w:val="20"/>
                <w:szCs w:val="20"/>
                <w:color w:val="auto"/>
              </w:rPr>
            </w:pPr>
            <w:r>
              <w:rPr>
                <w:rFonts w:ascii="Arial" w:cs="Arial" w:eastAsia="Arial" w:hAnsi="Arial"/>
                <w:sz w:val="17"/>
                <w:szCs w:val="17"/>
                <w:color w:val="auto"/>
                <w:w w:val="93"/>
              </w:rPr>
              <w:t>x</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donanemab</w:t>
            </w:r>
          </w:p>
        </w:tc>
        <w:tc>
          <w:tcPr>
            <w:tcW w:w="1660" w:type="dxa"/>
            <w:vAlign w:val="bottom"/>
            <w:gridSpan w:val="2"/>
            <w:shd w:val="clear" w:color="auto" w:fill="CCEEFF"/>
          </w:tcPr>
          <w:p>
            <w:pPr>
              <w:jc w:val="center"/>
              <w:ind w:right="680"/>
              <w:spacing w:after="0" w:line="171" w:lineRule="exact"/>
              <w:rPr>
                <w:sz w:val="20"/>
                <w:szCs w:val="20"/>
                <w:color w:val="auto"/>
              </w:rPr>
            </w:pPr>
            <w:r>
              <w:rPr>
                <w:rFonts w:ascii="MS PGothic" w:cs="MS PGothic" w:eastAsia="MS PGothic" w:hAnsi="MS PGothic"/>
                <w:sz w:val="17"/>
                <w:szCs w:val="17"/>
                <w:color w:val="auto"/>
                <w:w w:val="82"/>
              </w:rPr>
              <w:t>✓</w:t>
            </w:r>
          </w:p>
        </w:tc>
        <w:tc>
          <w:tcPr>
            <w:tcW w:w="1260" w:type="dxa"/>
            <w:vAlign w:val="bottom"/>
            <w:gridSpan w:val="2"/>
            <w:shd w:val="clear" w:color="auto" w:fill="CCEEFF"/>
          </w:tcPr>
          <w:p>
            <w:pPr>
              <w:jc w:val="center"/>
              <w:ind w:right="680"/>
              <w:spacing w:after="0"/>
              <w:rPr>
                <w:sz w:val="20"/>
                <w:szCs w:val="20"/>
                <w:color w:val="auto"/>
              </w:rPr>
            </w:pPr>
            <w:r>
              <w:rPr>
                <w:rFonts w:ascii="Arial" w:cs="Arial" w:eastAsia="Arial" w:hAnsi="Arial"/>
                <w:sz w:val="17"/>
                <w:szCs w:val="17"/>
                <w:color w:val="auto"/>
                <w:w w:val="88"/>
              </w:rPr>
              <w:t>untested</w:t>
            </w:r>
          </w:p>
        </w:tc>
        <w:tc>
          <w:tcPr>
            <w:tcW w:w="1520" w:type="dxa"/>
            <w:vAlign w:val="bottom"/>
            <w:gridSpan w:val="2"/>
            <w:shd w:val="clear" w:color="auto" w:fill="CCEEFF"/>
          </w:tcPr>
          <w:p>
            <w:pPr>
              <w:jc w:val="center"/>
              <w:ind w:right="680"/>
              <w:spacing w:after="0"/>
              <w:rPr>
                <w:sz w:val="20"/>
                <w:szCs w:val="20"/>
                <w:color w:val="auto"/>
              </w:rPr>
            </w:pPr>
            <w:r>
              <w:rPr>
                <w:rFonts w:ascii="Arial" w:cs="Arial" w:eastAsia="Arial" w:hAnsi="Arial"/>
                <w:sz w:val="17"/>
                <w:szCs w:val="17"/>
                <w:color w:val="auto"/>
                <w:w w:val="93"/>
              </w:rPr>
              <w:t>x</w:t>
            </w:r>
          </w:p>
        </w:tc>
        <w:tc>
          <w:tcPr>
            <w:tcW w:w="1500" w:type="dxa"/>
            <w:vAlign w:val="bottom"/>
            <w:gridSpan w:val="2"/>
            <w:shd w:val="clear" w:color="auto" w:fill="CCEEFF"/>
          </w:tcPr>
          <w:p>
            <w:pPr>
              <w:jc w:val="center"/>
              <w:ind w:right="660"/>
              <w:spacing w:after="0"/>
              <w:rPr>
                <w:sz w:val="20"/>
                <w:szCs w:val="20"/>
                <w:color w:val="auto"/>
              </w:rPr>
            </w:pPr>
            <w:r>
              <w:rPr>
                <w:rFonts w:ascii="Arial" w:cs="Arial" w:eastAsia="Arial" w:hAnsi="Arial"/>
                <w:sz w:val="17"/>
                <w:szCs w:val="17"/>
                <w:color w:val="auto"/>
                <w:w w:val="93"/>
              </w:rPr>
              <w:t>x</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x</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solanezumab*</w:t>
            </w:r>
          </w:p>
        </w:tc>
        <w:tc>
          <w:tcPr>
            <w:tcW w:w="1660" w:type="dxa"/>
            <w:vAlign w:val="bottom"/>
            <w:gridSpan w:val="2"/>
          </w:tcPr>
          <w:p>
            <w:pPr>
              <w:jc w:val="center"/>
              <w:ind w:right="660"/>
              <w:spacing w:after="0"/>
              <w:rPr>
                <w:sz w:val="20"/>
                <w:szCs w:val="20"/>
                <w:color w:val="auto"/>
              </w:rPr>
            </w:pPr>
            <w:r>
              <w:rPr>
                <w:rFonts w:ascii="Arial" w:cs="Arial" w:eastAsia="Arial" w:hAnsi="Arial"/>
                <w:sz w:val="17"/>
                <w:szCs w:val="17"/>
                <w:color w:val="auto"/>
                <w:w w:val="93"/>
              </w:rPr>
              <w:t>x</w:t>
            </w:r>
          </w:p>
        </w:tc>
        <w:tc>
          <w:tcPr>
            <w:tcW w:w="1260" w:type="dxa"/>
            <w:vAlign w:val="bottom"/>
            <w:gridSpan w:val="2"/>
          </w:tcPr>
          <w:p>
            <w:pPr>
              <w:jc w:val="center"/>
              <w:ind w:right="700"/>
              <w:spacing w:after="0"/>
              <w:rPr>
                <w:sz w:val="20"/>
                <w:szCs w:val="20"/>
                <w:color w:val="auto"/>
              </w:rPr>
            </w:pPr>
            <w:r>
              <w:rPr>
                <w:rFonts w:ascii="Arial" w:cs="Arial" w:eastAsia="Arial" w:hAnsi="Arial"/>
                <w:sz w:val="17"/>
                <w:szCs w:val="17"/>
                <w:color w:val="auto"/>
                <w:w w:val="93"/>
              </w:rPr>
              <w:t>x</w:t>
            </w:r>
          </w:p>
        </w:tc>
        <w:tc>
          <w:tcPr>
            <w:tcW w:w="1520" w:type="dxa"/>
            <w:vAlign w:val="bottom"/>
            <w:gridSpan w:val="2"/>
          </w:tcPr>
          <w:p>
            <w:pPr>
              <w:jc w:val="center"/>
              <w:ind w:right="680"/>
              <w:spacing w:after="0" w:line="171" w:lineRule="exact"/>
              <w:rPr>
                <w:sz w:val="20"/>
                <w:szCs w:val="20"/>
                <w:color w:val="auto"/>
              </w:rPr>
            </w:pPr>
            <w:r>
              <w:rPr>
                <w:rFonts w:ascii="MS PGothic" w:cs="MS PGothic" w:eastAsia="MS PGothic" w:hAnsi="MS PGothic"/>
                <w:sz w:val="17"/>
                <w:szCs w:val="17"/>
                <w:color w:val="auto"/>
                <w:w w:val="93"/>
              </w:rPr>
              <w:t>✓</w:t>
            </w:r>
          </w:p>
        </w:tc>
        <w:tc>
          <w:tcPr>
            <w:tcW w:w="1500" w:type="dxa"/>
            <w:vAlign w:val="bottom"/>
            <w:gridSpan w:val="2"/>
          </w:tcPr>
          <w:p>
            <w:pPr>
              <w:jc w:val="center"/>
              <w:ind w:right="660"/>
              <w:spacing w:after="0"/>
              <w:rPr>
                <w:sz w:val="20"/>
                <w:szCs w:val="20"/>
                <w:color w:val="auto"/>
              </w:rPr>
            </w:pPr>
            <w:r>
              <w:rPr>
                <w:rFonts w:ascii="Arial" w:cs="Arial" w:eastAsia="Arial" w:hAnsi="Arial"/>
                <w:sz w:val="17"/>
                <w:szCs w:val="17"/>
                <w:color w:val="auto"/>
                <w:w w:val="93"/>
              </w:rPr>
              <w:t>x</w:t>
            </w:r>
          </w:p>
        </w:tc>
        <w:tc>
          <w:tcPr>
            <w:tcW w:w="88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crenezumab*</w:t>
            </w:r>
          </w:p>
        </w:tc>
        <w:tc>
          <w:tcPr>
            <w:tcW w:w="1660" w:type="dxa"/>
            <w:vAlign w:val="bottom"/>
            <w:gridSpan w:val="2"/>
            <w:shd w:val="clear" w:color="auto" w:fill="CCEEFF"/>
          </w:tcPr>
          <w:p>
            <w:pPr>
              <w:jc w:val="center"/>
              <w:ind w:right="680"/>
              <w:spacing w:after="0" w:line="171" w:lineRule="exact"/>
              <w:rPr>
                <w:sz w:val="20"/>
                <w:szCs w:val="20"/>
                <w:color w:val="auto"/>
              </w:rPr>
            </w:pPr>
            <w:r>
              <w:rPr>
                <w:rFonts w:ascii="MS PGothic" w:cs="MS PGothic" w:eastAsia="MS PGothic" w:hAnsi="MS PGothic"/>
                <w:sz w:val="17"/>
                <w:szCs w:val="17"/>
                <w:color w:val="auto"/>
                <w:w w:val="82"/>
              </w:rPr>
              <w:t>✓</w:t>
            </w:r>
          </w:p>
        </w:tc>
        <w:tc>
          <w:tcPr>
            <w:tcW w:w="1260" w:type="dxa"/>
            <w:vAlign w:val="bottom"/>
            <w:gridSpan w:val="2"/>
            <w:shd w:val="clear" w:color="auto" w:fill="CCEEFF"/>
          </w:tcPr>
          <w:p>
            <w:pPr>
              <w:jc w:val="center"/>
              <w:ind w:right="680"/>
              <w:spacing w:after="0" w:line="171" w:lineRule="exact"/>
              <w:rPr>
                <w:sz w:val="20"/>
                <w:szCs w:val="20"/>
                <w:color w:val="auto"/>
              </w:rPr>
            </w:pPr>
            <w:r>
              <w:rPr>
                <w:rFonts w:ascii="MS PGothic" w:cs="MS PGothic" w:eastAsia="MS PGothic" w:hAnsi="MS PGothic"/>
                <w:sz w:val="17"/>
                <w:szCs w:val="17"/>
                <w:color w:val="auto"/>
                <w:w w:val="82"/>
              </w:rPr>
              <w:t>✓</w:t>
            </w:r>
          </w:p>
        </w:tc>
        <w:tc>
          <w:tcPr>
            <w:tcW w:w="1520" w:type="dxa"/>
            <w:vAlign w:val="bottom"/>
            <w:gridSpan w:val="2"/>
            <w:shd w:val="clear" w:color="auto" w:fill="CCEEFF"/>
          </w:tcPr>
          <w:p>
            <w:pPr>
              <w:jc w:val="center"/>
              <w:ind w:right="680"/>
              <w:spacing w:after="0" w:line="171" w:lineRule="exact"/>
              <w:rPr>
                <w:sz w:val="20"/>
                <w:szCs w:val="20"/>
                <w:color w:val="auto"/>
              </w:rPr>
            </w:pPr>
            <w:r>
              <w:rPr>
                <w:rFonts w:ascii="MS PGothic" w:cs="MS PGothic" w:eastAsia="MS PGothic" w:hAnsi="MS PGothic"/>
                <w:sz w:val="17"/>
                <w:szCs w:val="17"/>
                <w:color w:val="auto"/>
                <w:w w:val="93"/>
              </w:rPr>
              <w:t>✓</w:t>
            </w:r>
          </w:p>
        </w:tc>
        <w:tc>
          <w:tcPr>
            <w:tcW w:w="1500" w:type="dxa"/>
            <w:vAlign w:val="bottom"/>
            <w:gridSpan w:val="2"/>
            <w:shd w:val="clear" w:color="auto" w:fill="CCEEFF"/>
          </w:tcPr>
          <w:p>
            <w:pPr>
              <w:jc w:val="center"/>
              <w:ind w:right="660"/>
              <w:spacing w:after="0" w:line="171" w:lineRule="exact"/>
              <w:rPr>
                <w:sz w:val="20"/>
                <w:szCs w:val="20"/>
                <w:color w:val="auto"/>
              </w:rPr>
            </w:pPr>
            <w:r>
              <w:rPr>
                <w:rFonts w:ascii="MS PGothic" w:cs="MS PGothic" w:eastAsia="MS PGothic" w:hAnsi="MS PGothic"/>
                <w:sz w:val="17"/>
                <w:szCs w:val="17"/>
                <w:color w:val="auto"/>
                <w:w w:val="93"/>
              </w:rPr>
              <w:t>✓</w:t>
            </w:r>
          </w:p>
        </w:tc>
        <w:tc>
          <w:tcPr>
            <w:tcW w:w="880" w:type="dxa"/>
            <w:vAlign w:val="bottom"/>
            <w:shd w:val="clear" w:color="auto" w:fill="CCEEFF"/>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69"/>
        </w:trPr>
        <w:tc>
          <w:tcPr>
            <w:tcW w:w="4200" w:type="dxa"/>
            <w:vAlign w:val="bottom"/>
          </w:tcPr>
          <w:p>
            <w:pPr>
              <w:spacing w:after="0"/>
              <w:rPr>
                <w:sz w:val="20"/>
                <w:szCs w:val="20"/>
                <w:color w:val="auto"/>
              </w:rPr>
            </w:pPr>
            <w:r>
              <w:rPr>
                <w:rFonts w:ascii="Arial" w:cs="Arial" w:eastAsia="Arial" w:hAnsi="Arial"/>
                <w:sz w:val="17"/>
                <w:szCs w:val="17"/>
                <w:color w:val="auto"/>
              </w:rPr>
              <w:t>bapineuzumab*</w:t>
            </w:r>
          </w:p>
        </w:tc>
        <w:tc>
          <w:tcPr>
            <w:tcW w:w="1660" w:type="dxa"/>
            <w:vAlign w:val="bottom"/>
            <w:gridSpan w:val="2"/>
          </w:tcPr>
          <w:p>
            <w:pPr>
              <w:jc w:val="center"/>
              <w:ind w:right="680"/>
              <w:spacing w:after="0" w:line="171" w:lineRule="exact"/>
              <w:rPr>
                <w:sz w:val="20"/>
                <w:szCs w:val="20"/>
                <w:color w:val="auto"/>
              </w:rPr>
            </w:pPr>
            <w:r>
              <w:rPr>
                <w:rFonts w:ascii="MS PGothic" w:cs="MS PGothic" w:eastAsia="MS PGothic" w:hAnsi="MS PGothic"/>
                <w:sz w:val="17"/>
                <w:szCs w:val="17"/>
                <w:color w:val="auto"/>
                <w:w w:val="82"/>
              </w:rPr>
              <w:t>✓</w:t>
            </w:r>
          </w:p>
        </w:tc>
        <w:tc>
          <w:tcPr>
            <w:tcW w:w="1260" w:type="dxa"/>
            <w:vAlign w:val="bottom"/>
            <w:gridSpan w:val="2"/>
          </w:tcPr>
          <w:p>
            <w:pPr>
              <w:jc w:val="center"/>
              <w:ind w:right="680"/>
              <w:spacing w:after="0" w:line="171" w:lineRule="exact"/>
              <w:rPr>
                <w:sz w:val="20"/>
                <w:szCs w:val="20"/>
                <w:color w:val="auto"/>
              </w:rPr>
            </w:pPr>
            <w:r>
              <w:rPr>
                <w:rFonts w:ascii="MS PGothic" w:cs="MS PGothic" w:eastAsia="MS PGothic" w:hAnsi="MS PGothic"/>
                <w:sz w:val="17"/>
                <w:szCs w:val="17"/>
                <w:color w:val="auto"/>
                <w:w w:val="82"/>
              </w:rPr>
              <w:t>✓</w:t>
            </w:r>
          </w:p>
        </w:tc>
        <w:tc>
          <w:tcPr>
            <w:tcW w:w="1520" w:type="dxa"/>
            <w:vAlign w:val="bottom"/>
            <w:gridSpan w:val="2"/>
          </w:tcPr>
          <w:p>
            <w:pPr>
              <w:jc w:val="center"/>
              <w:ind w:right="680"/>
              <w:spacing w:after="0" w:line="171" w:lineRule="exact"/>
              <w:rPr>
                <w:sz w:val="20"/>
                <w:szCs w:val="20"/>
                <w:color w:val="auto"/>
              </w:rPr>
            </w:pPr>
            <w:r>
              <w:rPr>
                <w:rFonts w:ascii="MS PGothic" w:cs="MS PGothic" w:eastAsia="MS PGothic" w:hAnsi="MS PGothic"/>
                <w:sz w:val="17"/>
                <w:szCs w:val="17"/>
                <w:color w:val="auto"/>
                <w:w w:val="93"/>
              </w:rPr>
              <w:t>✓</w:t>
            </w:r>
          </w:p>
        </w:tc>
        <w:tc>
          <w:tcPr>
            <w:tcW w:w="1500" w:type="dxa"/>
            <w:vAlign w:val="bottom"/>
            <w:gridSpan w:val="2"/>
          </w:tcPr>
          <w:p>
            <w:pPr>
              <w:jc w:val="center"/>
              <w:ind w:right="660"/>
              <w:spacing w:after="0" w:line="171" w:lineRule="exact"/>
              <w:rPr>
                <w:sz w:val="20"/>
                <w:szCs w:val="20"/>
                <w:color w:val="auto"/>
              </w:rPr>
            </w:pPr>
            <w:r>
              <w:rPr>
                <w:rFonts w:ascii="MS PGothic" w:cs="MS PGothic" w:eastAsia="MS PGothic" w:hAnsi="MS PGothic"/>
                <w:sz w:val="17"/>
                <w:szCs w:val="17"/>
                <w:color w:val="auto"/>
                <w:w w:val="93"/>
              </w:rPr>
              <w:t>✓</w:t>
            </w:r>
          </w:p>
        </w:tc>
        <w:tc>
          <w:tcPr>
            <w:tcW w:w="880" w:type="dxa"/>
            <w:vAlign w:val="bottom"/>
          </w:tcPr>
          <w:p>
            <w:pPr>
              <w:jc w:val="center"/>
              <w:spacing w:after="0"/>
              <w:rPr>
                <w:sz w:val="20"/>
                <w:szCs w:val="20"/>
                <w:color w:val="auto"/>
              </w:rPr>
            </w:pPr>
            <w:r>
              <w:rPr>
                <w:rFonts w:ascii="Arial" w:cs="Arial" w:eastAsia="Arial" w:hAnsi="Arial"/>
                <w:sz w:val="17"/>
                <w:szCs w:val="17"/>
                <w:color w:val="auto"/>
                <w:w w:val="93"/>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18173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*Phase 3 discontinued for primary AD indication</w:t>
      </w:r>
    </w:p>
    <w:p>
      <w:pPr>
        <w:spacing w:after="0" w:line="22" w:lineRule="exact"/>
        <w:rPr>
          <w:sz w:val="20"/>
          <w:szCs w:val="20"/>
          <w:color w:val="auto"/>
        </w:rPr>
      </w:pPr>
    </w:p>
    <w:p>
      <w:pPr>
        <w:ind w:left="120" w:right="480" w:hanging="4"/>
        <w:spacing w:after="0" w:line="288" w:lineRule="auto"/>
        <w:tabs>
          <w:tab w:leader="none" w:pos="25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There have been no head-to-head clinical trials between any of the product candidates listed above. Study designs and protocols for each product candidate were different, and results may not be comparable between product candidates.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Treatment Modalities</w:t>
      </w:r>
    </w:p>
    <w:p>
      <w:pPr>
        <w:spacing w:after="0" w:line="225"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While Ab and amyloid are generally considered to be the proximal cause of AD pathology, and alternative hypotheses to the amyloid hypothesis propose that amyloid accumulation is a consequence of other processes such as infection and that other pathogens lead to amyloid accumulation, downstream targets such as tau, inflammation-related targets, and growth factors may eventually be useful approaches in the treatment of AD and are being explored. Some of these treatment modalities have made nonclinical and early stage clinical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progress, although these efforts are still significantly less advanced than those approaches targeting Ab or amyloid plaques.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Combination Approaches</w:t>
      </w:r>
    </w:p>
    <w:p>
      <w:pPr>
        <w:spacing w:after="0" w:line="225"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The pathology of AD is complex, and many experts in the field expect that combination therapy using drugs with different mechanisms of action, such as tau-based therapies and immune inflammatory modulation, will ultimately prove most successful, similar to cutting edge approaches used in oncology. We believe that a drug targeting AbOs will likely be an important component of a combination treatment. In addition, because symptomatic treatments, such as memantine and cholinesterase inhibitors, affect neurotransmitter systems rather than the underlying AD pathology, we believe that it is likely that they will be used together with disease-modifying treatments.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Growing Interest in the Anti-A</w:t>
      </w:r>
      <w:r>
        <w:rPr>
          <w:rFonts w:ascii="Arial" w:cs="Arial" w:eastAsia="Arial" w:hAnsi="Arial"/>
          <w:sz w:val="18"/>
          <w:szCs w:val="18"/>
          <w:color w:val="auto"/>
        </w:rPr>
        <w:t>b</w:t>
      </w:r>
      <w:r>
        <w:rPr>
          <w:rFonts w:ascii="Arial" w:cs="Arial" w:eastAsia="Arial" w:hAnsi="Arial"/>
          <w:sz w:val="18"/>
          <w:szCs w:val="18"/>
          <w:b w:val="1"/>
          <w:bCs w:val="1"/>
          <w:color w:val="auto"/>
        </w:rPr>
        <w:t>O Hypothesis and A</w:t>
      </w:r>
      <w:r>
        <w:rPr>
          <w:rFonts w:ascii="Arial" w:cs="Arial" w:eastAsia="Arial" w:hAnsi="Arial"/>
          <w:sz w:val="18"/>
          <w:szCs w:val="18"/>
          <w:color w:val="auto"/>
        </w:rPr>
        <w:t>b</w:t>
      </w:r>
      <w:r>
        <w:rPr>
          <w:rFonts w:ascii="Arial" w:cs="Arial" w:eastAsia="Arial" w:hAnsi="Arial"/>
          <w:sz w:val="18"/>
          <w:szCs w:val="18"/>
          <w:b w:val="1"/>
          <w:bCs w:val="1"/>
          <w:color w:val="auto"/>
        </w:rPr>
        <w:t>Os as a Drug Target for AD</w:t>
      </w:r>
    </w:p>
    <w:p>
      <w:pPr>
        <w:spacing w:after="0" w:line="229"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An important refinement of the amyloid hypothesis is the recognition that at least three pools of Ab species exist in vivo—Ab monomers, AbOs, and amyloid plaques. Because these pools exist in equilibria, manipulation of one pool may have indirect effects on other pools. For example, reduction of Ab monomers may reduce AbOs to some degree. Limited successes in the clinic have been demonstrated with antibodies targeting Ab monomers, even though Ab monomers themselves are not widely accepted to have toxic properties. Similarly, limited successes in the clinic have been demonstrated using antibodies that target amyloid plaques, although insoluble fibrillar Ab and b-amyloid plaques exhibit relatively low in vitro toxicity and may even serve as an in vivo mechanism for removal of the more toxic soluble Ab species. Both Ab monomers and amyloid plaques can act as sources of AbOs. The positive results of monoclonal antibodies targeting Ab monomers and amyloid plaques, even in the absence of targeting AbOs directly, support the significance of Ab and amyloid in AD and have led to a growing confidence in the field in the amyloid hypothesis broadly. In contrast to the non-toxic Ab monomers and relatively non-toxic amyloid plaques, AbOs are known to bind to neurons, causing synaptic dysfunction and possibly contributing to cognitive impairment, neurodegeneration and cell death. As a result, AbOs are now generally believed to be the most toxic form of Ab. The acute synaptic and chronic neurodegenerative toxicity of AbOs, coupled with their very low in vivo levels, suggests that they may be an optimal therapeutic target compared to Ab monomers and fibrillar Ab species. Therefore, we believe that drugs that directly target AbOs could represent a promising new approach to the potential treatment of AD.</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 A</w:t>
      </w:r>
      <w:r>
        <w:rPr>
          <w:rFonts w:ascii="Arial" w:cs="Arial" w:eastAsia="Arial" w:hAnsi="Arial"/>
          <w:sz w:val="18"/>
          <w:szCs w:val="18"/>
          <w:color w:val="auto"/>
        </w:rPr>
        <w:t>b</w:t>
      </w:r>
      <w:r>
        <w:rPr>
          <w:rFonts w:ascii="Arial" w:cs="Arial" w:eastAsia="Arial" w:hAnsi="Arial"/>
          <w:sz w:val="18"/>
          <w:szCs w:val="18"/>
          <w:b w:val="1"/>
          <w:bCs w:val="1"/>
          <w:color w:val="auto"/>
        </w:rPr>
        <w:t xml:space="preserve"> related species and pathophysiology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171450</wp:posOffset>
            </wp:positionV>
            <wp:extent cx="4705985" cy="26485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0598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precise mechanism of toxicity of AbOs is not fully understood, however numerous studies suggest a mechanism that may include initial reversible memory loss caused by acute AbO-induced disruptions of synaptic plasticity, with progressive dementia attributable, at least in part, to neuronal degeneration induced by chronic exposure to AbOs. AbOs bind to synapses on hippocampal and cortical neurons. In rodent hippocampal slice preparations, AbOs cause rapid inhibition of long-term potentiation, or LTP, and direct injection of AbO solutions into rodent brains leads to reversible impairment of cognitive function. These findings support the view that AbOs may interfere acutely with normal synaptic functions and contribute significantly to the memory loss and cognitive dysfunction characteristic of AD. With regard to neurodegeneration, binding of AbOs to neurons also causes damage within neurons, such as calcium influx and the hyperphosphorylation of tau, which leads to neurofibrillary tangles, another downstream hallmark of AD pathology.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Differentiated Approach to the Treatment of AD</w:t>
      </w:r>
    </w:p>
    <w:p>
      <w:pPr>
        <w:spacing w:after="0" w:line="229" w:lineRule="exact"/>
        <w:rPr>
          <w:sz w:val="20"/>
          <w:szCs w:val="20"/>
          <w:color w:val="auto"/>
        </w:rPr>
      </w:pPr>
    </w:p>
    <w:p>
      <w:pPr>
        <w:ind w:left="120" w:right="160" w:firstLine="881"/>
        <w:spacing w:after="0" w:line="342" w:lineRule="auto"/>
        <w:rPr>
          <w:sz w:val="20"/>
          <w:szCs w:val="20"/>
          <w:color w:val="auto"/>
        </w:rPr>
      </w:pPr>
      <w:r>
        <w:rPr>
          <w:rFonts w:ascii="Arial" w:cs="Arial" w:eastAsia="Arial" w:hAnsi="Arial"/>
          <w:sz w:val="16"/>
          <w:szCs w:val="16"/>
          <w:color w:val="auto"/>
        </w:rPr>
        <w:t>We believe that, based on its differentiated mechanism of action, potential for symptomatic improvement and disease modification, and potential for higher dosing, ACU193 has several potential advantages in comparison to other AD drugs that are currently approved or in development: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Differentiated mechanism of action:</w:t>
      </w:r>
    </w:p>
    <w:p>
      <w:pPr>
        <w:spacing w:after="0" w:line="248" w:lineRule="exact"/>
        <w:rPr>
          <w:sz w:val="20"/>
          <w:szCs w:val="20"/>
          <w:color w:val="auto"/>
        </w:rPr>
      </w:pPr>
    </w:p>
    <w:p>
      <w:pPr>
        <w:ind w:left="1420" w:right="240" w:hanging="319"/>
        <w:spacing w:after="0" w:line="303" w:lineRule="auto"/>
        <w:tabs>
          <w:tab w:leader="none" w:pos="142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Potentially addresses an underlying cause of AD</w:t>
      </w:r>
      <w:r>
        <w:rPr>
          <w:rFonts w:ascii="Arial" w:cs="Arial" w:eastAsia="Arial" w:hAnsi="Arial"/>
          <w:sz w:val="16"/>
          <w:szCs w:val="16"/>
          <w:color w:val="auto"/>
        </w:rPr>
        <w:t>. A growing body of evidence indicates that AbOs, rather than Ab monomers or</w:t>
      </w:r>
      <w:r>
        <w:rPr>
          <w:rFonts w:ascii="Arial" w:cs="Arial" w:eastAsia="Arial" w:hAnsi="Arial"/>
          <w:sz w:val="16"/>
          <w:szCs w:val="16"/>
          <w:b w:val="1"/>
          <w:bCs w:val="1"/>
          <w:color w:val="auto"/>
        </w:rPr>
        <w:t xml:space="preserve"> </w:t>
      </w:r>
      <w:r>
        <w:rPr>
          <w:rFonts w:ascii="Arial" w:cs="Arial" w:eastAsia="Arial" w:hAnsi="Arial"/>
          <w:sz w:val="16"/>
          <w:szCs w:val="16"/>
          <w:color w:val="auto"/>
        </w:rPr>
        <w:t>amyloid plaques, are the primary toxic species that impair neuronal synaptic function and contribute to impairment in memory and cognition and neurodegeneration. We believe that AbOs are an optimal therapeutic target relative to other Ab species and that ACU193 has the potential to be the first anti-AbO directed treatment to prevent or slow the progression of AD.</w:t>
      </w:r>
    </w:p>
    <w:p>
      <w:pPr>
        <w:spacing w:after="0" w:line="177" w:lineRule="exact"/>
        <w:rPr>
          <w:rFonts w:ascii="Arial" w:cs="Arial" w:eastAsia="Arial" w:hAnsi="Arial"/>
          <w:sz w:val="16"/>
          <w:szCs w:val="16"/>
          <w:color w:val="auto"/>
        </w:rPr>
      </w:pPr>
    </w:p>
    <w:p>
      <w:pPr>
        <w:ind w:left="1420" w:hanging="319"/>
        <w:spacing w:after="0" w:line="261"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Selectively binds to A</w:t>
      </w:r>
      <w:r>
        <w:rPr>
          <w:rFonts w:ascii="Arial" w:cs="Arial" w:eastAsia="Arial" w:hAnsi="Arial"/>
          <w:sz w:val="18"/>
          <w:szCs w:val="18"/>
          <w:color w:val="auto"/>
        </w:rPr>
        <w:t>b</w:t>
      </w:r>
      <w:r>
        <w:rPr>
          <w:rFonts w:ascii="Arial" w:cs="Arial" w:eastAsia="Arial" w:hAnsi="Arial"/>
          <w:sz w:val="18"/>
          <w:szCs w:val="18"/>
          <w:b w:val="1"/>
          <w:bCs w:val="1"/>
          <w:color w:val="auto"/>
        </w:rPr>
        <w:t xml:space="preserve">O. </w:t>
      </w:r>
      <w:r>
        <w:rPr>
          <w:rFonts w:ascii="Arial" w:cs="Arial" w:eastAsia="Arial" w:hAnsi="Arial"/>
          <w:sz w:val="18"/>
          <w:szCs w:val="18"/>
          <w:color w:val="auto"/>
        </w:rPr>
        <w:t>ACU193 is the first monoclonal antibody discovered and designed to selectively target AbOs. In our</w:t>
      </w:r>
      <w:r>
        <w:rPr>
          <w:rFonts w:ascii="Arial" w:cs="Arial" w:eastAsia="Arial" w:hAnsi="Arial"/>
          <w:sz w:val="18"/>
          <w:szCs w:val="18"/>
          <w:b w:val="1"/>
          <w:bCs w:val="1"/>
          <w:color w:val="auto"/>
        </w:rPr>
        <w:t xml:space="preserve"> </w:t>
      </w:r>
      <w:r>
        <w:rPr>
          <w:rFonts w:ascii="Arial" w:cs="Arial" w:eastAsia="Arial" w:hAnsi="Arial"/>
          <w:sz w:val="18"/>
          <w:szCs w:val="18"/>
          <w:color w:val="auto"/>
        </w:rPr>
        <w:t>nonclinical studies, ACU193 demonstrated a greater than 500-fold affinity to bind to AbOs over monomers and did not bind vascular amyloid or dense core amyloid plaques. In comparison, other non-selective anti-Ab/amyloid antibodies in development bind primarily to Ab monomers or amyloid plaques.</w:t>
      </w:r>
    </w:p>
    <w:p>
      <w:pPr>
        <w:spacing w:after="0" w:line="206" w:lineRule="exact"/>
        <w:rPr>
          <w:rFonts w:ascii="Arial" w:cs="Arial" w:eastAsia="Arial" w:hAnsi="Arial"/>
          <w:sz w:val="18"/>
          <w:szCs w:val="18"/>
          <w:color w:val="auto"/>
        </w:rPr>
      </w:pPr>
    </w:p>
    <w:p>
      <w:pPr>
        <w:ind w:left="1420" w:right="80" w:hanging="319"/>
        <w:spacing w:after="0" w:line="266"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Binds to a broad spectrum of toxic A</w:t>
      </w:r>
      <w:r>
        <w:rPr>
          <w:rFonts w:ascii="Arial" w:cs="Arial" w:eastAsia="Arial" w:hAnsi="Arial"/>
          <w:sz w:val="18"/>
          <w:szCs w:val="18"/>
          <w:color w:val="auto"/>
        </w:rPr>
        <w:t>b</w:t>
      </w:r>
      <w:r>
        <w:rPr>
          <w:rFonts w:ascii="Arial" w:cs="Arial" w:eastAsia="Arial" w:hAnsi="Arial"/>
          <w:sz w:val="18"/>
          <w:szCs w:val="18"/>
          <w:b w:val="1"/>
          <w:bCs w:val="1"/>
          <w:color w:val="auto"/>
        </w:rPr>
        <w:t xml:space="preserve">Os. </w:t>
      </w:r>
      <w:r>
        <w:rPr>
          <w:rFonts w:ascii="Arial" w:cs="Arial" w:eastAsia="Arial" w:hAnsi="Arial"/>
          <w:sz w:val="18"/>
          <w:szCs w:val="18"/>
          <w:color w:val="auto"/>
        </w:rPr>
        <w:t>AbOs are present in the brain in a wide range of sizes. ACU193 has the ability to bind to</w:t>
      </w:r>
      <w:r>
        <w:rPr>
          <w:rFonts w:ascii="Arial" w:cs="Arial" w:eastAsia="Arial" w:hAnsi="Arial"/>
          <w:sz w:val="18"/>
          <w:szCs w:val="18"/>
          <w:b w:val="1"/>
          <w:bCs w:val="1"/>
          <w:color w:val="auto"/>
        </w:rPr>
        <w:t xml:space="preserve"> </w:t>
      </w:r>
      <w:r>
        <w:rPr>
          <w:rFonts w:ascii="Arial" w:cs="Arial" w:eastAsia="Arial" w:hAnsi="Arial"/>
          <w:sz w:val="18"/>
          <w:szCs w:val="18"/>
          <w:color w:val="auto"/>
        </w:rPr>
        <w:t>a broad spectrum of toxic AbOs across various molecular weights. Nonclinical data shows that ACU193 binds to low- to mid-sized molecular weight oligomeric species.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for symptomatic improvement and disease modification:</w:t>
      </w:r>
    </w:p>
    <w:p>
      <w:pPr>
        <w:spacing w:after="0" w:line="248" w:lineRule="exact"/>
        <w:rPr>
          <w:sz w:val="20"/>
          <w:szCs w:val="20"/>
          <w:color w:val="auto"/>
        </w:rPr>
      </w:pPr>
    </w:p>
    <w:p>
      <w:pPr>
        <w:ind w:left="1420" w:right="20" w:hanging="319"/>
        <w:spacing w:after="0" w:line="298" w:lineRule="auto"/>
        <w:tabs>
          <w:tab w:leader="none" w:pos="142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May provide symptomatic improvement in addition to disease modification. </w:t>
      </w:r>
      <w:r>
        <w:rPr>
          <w:rFonts w:ascii="Arial" w:cs="Arial" w:eastAsia="Arial" w:hAnsi="Arial"/>
          <w:sz w:val="16"/>
          <w:szCs w:val="16"/>
          <w:color w:val="auto"/>
        </w:rPr>
        <w:t>While recent anti-Ab monoclonal antibody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have established a biological foothold for disease-modifying treatments for AD, they fail to demonstrate clinically meaningful symptomatic improvement as measured by AD clinical assessments. Recent nonclinical studies show that AbOs are acutely toxic to neuronal function. By selectively targeting and neutralizing AbO toxicity, we believe that ACU193 has the potential to build upon this biological foothold and provide improvements in cognitive function in addition to disease-modifying effects.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for higher dosing:</w:t>
      </w:r>
    </w:p>
    <w:p>
      <w:pPr>
        <w:spacing w:after="0" w:line="248" w:lineRule="exact"/>
        <w:rPr>
          <w:sz w:val="20"/>
          <w:szCs w:val="20"/>
          <w:color w:val="auto"/>
        </w:rPr>
      </w:pPr>
    </w:p>
    <w:p>
      <w:pPr>
        <w:jc w:val="both"/>
        <w:ind w:left="1420" w:right="80" w:hanging="319"/>
        <w:spacing w:after="0" w:line="266" w:lineRule="auto"/>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Selectivity for A</w:t>
      </w:r>
      <w:r>
        <w:rPr>
          <w:rFonts w:ascii="Arial" w:cs="Arial" w:eastAsia="Arial" w:hAnsi="Arial"/>
          <w:sz w:val="18"/>
          <w:szCs w:val="18"/>
          <w:color w:val="auto"/>
        </w:rPr>
        <w:t>b</w:t>
      </w:r>
      <w:r>
        <w:rPr>
          <w:rFonts w:ascii="Arial" w:cs="Arial" w:eastAsia="Arial" w:hAnsi="Arial"/>
          <w:sz w:val="18"/>
          <w:szCs w:val="18"/>
          <w:b w:val="1"/>
          <w:bCs w:val="1"/>
          <w:color w:val="auto"/>
        </w:rPr>
        <w:t xml:space="preserve">Os is likely to result in greatly reduced rates of ARIA, allowing a broad therapeutic window. </w:t>
      </w:r>
      <w:r>
        <w:rPr>
          <w:rFonts w:ascii="Arial" w:cs="Arial" w:eastAsia="Arial" w:hAnsi="Arial"/>
          <w:sz w:val="18"/>
          <w:szCs w:val="18"/>
          <w:color w:val="auto"/>
        </w:rPr>
        <w:t>Amyloid plaque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antibodies have been associated with ARIA, with IgG1 monoclonal antibodies in particular showing elevated rates of ARIA, which presents a safety</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20"/>
        <w:spacing w:after="0" w:line="272" w:lineRule="auto"/>
        <w:rPr>
          <w:sz w:val="20"/>
          <w:szCs w:val="20"/>
          <w:color w:val="auto"/>
        </w:rPr>
      </w:pPr>
      <w:r>
        <w:rPr>
          <w:rFonts w:ascii="Arial" w:cs="Arial" w:eastAsia="Arial" w:hAnsi="Arial"/>
          <w:sz w:val="17"/>
          <w:szCs w:val="17"/>
          <w:color w:val="auto"/>
        </w:rPr>
        <w:t>concern. In contrast, ACU193 was engineered as an IgG2m4 subclass monoclonal antibody, which lacks the inflammatory effector functions of other IgG subclasses. Because ACU193 exhibits limited or no binding to amyloid plaques and lacks inflammatory effector functions, we believe that treatment with ACU193 is likely to result in greatly reduced rates of ARIA adverse events relative to IgG1 monoclonal antibodies that bind to plaque. ACU193 has demonstrated a favorable pharmacokinetic profile in nonclinical studies. Based on the results of GLP safety studies in rats and monkeys, we believe that ACU193 has the potential to be clinically well-tolerated at doses up to 60 mg/kg. While certain anti-Ab/plaque antibodies have dose limitations due to ARIA, we believe that ACU193 may be well-tolerated at higher doses.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ACU193: First AD Immunotherapy Candidate to Selectively Target A</w:t>
      </w:r>
      <w:r>
        <w:rPr>
          <w:rFonts w:ascii="Arial" w:cs="Arial" w:eastAsia="Arial" w:hAnsi="Arial"/>
          <w:sz w:val="18"/>
          <w:szCs w:val="18"/>
          <w:color w:val="auto"/>
        </w:rPr>
        <w:t>b</w:t>
      </w:r>
      <w:r>
        <w:rPr>
          <w:rFonts w:ascii="Arial" w:cs="Arial" w:eastAsia="Arial" w:hAnsi="Arial"/>
          <w:sz w:val="18"/>
          <w:szCs w:val="18"/>
          <w:b w:val="1"/>
          <w:bCs w:val="1"/>
          <w:color w:val="auto"/>
        </w:rPr>
        <w:t>Os</w:t>
      </w:r>
    </w:p>
    <w:p>
      <w:pPr>
        <w:spacing w:after="0" w:line="229" w:lineRule="exact"/>
        <w:rPr>
          <w:sz w:val="20"/>
          <w:szCs w:val="20"/>
          <w:color w:val="auto"/>
        </w:rPr>
      </w:pPr>
    </w:p>
    <w:p>
      <w:pPr>
        <w:ind w:left="120" w:right="240" w:firstLine="881"/>
        <w:spacing w:after="0" w:line="257" w:lineRule="auto"/>
        <w:rPr>
          <w:sz w:val="20"/>
          <w:szCs w:val="20"/>
          <w:color w:val="auto"/>
        </w:rPr>
      </w:pPr>
      <w:r>
        <w:rPr>
          <w:rFonts w:ascii="Arial" w:cs="Arial" w:eastAsia="Arial" w:hAnsi="Arial"/>
          <w:sz w:val="18"/>
          <w:szCs w:val="18"/>
          <w:color w:val="auto"/>
        </w:rPr>
        <w:t>Our product candidate, ACU193, is a humanized, affinity-matured, immunoglobulin G2m4, or IgG2m4, subclass monoclonal antibody, derived from the murine immunoglobulin G1, or IgG1, parent, ACU3B3. ACU193 lacks the inflammatory effector functions of other IgG subclasses. ACU193 binds with high selectivity to soluble AbOs (over 500-fold versus Ab monomer in a competitive assay), differentiating ACU193 from other therapeutic monoclonal antibodies, which primarily bind Ab monomers or fibrillar forms of Ab. Binding of ACU193 to AbOs may improve synaptic function and decrease neurodegeneration.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 Summary comparison of ACU193 to anti-A</w:t>
      </w:r>
      <w:r>
        <w:rPr>
          <w:rFonts w:ascii="Arial" w:cs="Arial" w:eastAsia="Arial" w:hAnsi="Arial"/>
          <w:sz w:val="18"/>
          <w:szCs w:val="18"/>
          <w:color w:val="auto"/>
        </w:rPr>
        <w:t>b</w:t>
      </w:r>
      <w:r>
        <w:rPr>
          <w:rFonts w:ascii="Arial" w:cs="Arial" w:eastAsia="Arial" w:hAnsi="Arial"/>
          <w:sz w:val="18"/>
          <w:szCs w:val="18"/>
          <w:b w:val="1"/>
          <w:bCs w:val="1"/>
          <w:color w:val="auto"/>
        </w:rPr>
        <w:t>/plaque antibodies in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086475" cy="2683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86475" cy="268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All IgG1 monoclonal antibodies that bind amyloid plaque have shown high rates of ARIA-E.</w:t>
      </w:r>
    </w:p>
    <w:p>
      <w:pPr>
        <w:spacing w:after="0" w:line="230"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Despite recognition that AbOs are key structures contributing to AD memory dysfunction, cognitive deficits, and neurodegeneration, drug discovery efforts targeting these species have been hampered by technical difficulties of generating physiologically relevant preparations of synthetic AbOs, or syn-AbOs. Our founders and early-stage researchers were instrumental in the development of well-characterized preparations of syn-AbOs, initially termed Ab Derived Diffusible Ligands, or ADDLs. ADDL preparations were used as the immunogen to generate and discover ACU3B3, the murine IgG1 parent of ACU193.</w:t>
      </w:r>
    </w:p>
    <w:p>
      <w:pPr>
        <w:spacing w:after="0" w:line="188"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In December 2003, we entered into an exclusive license and research and development collaboration agreement with Merck for the research, discovery, development, and commercialization of immunotherapies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AD. From 2003 to 2011, Merck carried out extensive research leading to the humanization of ACU3B3 and creation of ACU193. ACU193 emerged as the lead product candidate based on its preferential AbO binding, favorable immunogenicity profile, and an absence of off-target binding. In 2011, Merck chose to terminate the program largely based on internal strategic priorities. Consequently, we regained an exclusive, perpetual, irrevocable, royalty-free, worldwide license for the research, development, manufacturing or commercialization of ADDL antibodies, ADDL antigens, or products, including ACU193.</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Product Profile</w:t>
      </w:r>
    </w:p>
    <w:p>
      <w:pPr>
        <w:spacing w:after="0" w:line="229" w:lineRule="exact"/>
        <w:rPr>
          <w:sz w:val="20"/>
          <w:szCs w:val="20"/>
          <w:color w:val="auto"/>
        </w:rPr>
      </w:pPr>
    </w:p>
    <w:p>
      <w:pPr>
        <w:ind w:left="120" w:right="220" w:firstLine="881"/>
        <w:spacing w:after="0" w:line="257" w:lineRule="auto"/>
        <w:rPr>
          <w:sz w:val="20"/>
          <w:szCs w:val="20"/>
          <w:color w:val="auto"/>
        </w:rPr>
      </w:pPr>
      <w:r>
        <w:rPr>
          <w:rFonts w:ascii="Arial" w:cs="Arial" w:eastAsia="Arial" w:hAnsi="Arial"/>
          <w:sz w:val="18"/>
          <w:szCs w:val="18"/>
          <w:color w:val="auto"/>
        </w:rPr>
        <w:t>We are developing ACU193, a humanized monoclonal antibody targeting soluble AbOs, as an IV administered treatment for early AD patients. The early AD population is defined as individuals with clinical symptoms consistent with MCI, or consistent with mild dementia who have demonstrated amyloid pathology as assessed with either a positron emission tomography, or PET, or cerebrospinal fluid analysis. A blood test to determine amyloid status may become available in the future. We believe ACU193 has the potential to reduce the rate of cognitive decline by at least 35%, which would be broadly considered as clinically meaningful.</w:t>
      </w:r>
    </w:p>
    <w:p>
      <w:pPr>
        <w:spacing w:after="0" w:line="188" w:lineRule="exact"/>
        <w:rPr>
          <w:sz w:val="20"/>
          <w:szCs w:val="20"/>
          <w:color w:val="auto"/>
        </w:rPr>
      </w:pPr>
    </w:p>
    <w:p>
      <w:pPr>
        <w:ind w:left="120" w:right="80" w:firstLine="881"/>
        <w:spacing w:after="0" w:line="290" w:lineRule="auto"/>
        <w:rPr>
          <w:sz w:val="20"/>
          <w:szCs w:val="20"/>
          <w:color w:val="auto"/>
        </w:rPr>
      </w:pPr>
      <w:r>
        <w:rPr>
          <w:rFonts w:ascii="Arial" w:cs="Arial" w:eastAsia="Arial" w:hAnsi="Arial"/>
          <w:sz w:val="16"/>
          <w:szCs w:val="16"/>
          <w:color w:val="auto"/>
        </w:rPr>
        <w:t>ACU193 is a humanized, affinity-matured, mAb with high selectivity for toxic AbOs versus Ab monomers (greater than 500-fold) and amyloid plaques. With its selective targeting of AbOs, we believe that ACU193 could demonstrate a number of potential valuable clinical outcomes, including the slowing of disease progression and downstream changes in tau and neurofibrillary tangles. Additionally, given the acute toxicity of AbOs in laboratory studies, we believe that some patients could experience an improvement in cognitive function. ACU193’s epitope is composed of a configuration of the N-terminal regions of Ab monomers within AbOs. AbOs form when Ab monomers associate co-linearly along the central alpha helical domains through C-terminal regions via stacking phenylalanine polar bonding associations. This presents an advantage for ACU193 binding because the co-linear association sterically restricts spatial configuration of the N-terminal regions presented by AbOs. The N-termini within AbOs are anionic and repel one another, resulting in presentation of N-terminal amino acids, which lead to high affinity for ACU193 binding.</w:t>
      </w:r>
    </w:p>
    <w:p>
      <w:pPr>
        <w:spacing w:after="0" w:line="165"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In its current formulation, ACU193 deamidates at physiological pH and body temperature. The rate of deamidation is specific to the matrix and temperature, and results in reduced target binding. To prevent deamidation prior to administration of ACU193 in the clinic, the current drug product is stored frozen at -20°C.</w:t>
      </w:r>
    </w:p>
    <w:p>
      <w:pPr>
        <w:spacing w:after="0" w:line="184"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ACU193 is an IgG2m4 subclass mAb which lacks the inflammatory effector function signaling stimulated by other IgG subclasses. The product is expected to be given as an IV infusion once every four weeks. Given the indication, ACU193 treatment would be initiated for patients diagnosed with mild dementia or MCI and would likely be continued for several years. Based on the target and lack of inflammatory effector function, we believe the rate of ARIA may be reduced compared to approaches targeting amyloid plaques. Finally, ACU193 could be used in combination with other therapies that might become available for AD, especially those targeting the tau protein or modulating the immune system.</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Nonclinical Data Package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Nonclinical Studies</w:t>
      </w:r>
    </w:p>
    <w:p>
      <w:pPr>
        <w:spacing w:after="0" w:line="229"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In our nonclinical studies, ACU193 has demonstrated: (i) preferential selectivity for binding to AbOs versus other forms of Ab monomers and amyloid plaques in in vitro assays, human AD tissue samples and in vivo transgenic mouse models; (ii) consistent data in support of ACU193 protective effects against AbO synaptic toxicity in in vitro and ex vivo assays; (iii) in vivo pharmacology in multiple species confirming blood-brain barrier penetration, target engagement, and behavioral effects; and (iv) safety data in multiple species including GLP toxicology studies in Sprague-Dawley rats and cynomolgus monkeys confirming an adequate safety margin for the first in human clinical trial. Based on the strength of the data we observed in our nonclinical studies, we initiated a Phase 1 clinical trial in the second quarter of 2021.</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60"/>
          </w:cols>
          <w:pgMar w:left="320" w:top="459"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Characteristics and Data</w:t>
      </w:r>
    </w:p>
    <w:p>
      <w:pPr>
        <w:spacing w:after="0" w:line="250" w:lineRule="exact"/>
        <w:rPr>
          <w:sz w:val="20"/>
          <w:szCs w:val="20"/>
          <w:color w:val="auto"/>
        </w:rPr>
      </w:pPr>
    </w:p>
    <w:tbl>
      <w:tblPr>
        <w:tblLayout w:type="fixed"/>
        <w:tblInd w:w="130" w:type="dxa"/>
        <w:tblCellMar>
          <w:top w:w="0" w:type="dxa"/>
          <w:left w:w="0" w:type="dxa"/>
          <w:bottom w:w="0" w:type="dxa"/>
          <w:right w:w="0" w:type="dxa"/>
        </w:tblCellMar>
      </w:tblPr>
      <w:tr>
        <w:trPr>
          <w:trHeight w:val="215"/>
        </w:trPr>
        <w:tc>
          <w:tcPr>
            <w:tcW w:w="1860" w:type="dxa"/>
            <w:vAlign w:val="bottom"/>
            <w:tcBorders>
              <w:top w:val="single" w:sz="8" w:color="auto"/>
              <w:left w:val="single" w:sz="8" w:color="auto"/>
            </w:tcBorders>
          </w:tcPr>
          <w:p>
            <w:pPr>
              <w:ind w:left="160"/>
              <w:spacing w:after="0"/>
              <w:rPr>
                <w:sz w:val="20"/>
                <w:szCs w:val="20"/>
                <w:color w:val="auto"/>
              </w:rPr>
            </w:pPr>
            <w:r>
              <w:rPr>
                <w:rFonts w:ascii="Arial" w:cs="Arial" w:eastAsia="Arial" w:hAnsi="Arial"/>
                <w:sz w:val="18"/>
                <w:szCs w:val="18"/>
                <w:color w:val="auto"/>
              </w:rPr>
              <w:t>Selectivity</w:t>
            </w:r>
          </w:p>
        </w:tc>
        <w:tc>
          <w:tcPr>
            <w:tcW w:w="91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4"/>
              </w:rPr>
              <w:t>•   Binding characterization studies of ACU193 and its murine parent ACU3B3 show significant preferential selectivity for</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tcBorders>
          </w:tcPr>
          <w:p>
            <w:pPr>
              <w:spacing w:after="0"/>
              <w:rPr>
                <w:sz w:val="20"/>
                <w:szCs w:val="20"/>
                <w:color w:val="auto"/>
              </w:rPr>
            </w:pPr>
          </w:p>
        </w:tc>
        <w:tc>
          <w:tcPr>
            <w:tcW w:w="91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AbOs versus monomeric and amyloid plaques.</w:t>
            </w:r>
          </w:p>
        </w:tc>
        <w:tc>
          <w:tcPr>
            <w:tcW w:w="0" w:type="dxa"/>
            <w:vAlign w:val="bottom"/>
          </w:tcPr>
          <w:p>
            <w:pPr>
              <w:spacing w:after="0"/>
              <w:rPr>
                <w:sz w:val="1"/>
                <w:szCs w:val="1"/>
                <w:color w:val="auto"/>
              </w:rPr>
            </w:pPr>
          </w:p>
        </w:tc>
      </w:tr>
      <w:tr>
        <w:trPr>
          <w:trHeight w:val="323"/>
        </w:trPr>
        <w:tc>
          <w:tcPr>
            <w:tcW w:w="1860" w:type="dxa"/>
            <w:vAlign w:val="bottom"/>
            <w:tcBorders>
              <w:left w:val="single" w:sz="8" w:color="auto"/>
            </w:tcBorders>
          </w:tcPr>
          <w:p>
            <w:pPr>
              <w:spacing w:after="0"/>
              <w:rPr>
                <w:sz w:val="24"/>
                <w:szCs w:val="24"/>
                <w:color w:val="auto"/>
              </w:rPr>
            </w:pPr>
          </w:p>
        </w:tc>
        <w:tc>
          <w:tcPr>
            <w:tcW w:w="918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4"/>
              </w:rPr>
              <w:t>–   Competitive enzyme-linked immunosorbent assay, or ELISA, data show ACU193 binding to AbOs is 556-fold</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9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2"/>
              </w:rPr>
              <w:t>greater than to Ab monomer based on monomer equivalent weight. This selectivity value is even higher when</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tcBorders>
          </w:tcPr>
          <w:p>
            <w:pPr>
              <w:spacing w:after="0"/>
              <w:rPr>
                <w:sz w:val="20"/>
                <w:szCs w:val="20"/>
                <w:color w:val="auto"/>
              </w:rPr>
            </w:pPr>
          </w:p>
        </w:tc>
        <w:tc>
          <w:tcPr>
            <w:tcW w:w="9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adjusted for AbOs’ molecular weight.</w:t>
            </w:r>
          </w:p>
        </w:tc>
        <w:tc>
          <w:tcPr>
            <w:tcW w:w="0" w:type="dxa"/>
            <w:vAlign w:val="bottom"/>
          </w:tcPr>
          <w:p>
            <w:pPr>
              <w:spacing w:after="0"/>
              <w:rPr>
                <w:sz w:val="1"/>
                <w:szCs w:val="1"/>
                <w:color w:val="auto"/>
              </w:rPr>
            </w:pPr>
          </w:p>
        </w:tc>
      </w:tr>
      <w:tr>
        <w:trPr>
          <w:trHeight w:val="323"/>
        </w:trPr>
        <w:tc>
          <w:tcPr>
            <w:tcW w:w="1860" w:type="dxa"/>
            <w:vAlign w:val="bottom"/>
            <w:tcBorders>
              <w:left w:val="single" w:sz="8" w:color="auto"/>
            </w:tcBorders>
          </w:tcPr>
          <w:p>
            <w:pPr>
              <w:spacing w:after="0"/>
              <w:rPr>
                <w:sz w:val="24"/>
                <w:szCs w:val="24"/>
                <w:color w:val="auto"/>
              </w:rPr>
            </w:pPr>
          </w:p>
        </w:tc>
        <w:tc>
          <w:tcPr>
            <w:tcW w:w="918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   ACU193 binding in brain tissues of transgenic mice following IV dosing shows significant, preferential</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9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binding to non-fibrillar, thioflavin-S-negative Ab structures. The occasional co-localization observed with</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tcBorders>
          </w:tcPr>
          <w:p>
            <w:pPr>
              <w:spacing w:after="0"/>
              <w:rPr>
                <w:sz w:val="20"/>
                <w:szCs w:val="20"/>
                <w:color w:val="auto"/>
              </w:rPr>
            </w:pPr>
          </w:p>
        </w:tc>
        <w:tc>
          <w:tcPr>
            <w:tcW w:w="91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thioflavin-S-positive fibrillar plaques suggests binding to AbOs reported to surround amyloid plaques.</w:t>
            </w:r>
          </w:p>
        </w:tc>
        <w:tc>
          <w:tcPr>
            <w:tcW w:w="0" w:type="dxa"/>
            <w:vAlign w:val="bottom"/>
          </w:tcPr>
          <w:p>
            <w:pPr>
              <w:spacing w:after="0"/>
              <w:rPr>
                <w:sz w:val="1"/>
                <w:szCs w:val="1"/>
                <w:color w:val="auto"/>
              </w:rPr>
            </w:pPr>
          </w:p>
        </w:tc>
      </w:tr>
      <w:tr>
        <w:trPr>
          <w:trHeight w:val="323"/>
        </w:trPr>
        <w:tc>
          <w:tcPr>
            <w:tcW w:w="1860" w:type="dxa"/>
            <w:vAlign w:val="bottom"/>
            <w:tcBorders>
              <w:left w:val="single" w:sz="8" w:color="auto"/>
            </w:tcBorders>
          </w:tcPr>
          <w:p>
            <w:pPr>
              <w:spacing w:after="0"/>
              <w:rPr>
                <w:sz w:val="24"/>
                <w:szCs w:val="24"/>
                <w:color w:val="auto"/>
              </w:rPr>
            </w:pPr>
          </w:p>
        </w:tc>
        <w:tc>
          <w:tcPr>
            <w:tcW w:w="9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   ACU193 binds a broad range of synthetic and human-derived low, mid, and higher molecular weight AbOs (dimers to</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tcBorders>
          </w:tcPr>
          <w:p>
            <w:pPr>
              <w:spacing w:after="0"/>
              <w:rPr>
                <w:sz w:val="20"/>
                <w:szCs w:val="20"/>
                <w:color w:val="auto"/>
              </w:rPr>
            </w:pPr>
          </w:p>
        </w:tc>
        <w:tc>
          <w:tcPr>
            <w:tcW w:w="91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200-mers).</w:t>
            </w:r>
          </w:p>
        </w:tc>
        <w:tc>
          <w:tcPr>
            <w:tcW w:w="0" w:type="dxa"/>
            <w:vAlign w:val="bottom"/>
          </w:tcPr>
          <w:p>
            <w:pPr>
              <w:spacing w:after="0"/>
              <w:rPr>
                <w:sz w:val="1"/>
                <w:szCs w:val="1"/>
                <w:color w:val="auto"/>
              </w:rPr>
            </w:pPr>
          </w:p>
        </w:tc>
      </w:tr>
      <w:tr>
        <w:trPr>
          <w:trHeight w:val="54"/>
        </w:trPr>
        <w:tc>
          <w:tcPr>
            <w:tcW w:w="1860" w:type="dxa"/>
            <w:vAlign w:val="bottom"/>
            <w:tcBorders>
              <w:left w:val="single" w:sz="8" w:color="auto"/>
              <w:bottom w:val="single" w:sz="8" w:color="auto"/>
            </w:tcBorders>
          </w:tcPr>
          <w:p>
            <w:pPr>
              <w:spacing w:after="0"/>
              <w:rPr>
                <w:sz w:val="4"/>
                <w:szCs w:val="4"/>
                <w:color w:val="auto"/>
              </w:rPr>
            </w:pPr>
          </w:p>
        </w:tc>
        <w:tc>
          <w:tcPr>
            <w:tcW w:w="9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86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Protection from</w:t>
            </w:r>
          </w:p>
        </w:tc>
        <w:tc>
          <w:tcPr>
            <w:tcW w:w="9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ACU193 and ACU3B3 prevent binding of AbOs to primary hippocampal neurons in vitro (the average IC50 of</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AbO-induced</w:t>
            </w:r>
          </w:p>
        </w:tc>
        <w:tc>
          <w:tcPr>
            <w:tcW w:w="91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ACU193 is 17 nM).</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synaptic toxicity</w:t>
            </w:r>
          </w:p>
        </w:tc>
        <w:tc>
          <w:tcPr>
            <w:tcW w:w="91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   ACU193 and ACU3B3 block AbOs’ inhibition of long-term potentiation ex vivo.</w:t>
            </w:r>
          </w:p>
        </w:tc>
        <w:tc>
          <w:tcPr>
            <w:tcW w:w="0" w:type="dxa"/>
            <w:vAlign w:val="bottom"/>
          </w:tcPr>
          <w:p>
            <w:pPr>
              <w:spacing w:after="0"/>
              <w:rPr>
                <w:sz w:val="1"/>
                <w:szCs w:val="1"/>
                <w:color w:val="auto"/>
              </w:rPr>
            </w:pPr>
          </w:p>
        </w:tc>
      </w:tr>
      <w:tr>
        <w:trPr>
          <w:trHeight w:val="122"/>
        </w:trPr>
        <w:tc>
          <w:tcPr>
            <w:tcW w:w="1860" w:type="dxa"/>
            <w:vAlign w:val="bottom"/>
            <w:tcBorders>
              <w:left w:val="single" w:sz="8" w:color="auto"/>
            </w:tcBorders>
          </w:tcPr>
          <w:p>
            <w:pPr>
              <w:spacing w:after="0"/>
              <w:rPr>
                <w:sz w:val="10"/>
                <w:szCs w:val="10"/>
                <w:color w:val="auto"/>
              </w:rPr>
            </w:pPr>
          </w:p>
        </w:tc>
        <w:tc>
          <w:tcPr>
            <w:tcW w:w="9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1860" w:type="dxa"/>
            <w:vAlign w:val="bottom"/>
            <w:tcBorders>
              <w:left w:val="single" w:sz="8" w:color="auto"/>
            </w:tcBorders>
          </w:tcPr>
          <w:p>
            <w:pPr>
              <w:spacing w:after="0"/>
              <w:rPr>
                <w:sz w:val="24"/>
                <w:szCs w:val="24"/>
                <w:color w:val="auto"/>
              </w:rPr>
            </w:pPr>
          </w:p>
        </w:tc>
        <w:tc>
          <w:tcPr>
            <w:tcW w:w="9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ACU3B3 blocks AbO mediated intracellular calcium influx in vitro.</w:t>
            </w:r>
          </w:p>
        </w:tc>
        <w:tc>
          <w:tcPr>
            <w:tcW w:w="0" w:type="dxa"/>
            <w:vAlign w:val="bottom"/>
          </w:tcPr>
          <w:p>
            <w:pPr>
              <w:spacing w:after="0"/>
              <w:rPr>
                <w:sz w:val="1"/>
                <w:szCs w:val="1"/>
                <w:color w:val="auto"/>
              </w:rPr>
            </w:pPr>
          </w:p>
        </w:tc>
      </w:tr>
      <w:tr>
        <w:trPr>
          <w:trHeight w:val="54"/>
        </w:trPr>
        <w:tc>
          <w:tcPr>
            <w:tcW w:w="1860" w:type="dxa"/>
            <w:vAlign w:val="bottom"/>
            <w:tcBorders>
              <w:left w:val="single" w:sz="8" w:color="auto"/>
              <w:bottom w:val="single" w:sz="8" w:color="auto"/>
            </w:tcBorders>
          </w:tcPr>
          <w:p>
            <w:pPr>
              <w:spacing w:after="0"/>
              <w:rPr>
                <w:sz w:val="4"/>
                <w:szCs w:val="4"/>
                <w:color w:val="auto"/>
              </w:rPr>
            </w:pPr>
          </w:p>
        </w:tc>
        <w:tc>
          <w:tcPr>
            <w:tcW w:w="9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86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8"/>
              </w:rPr>
              <w:t>In vivo pharmacology</w:t>
            </w:r>
          </w:p>
        </w:tc>
        <w:tc>
          <w:tcPr>
            <w:tcW w:w="9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   ACU193 crosses the blood-brain barrier and demonstrates dose-dependent target engagement in the brain following</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tcBorders>
          </w:tcPr>
          <w:p>
            <w:pPr>
              <w:spacing w:after="0"/>
              <w:rPr>
                <w:sz w:val="20"/>
                <w:szCs w:val="20"/>
                <w:color w:val="auto"/>
              </w:rPr>
            </w:pPr>
          </w:p>
        </w:tc>
        <w:tc>
          <w:tcPr>
            <w:tcW w:w="91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peripheral administration of antibody.</w:t>
            </w:r>
          </w:p>
        </w:tc>
        <w:tc>
          <w:tcPr>
            <w:tcW w:w="0" w:type="dxa"/>
            <w:vAlign w:val="bottom"/>
          </w:tcPr>
          <w:p>
            <w:pPr>
              <w:spacing w:after="0"/>
              <w:rPr>
                <w:sz w:val="1"/>
                <w:szCs w:val="1"/>
                <w:color w:val="auto"/>
              </w:rPr>
            </w:pPr>
          </w:p>
        </w:tc>
      </w:tr>
      <w:tr>
        <w:trPr>
          <w:trHeight w:val="323"/>
        </w:trPr>
        <w:tc>
          <w:tcPr>
            <w:tcW w:w="1860" w:type="dxa"/>
            <w:vAlign w:val="bottom"/>
            <w:tcBorders>
              <w:left w:val="single" w:sz="8" w:color="auto"/>
            </w:tcBorders>
          </w:tcPr>
          <w:p>
            <w:pPr>
              <w:spacing w:after="0"/>
              <w:rPr>
                <w:sz w:val="24"/>
                <w:szCs w:val="24"/>
                <w:color w:val="auto"/>
              </w:rPr>
            </w:pPr>
          </w:p>
        </w:tc>
        <w:tc>
          <w:tcPr>
            <w:tcW w:w="9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   Blinded studies in transgenic mouse models for AD over a broad range of ages show that treatment with ACU3B3</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tcBorders>
          </w:tcPr>
          <w:p>
            <w:pPr>
              <w:spacing w:after="0"/>
              <w:rPr>
                <w:sz w:val="20"/>
                <w:szCs w:val="20"/>
                <w:color w:val="auto"/>
              </w:rPr>
            </w:pPr>
          </w:p>
        </w:tc>
        <w:tc>
          <w:tcPr>
            <w:tcW w:w="91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reduces multiple behavioral deficits.</w:t>
            </w:r>
          </w:p>
        </w:tc>
        <w:tc>
          <w:tcPr>
            <w:tcW w:w="0" w:type="dxa"/>
            <w:vAlign w:val="bottom"/>
          </w:tcPr>
          <w:p>
            <w:pPr>
              <w:spacing w:after="0"/>
              <w:rPr>
                <w:sz w:val="1"/>
                <w:szCs w:val="1"/>
                <w:color w:val="auto"/>
              </w:rPr>
            </w:pPr>
          </w:p>
        </w:tc>
      </w:tr>
      <w:tr>
        <w:trPr>
          <w:trHeight w:val="323"/>
        </w:trPr>
        <w:tc>
          <w:tcPr>
            <w:tcW w:w="1860" w:type="dxa"/>
            <w:vAlign w:val="bottom"/>
            <w:tcBorders>
              <w:left w:val="single" w:sz="8" w:color="auto"/>
            </w:tcBorders>
          </w:tcPr>
          <w:p>
            <w:pPr>
              <w:spacing w:after="0"/>
              <w:rPr>
                <w:sz w:val="24"/>
                <w:szCs w:val="24"/>
                <w:color w:val="auto"/>
              </w:rPr>
            </w:pPr>
          </w:p>
        </w:tc>
        <w:tc>
          <w:tcPr>
            <w:tcW w:w="91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9"/>
              </w:rPr>
              <w:t>•   QPS study of nine- to ten-month-old transgenic mice treated weekly with 20 mg/kg ACU3B3 for four weeks</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tcBorders>
          </w:tcPr>
          <w:p>
            <w:pPr>
              <w:spacing w:after="0"/>
              <w:rPr>
                <w:sz w:val="20"/>
                <w:szCs w:val="20"/>
                <w:color w:val="auto"/>
              </w:rPr>
            </w:pPr>
          </w:p>
        </w:tc>
        <w:tc>
          <w:tcPr>
            <w:tcW w:w="918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demonstrated significant behavioral improvements during water maze learning test.</w:t>
            </w:r>
          </w:p>
        </w:tc>
        <w:tc>
          <w:tcPr>
            <w:tcW w:w="0" w:type="dxa"/>
            <w:vAlign w:val="bottom"/>
          </w:tcPr>
          <w:p>
            <w:pPr>
              <w:spacing w:after="0"/>
              <w:rPr>
                <w:sz w:val="1"/>
                <w:szCs w:val="1"/>
                <w:color w:val="auto"/>
              </w:rPr>
            </w:pPr>
          </w:p>
        </w:tc>
      </w:tr>
      <w:tr>
        <w:trPr>
          <w:trHeight w:val="323"/>
        </w:trPr>
        <w:tc>
          <w:tcPr>
            <w:tcW w:w="1860" w:type="dxa"/>
            <w:vAlign w:val="bottom"/>
            <w:tcBorders>
              <w:left w:val="single" w:sz="8" w:color="auto"/>
            </w:tcBorders>
          </w:tcPr>
          <w:p>
            <w:pPr>
              <w:spacing w:after="0"/>
              <w:rPr>
                <w:sz w:val="24"/>
                <w:szCs w:val="24"/>
                <w:color w:val="auto"/>
              </w:rPr>
            </w:pPr>
          </w:p>
        </w:tc>
        <w:tc>
          <w:tcPr>
            <w:tcW w:w="91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9"/>
              </w:rPr>
              <w:t>•   Stanford University study of five- to seven-month-old transgenic mice treated weekly with 20 and 30 mg/kg</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918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ACU3B3 showed significant improvements during open field and Y-maze tests after four to five weeks of</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tcBorders>
          </w:tcPr>
          <w:p>
            <w:pPr>
              <w:spacing w:after="0"/>
              <w:rPr>
                <w:sz w:val="20"/>
                <w:szCs w:val="20"/>
                <w:color w:val="auto"/>
              </w:rPr>
            </w:pPr>
          </w:p>
        </w:tc>
        <w:tc>
          <w:tcPr>
            <w:tcW w:w="918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treatment.</w:t>
            </w:r>
          </w:p>
        </w:tc>
        <w:tc>
          <w:tcPr>
            <w:tcW w:w="0" w:type="dxa"/>
            <w:vAlign w:val="bottom"/>
          </w:tcPr>
          <w:p>
            <w:pPr>
              <w:spacing w:after="0"/>
              <w:rPr>
                <w:sz w:val="1"/>
                <w:szCs w:val="1"/>
                <w:color w:val="auto"/>
              </w:rPr>
            </w:pPr>
          </w:p>
        </w:tc>
      </w:tr>
      <w:tr>
        <w:trPr>
          <w:trHeight w:val="323"/>
        </w:trPr>
        <w:tc>
          <w:tcPr>
            <w:tcW w:w="1860" w:type="dxa"/>
            <w:vAlign w:val="bottom"/>
            <w:tcBorders>
              <w:left w:val="single" w:sz="8" w:color="auto"/>
            </w:tcBorders>
          </w:tcPr>
          <w:p>
            <w:pPr>
              <w:spacing w:after="0"/>
              <w:rPr>
                <w:sz w:val="24"/>
                <w:szCs w:val="24"/>
                <w:color w:val="auto"/>
              </w:rPr>
            </w:pPr>
          </w:p>
        </w:tc>
        <w:tc>
          <w:tcPr>
            <w:tcW w:w="91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   Gladstone Institute studies of younger three- to five-month-old transgenic mice with sub-chronic weekly</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tcBorders>
          </w:tcPr>
          <w:p>
            <w:pPr>
              <w:spacing w:after="0"/>
              <w:rPr>
                <w:sz w:val="18"/>
                <w:szCs w:val="18"/>
                <w:color w:val="auto"/>
              </w:rPr>
            </w:pPr>
          </w:p>
        </w:tc>
        <w:tc>
          <w:tcPr>
            <w:tcW w:w="918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administration of ACU3B3 demonstrated significant behavioral improvements to hyperactivity, emotional</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tcBorders>
          </w:tcPr>
          <w:p>
            <w:pPr>
              <w:spacing w:after="0"/>
              <w:rPr>
                <w:sz w:val="20"/>
                <w:szCs w:val="20"/>
                <w:color w:val="auto"/>
              </w:rPr>
            </w:pPr>
          </w:p>
        </w:tc>
        <w:tc>
          <w:tcPr>
            <w:tcW w:w="918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response alterations and procedural learning deficits.</w:t>
            </w:r>
          </w:p>
        </w:tc>
        <w:tc>
          <w:tcPr>
            <w:tcW w:w="0" w:type="dxa"/>
            <w:vAlign w:val="bottom"/>
          </w:tcPr>
          <w:p>
            <w:pPr>
              <w:spacing w:after="0"/>
              <w:rPr>
                <w:sz w:val="1"/>
                <w:szCs w:val="1"/>
                <w:color w:val="auto"/>
              </w:rPr>
            </w:pPr>
          </w:p>
        </w:tc>
      </w:tr>
      <w:tr>
        <w:trPr>
          <w:trHeight w:val="54"/>
        </w:trPr>
        <w:tc>
          <w:tcPr>
            <w:tcW w:w="1860" w:type="dxa"/>
            <w:vAlign w:val="bottom"/>
            <w:tcBorders>
              <w:left w:val="single" w:sz="8" w:color="auto"/>
              <w:bottom w:val="single" w:sz="8" w:color="auto"/>
            </w:tcBorders>
          </w:tcPr>
          <w:p>
            <w:pPr>
              <w:spacing w:after="0"/>
              <w:rPr>
                <w:sz w:val="4"/>
                <w:szCs w:val="4"/>
                <w:color w:val="auto"/>
              </w:rPr>
            </w:pPr>
          </w:p>
        </w:tc>
        <w:tc>
          <w:tcPr>
            <w:tcW w:w="9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86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Safety</w:t>
            </w:r>
          </w:p>
        </w:tc>
        <w:tc>
          <w:tcPr>
            <w:tcW w:w="9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   GLP studies via IV route established no observed adverse effect level, or NOAEL, of 300 mg/kg/dose in a 14-week</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tcBorders>
          </w:tcPr>
          <w:p>
            <w:pPr>
              <w:spacing w:after="0"/>
              <w:rPr>
                <w:sz w:val="20"/>
                <w:szCs w:val="20"/>
                <w:color w:val="auto"/>
              </w:rPr>
            </w:pPr>
          </w:p>
        </w:tc>
        <w:tc>
          <w:tcPr>
            <w:tcW w:w="91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cynomolgus monkey study and 250 mg/kg/dose in a 28-day rat study.</w:t>
            </w:r>
          </w:p>
        </w:tc>
        <w:tc>
          <w:tcPr>
            <w:tcW w:w="0" w:type="dxa"/>
            <w:vAlign w:val="bottom"/>
          </w:tcPr>
          <w:p>
            <w:pPr>
              <w:spacing w:after="0"/>
              <w:rPr>
                <w:sz w:val="1"/>
                <w:szCs w:val="1"/>
                <w:color w:val="auto"/>
              </w:rPr>
            </w:pPr>
          </w:p>
        </w:tc>
      </w:tr>
      <w:tr>
        <w:trPr>
          <w:trHeight w:val="338"/>
        </w:trPr>
        <w:tc>
          <w:tcPr>
            <w:tcW w:w="1860" w:type="dxa"/>
            <w:vAlign w:val="bottom"/>
            <w:tcBorders>
              <w:left w:val="single" w:sz="8" w:color="auto"/>
            </w:tcBorders>
          </w:tcPr>
          <w:p>
            <w:pPr>
              <w:spacing w:after="0"/>
              <w:rPr>
                <w:sz w:val="24"/>
                <w:szCs w:val="24"/>
                <w:color w:val="auto"/>
              </w:rPr>
            </w:pPr>
          </w:p>
        </w:tc>
        <w:tc>
          <w:tcPr>
            <w:tcW w:w="9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Studies in transgenic mice indicated low potential for cerebral microhemorrhage.</w:t>
            </w:r>
          </w:p>
        </w:tc>
        <w:tc>
          <w:tcPr>
            <w:tcW w:w="0" w:type="dxa"/>
            <w:vAlign w:val="bottom"/>
          </w:tcPr>
          <w:p>
            <w:pPr>
              <w:spacing w:after="0"/>
              <w:rPr>
                <w:sz w:val="1"/>
                <w:szCs w:val="1"/>
                <w:color w:val="auto"/>
              </w:rPr>
            </w:pPr>
          </w:p>
        </w:tc>
      </w:tr>
      <w:tr>
        <w:trPr>
          <w:trHeight w:val="54"/>
        </w:trPr>
        <w:tc>
          <w:tcPr>
            <w:tcW w:w="1860" w:type="dxa"/>
            <w:vAlign w:val="bottom"/>
            <w:tcBorders>
              <w:left w:val="single" w:sz="8" w:color="auto"/>
              <w:bottom w:val="single" w:sz="8" w:color="auto"/>
            </w:tcBorders>
          </w:tcPr>
          <w:p>
            <w:pPr>
              <w:spacing w:after="0"/>
              <w:rPr>
                <w:sz w:val="4"/>
                <w:szCs w:val="4"/>
                <w:color w:val="auto"/>
              </w:rPr>
            </w:pPr>
          </w:p>
        </w:tc>
        <w:tc>
          <w:tcPr>
            <w:tcW w:w="9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Selectivity for A</w:t>
      </w:r>
      <w:r>
        <w:rPr>
          <w:rFonts w:ascii="Arial" w:cs="Arial" w:eastAsia="Arial" w:hAnsi="Arial"/>
          <w:sz w:val="18"/>
          <w:szCs w:val="18"/>
          <w:color w:val="auto"/>
        </w:rPr>
        <w:t>b</w:t>
      </w:r>
      <w:r>
        <w:rPr>
          <w:rFonts w:ascii="Arial" w:cs="Arial" w:eastAsia="Arial" w:hAnsi="Arial"/>
          <w:sz w:val="18"/>
          <w:szCs w:val="18"/>
          <w:b w:val="1"/>
          <w:bCs w:val="1"/>
          <w:color w:val="auto"/>
        </w:rPr>
        <w:t>Os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In order to understand ACU193 selectivity for AbOs, we performed biochemical assays and immunohistochemistry experiments.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Selectivity for A</w:t>
      </w:r>
      <w:r>
        <w:rPr>
          <w:rFonts w:ascii="Arial" w:cs="Arial" w:eastAsia="Arial" w:hAnsi="Arial"/>
          <w:sz w:val="18"/>
          <w:szCs w:val="18"/>
          <w:color w:val="auto"/>
        </w:rPr>
        <w:t>b</w:t>
      </w:r>
      <w:r>
        <w:rPr>
          <w:rFonts w:ascii="Arial" w:cs="Arial" w:eastAsia="Arial" w:hAnsi="Arial"/>
          <w:sz w:val="18"/>
          <w:szCs w:val="18"/>
          <w:b w:val="1"/>
          <w:bCs w:val="1"/>
          <w:i w:val="1"/>
          <w:iCs w:val="1"/>
          <w:color w:val="auto"/>
        </w:rPr>
        <w:t>Os versus A</w:t>
      </w:r>
      <w:r>
        <w:rPr>
          <w:rFonts w:ascii="Arial" w:cs="Arial" w:eastAsia="Arial" w:hAnsi="Arial"/>
          <w:sz w:val="18"/>
          <w:szCs w:val="18"/>
          <w:color w:val="auto"/>
        </w:rPr>
        <w:t>b</w:t>
      </w:r>
      <w:r>
        <w:rPr>
          <w:rFonts w:ascii="Arial" w:cs="Arial" w:eastAsia="Arial" w:hAnsi="Arial"/>
          <w:sz w:val="18"/>
          <w:szCs w:val="18"/>
          <w:b w:val="1"/>
          <w:bCs w:val="1"/>
          <w:i w:val="1"/>
          <w:iCs w:val="1"/>
          <w:color w:val="auto"/>
        </w:rPr>
        <w:t xml:space="preserve"> monomers</w:t>
      </w:r>
    </w:p>
    <w:p>
      <w:pPr>
        <w:spacing w:after="0" w:line="225"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We demonstrated that ACU193 shows significant preferential selectivity for AbOs compared to Ab monomers. In a competition ELISA assay, ACU193’s binding to AbOs was 556-fold greater than binding to Ab</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monomers. Figure 3A shows comparative syn-AbO versus Ab monomer affinity data for ACU193, and illustrates the high selectivity of ACU193 for AbOs. Further evidence of ACU193 selectivity for syn-AbOs was obtained using a very high concentration of monomeric Ab, 5 µm, which did not decrease binding to syn-AbOs (Figure 3B). We believe ACU193’s selectivity for AbOs in the presence of abundant Ab monomers is representative of the in vivo levels of these Ab species in AD patients. Thus, ACU193 does not experience “target distraction” from non-toxic Ab monomers in an environment simulating brain interstitial fluid.</w:t>
      </w:r>
    </w:p>
    <w:p>
      <w:pPr>
        <w:spacing w:after="0" w:line="184"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Figure 3: [A] Competitive ELISA for ACU193 binding to syn-A</w:t>
      </w:r>
      <w:r>
        <w:rPr>
          <w:rFonts w:ascii="Arial" w:cs="Arial" w:eastAsia="Arial" w:hAnsi="Arial"/>
          <w:sz w:val="18"/>
          <w:szCs w:val="18"/>
          <w:color w:val="auto"/>
        </w:rPr>
        <w:t>b</w:t>
      </w:r>
      <w:r>
        <w:rPr>
          <w:rFonts w:ascii="Arial" w:cs="Arial" w:eastAsia="Arial" w:hAnsi="Arial"/>
          <w:sz w:val="18"/>
          <w:szCs w:val="18"/>
          <w:b w:val="1"/>
          <w:bCs w:val="1"/>
          <w:color w:val="auto"/>
        </w:rPr>
        <w:t>O or monomeric A</w:t>
      </w:r>
      <w:r>
        <w:rPr>
          <w:rFonts w:ascii="Arial" w:cs="Arial" w:eastAsia="Arial" w:hAnsi="Arial"/>
          <w:sz w:val="18"/>
          <w:szCs w:val="18"/>
          <w:color w:val="auto"/>
        </w:rPr>
        <w:t>b</w:t>
      </w:r>
      <w:r>
        <w:rPr>
          <w:rFonts w:ascii="Arial" w:cs="Arial" w:eastAsia="Arial" w:hAnsi="Arial"/>
          <w:sz w:val="15"/>
          <w:szCs w:val="15"/>
          <w:b w:val="1"/>
          <w:bCs w:val="1"/>
          <w:color w:val="auto"/>
        </w:rPr>
        <w:t>40</w:t>
      </w:r>
      <w:r>
        <w:rPr>
          <w:rFonts w:ascii="Arial" w:cs="Arial" w:eastAsia="Arial" w:hAnsi="Arial"/>
          <w:sz w:val="18"/>
          <w:szCs w:val="18"/>
          <w:b w:val="1"/>
          <w:bCs w:val="1"/>
          <w:color w:val="auto"/>
        </w:rPr>
        <w:t xml:space="preserve"> [B] 5µM monomeric A</w:t>
      </w:r>
      <w:r>
        <w:rPr>
          <w:rFonts w:ascii="Arial" w:cs="Arial" w:eastAsia="Arial" w:hAnsi="Arial"/>
          <w:sz w:val="18"/>
          <w:szCs w:val="18"/>
          <w:color w:val="auto"/>
        </w:rPr>
        <w:t>b</w:t>
      </w:r>
      <w:r>
        <w:rPr>
          <w:rFonts w:ascii="Arial" w:cs="Arial" w:eastAsia="Arial" w:hAnsi="Arial"/>
          <w:sz w:val="18"/>
          <w:szCs w:val="18"/>
          <w:b w:val="1"/>
          <w:bCs w:val="1"/>
          <w:color w:val="auto"/>
        </w:rPr>
        <w:t xml:space="preserve"> did not substantially change binding to syn-A</w:t>
      </w:r>
      <w:r>
        <w:rPr>
          <w:rFonts w:ascii="Arial" w:cs="Arial" w:eastAsia="Arial" w:hAnsi="Arial"/>
          <w:sz w:val="18"/>
          <w:szCs w:val="18"/>
          <w:color w:val="auto"/>
        </w:rPr>
        <w:t>b</w:t>
      </w:r>
      <w:r>
        <w:rPr>
          <w:rFonts w:ascii="Arial" w:cs="Arial" w:eastAsia="Arial" w:hAnsi="Arial"/>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2505710</wp:posOffset>
            </wp:positionV>
            <wp:extent cx="3429000" cy="23571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0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results support the conclusion that selectivity of ACU193 for AbOs is maintained in a biochemical environment simulating the brain.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Selectivity for A</w:t>
      </w:r>
      <w:r>
        <w:rPr>
          <w:rFonts w:ascii="Arial" w:cs="Arial" w:eastAsia="Arial" w:hAnsi="Arial"/>
          <w:sz w:val="18"/>
          <w:szCs w:val="18"/>
          <w:color w:val="auto"/>
        </w:rPr>
        <w:t>b</w:t>
      </w:r>
      <w:r>
        <w:rPr>
          <w:rFonts w:ascii="Arial" w:cs="Arial" w:eastAsia="Arial" w:hAnsi="Arial"/>
          <w:sz w:val="18"/>
          <w:szCs w:val="18"/>
          <w:b w:val="1"/>
          <w:bCs w:val="1"/>
          <w:i w:val="1"/>
          <w:iCs w:val="1"/>
          <w:color w:val="auto"/>
        </w:rPr>
        <w:t>Os versus amyloid plaques</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We have shown in our nonclinical data that ACU193 binds AbOs from AD patients with limited or no binding to amyloid plaques. In Figure 4 below, thioflavin S-positive b-amyloid plaques are shown in green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fluorescence while ACU193 binding is shown in red fluorescence. ACU193 binds significantly in regions that are thioflavin-S-negative, i.e., without amyloid plaques (Figure 4, Panels B and E), but only infrequently and minimally binds to thioflavin-S-positive fibrillar Ab structures (Figure 4, Panel D); close examination shows possible co-localization of ACU193 with thioflavin-S-positive Ab deposits in their periphery (Figure 4, Panel F). We believe the most likely explanation of ACU193 infrequent binding near the periphery of some amyloid plaques is due to binding to AbOs that surround the periphery of amyloid plaques. Taken together, these results are consistent with the concept that ACU193 binds endogenous AbOs, does not block binding by thioflavin-S, and, importantly, preferentially binds AbOs versus fibrillar Ab.</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4: ACU193 binding to A</w:t>
      </w:r>
      <w:r>
        <w:rPr>
          <w:rFonts w:ascii="Arial" w:cs="Arial" w:eastAsia="Arial" w:hAnsi="Arial"/>
          <w:sz w:val="18"/>
          <w:szCs w:val="18"/>
          <w:color w:val="auto"/>
        </w:rPr>
        <w:t>b</w:t>
      </w:r>
      <w:r>
        <w:rPr>
          <w:rFonts w:ascii="Arial" w:cs="Arial" w:eastAsia="Arial" w:hAnsi="Arial"/>
          <w:sz w:val="18"/>
          <w:szCs w:val="18"/>
          <w:b w:val="1"/>
          <w:bCs w:val="1"/>
          <w:color w:val="auto"/>
        </w:rPr>
        <w:t>Os versus amyloid plaques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5194935" cy="26320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94935" cy="263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right="20"/>
        <w:spacing w:after="0" w:line="293" w:lineRule="auto"/>
        <w:rPr>
          <w:sz w:val="20"/>
          <w:szCs w:val="20"/>
          <w:color w:val="auto"/>
        </w:rPr>
      </w:pPr>
      <w:r>
        <w:rPr>
          <w:rFonts w:ascii="Arial" w:cs="Arial" w:eastAsia="Arial" w:hAnsi="Arial"/>
          <w:sz w:val="15"/>
          <w:szCs w:val="15"/>
          <w:color w:val="auto"/>
        </w:rPr>
        <w:t>The upper left portion of the immunohistochemistry figure shows that in areas with no amyloid plaque binding (no green fluorescence staining, A) there is substantial binding by ACU193 (red fluorescence staining, B) that is not related to amyloid plaque. The merge of these panels (Panel E) shows ACU193 binding with no amyloid plaque present. On the upper right portion of the Figure, the area that is positive for amyloid plaque (green fluorescence staining, C) shows minimal ACU193 binding (red fluorescence staining, D). The merge of these panels (F) shows the minimal binding of ACU193 (red fluorescence staining) on the periphery of the amyloid plaque (green fluorescence staining), most likely related to AbO binding in the halo of the amyloid plaque.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5: AD stages based on AD neuropathic change, or ADNC, scoring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5323205" cy="16033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2320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right="220"/>
        <w:spacing w:after="0" w:line="293" w:lineRule="auto"/>
        <w:rPr>
          <w:sz w:val="20"/>
          <w:szCs w:val="20"/>
          <w:color w:val="auto"/>
        </w:rPr>
      </w:pPr>
      <w:r>
        <w:rPr>
          <w:rFonts w:ascii="Arial" w:cs="Arial" w:eastAsia="Arial" w:hAnsi="Arial"/>
          <w:sz w:val="16"/>
          <w:szCs w:val="16"/>
          <w:color w:val="auto"/>
        </w:rPr>
        <w:t>ADNC scoring is a combination of amyloid plaque levels, neuritic plaque levels, and neurogibrillary tangle pathology, or NFT, levels (Braak stage). In human tissue samples, ACU193 shows a disease state-relevant signal based on immunohistochemistry</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0"/>
          </w:cols>
          <w:pgMar w:left="320" w:top="459" w:right="5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shown on the left from aged controls, intermediate AD pathology, and advanced AD pathology. On the far-right panel, ACU193 detects AbOs in soluble hippocampal extracts from an autosomal dominant AD patient, but not from a cognitively normal patient.</w:t>
      </w:r>
    </w:p>
    <w:p>
      <w:pPr>
        <w:spacing w:after="0" w:line="167"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Furthermore, we have demonstrated that ACU193 does not bind to amyloid plaque surrounding blood vessels (cerebral amyloid angiopathy). In a study of transgenic mice, we did not observe binding to vascular amyloid, in contrast to hu3D6 (bapineuzumab), which displayed significant binding at all dose levels.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6: ACU193 versus hu3D6 binding to vascular amyloids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5692140" cy="20916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9214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right="240"/>
        <w:spacing w:after="0" w:line="278" w:lineRule="auto"/>
        <w:rPr>
          <w:sz w:val="20"/>
          <w:szCs w:val="20"/>
          <w:color w:val="auto"/>
        </w:rPr>
      </w:pPr>
      <w:r>
        <w:rPr>
          <w:rFonts w:ascii="Arial" w:cs="Arial" w:eastAsia="Arial" w:hAnsi="Arial"/>
          <w:sz w:val="16"/>
          <w:szCs w:val="16"/>
          <w:color w:val="auto"/>
        </w:rPr>
        <w:t>ACU193 (A and C) shows no binding to the vascular amyloid that is visible in the vessels stained by thioflavin-S (green fluorescence, B and D) in the brain 24 hours following IV dosing of 10 or 50 mg/kg in seven- to eight-month-old Tg2576 mice. In contrast, hu3D6 (bapineuzumab) binds vascular amyloid (E) at all dose levels assessed.</w:t>
      </w:r>
    </w:p>
    <w:p>
      <w:pPr>
        <w:spacing w:after="0" w:line="18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data above related to vascular plaque binding support our belief that ACU193 is unlikely to have an ARIA liability. Given that the amyloid plaque-binding properties of multiple antibodies have been associated with ARIA (e.g., aducanumab, BAN2401, gantenerumab, and donanemab), we believe that ACU193’s negligible binding of amyloid plaques, including amyloid plaques associated with cerebral amyloid angiopathy, provides evidence that ARIA is unlikely to be associated with this antibody.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Binding to a broad spectrum of molecular weight A</w:t>
      </w:r>
      <w:r>
        <w:rPr>
          <w:rFonts w:ascii="Arial" w:cs="Arial" w:eastAsia="Arial" w:hAnsi="Arial"/>
          <w:sz w:val="18"/>
          <w:szCs w:val="18"/>
          <w:color w:val="auto"/>
        </w:rPr>
        <w:t>b</w:t>
      </w:r>
      <w:r>
        <w:rPr>
          <w:rFonts w:ascii="Arial" w:cs="Arial" w:eastAsia="Arial" w:hAnsi="Arial"/>
          <w:sz w:val="18"/>
          <w:szCs w:val="18"/>
          <w:b w:val="1"/>
          <w:bCs w:val="1"/>
          <w:i w:val="1"/>
          <w:iCs w:val="1"/>
          <w:color w:val="auto"/>
        </w:rPr>
        <w:t>Os</w:t>
      </w:r>
    </w:p>
    <w:p>
      <w:pPr>
        <w:spacing w:after="0" w:line="225" w:lineRule="exact"/>
        <w:rPr>
          <w:sz w:val="20"/>
          <w:szCs w:val="20"/>
          <w:color w:val="auto"/>
        </w:rPr>
      </w:pPr>
    </w:p>
    <w:p>
      <w:pPr>
        <w:ind w:left="120" w:right="240" w:firstLine="881"/>
        <w:spacing w:after="0" w:line="275" w:lineRule="auto"/>
        <w:rPr>
          <w:sz w:val="20"/>
          <w:szCs w:val="20"/>
          <w:color w:val="auto"/>
        </w:rPr>
      </w:pPr>
      <w:r>
        <w:rPr>
          <w:rFonts w:ascii="Arial" w:cs="Arial" w:eastAsia="Arial" w:hAnsi="Arial"/>
          <w:sz w:val="17"/>
          <w:szCs w:val="17"/>
          <w:color w:val="auto"/>
        </w:rPr>
        <w:t>In addition, we demonstrated that ACU193 binds a broad spectrum of AbOs across various molecular weights. In another series of experiments, syn-AbOs were fractionated by size exclusion chromatography and characterized by ELISA using ACU193, hu3D6 (bapineuzumab) or hu266 (solanezumab) as the capture antibody and biotinylated anti-human Ab antibody 82E1 for detection. These data show ACU193 binds mid to higher molecular weight AbOs, with preferential binding to mid-molecular weight oligomers compared to hu266. This range of molecular weights is very similar to the range of molecular weights of oligomers thought to be most toxic.</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60"/>
          </w:cols>
          <w:pgMar w:left="320" w:top="459" w:right="5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7. Binding of humanized antibodies to size exclusion chromatography fractions of synthetic A</w:t>
      </w:r>
      <w:r>
        <w:rPr>
          <w:rFonts w:ascii="Arial" w:cs="Arial" w:eastAsia="Arial" w:hAnsi="Arial"/>
          <w:sz w:val="18"/>
          <w:szCs w:val="18"/>
          <w:color w:val="auto"/>
        </w:rPr>
        <w:t>b</w:t>
      </w:r>
      <w:r>
        <w:rPr>
          <w:rFonts w:ascii="Arial" w:cs="Arial" w:eastAsia="Arial" w:hAnsi="Arial"/>
          <w:sz w:val="18"/>
          <w:szCs w:val="18"/>
          <w:b w:val="1"/>
          <w:bCs w:val="1"/>
          <w:color w:val="auto"/>
        </w:rPr>
        <w:t xml:space="preserve"> species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5871845" cy="27006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71845"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120"/>
        <w:spacing w:after="0" w:line="369" w:lineRule="auto"/>
        <w:rPr>
          <w:sz w:val="20"/>
          <w:szCs w:val="20"/>
          <w:color w:val="auto"/>
        </w:rPr>
      </w:pPr>
      <w:r>
        <w:rPr>
          <w:rFonts w:ascii="Arial" w:cs="Arial" w:eastAsia="Arial" w:hAnsi="Arial"/>
          <w:sz w:val="14"/>
          <w:szCs w:val="14"/>
          <w:color w:val="auto"/>
        </w:rPr>
        <w:t>Size exclusion chromatography fractionation of syn-AbO prep with sandwich ELISA detection. hu3D6 is also known as bapineuzumab; hu266 is also known as solanezumab. These data demonstrate the specificity of ACU193 for oligomers versus monomers, and also demonstrate a range of oligomers that are bound by ACU193.</w:t>
      </w:r>
    </w:p>
    <w:p>
      <w:pPr>
        <w:spacing w:after="0" w:line="121"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Collectively the data show that ACU193 binds AbOs with 556-fold selectivity versus Ab monomers and demonstrates limited to no binding to amyloid plaques, but does bind to a broad range of synthetic and endogenous low, mid, and higher molecular weight AbOs. Based on these and other data, we believe that ACU193 can target therapeutically relevant AbOs in the brain of early AD patients.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Protection from A</w:t>
      </w:r>
      <w:r>
        <w:rPr>
          <w:rFonts w:ascii="Arial" w:cs="Arial" w:eastAsia="Arial" w:hAnsi="Arial"/>
          <w:sz w:val="18"/>
          <w:szCs w:val="18"/>
          <w:color w:val="auto"/>
        </w:rPr>
        <w:t>b</w:t>
      </w:r>
      <w:r>
        <w:rPr>
          <w:rFonts w:ascii="Arial" w:cs="Arial" w:eastAsia="Arial" w:hAnsi="Arial"/>
          <w:sz w:val="18"/>
          <w:szCs w:val="18"/>
          <w:b w:val="1"/>
          <w:bCs w:val="1"/>
          <w:color w:val="auto"/>
        </w:rPr>
        <w:t>O-induced synaptic toxicity</w:t>
      </w:r>
    </w:p>
    <w:p>
      <w:pPr>
        <w:spacing w:after="0" w:line="229"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In order to understand ACU193’s ability to either neutralize or limit AbO-induced physiological changes, we performed ex vivo studies using brain slices or cell cultures.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Prevention of A</w:t>
      </w:r>
      <w:r>
        <w:rPr>
          <w:rFonts w:ascii="Arial" w:cs="Arial" w:eastAsia="Arial" w:hAnsi="Arial"/>
          <w:sz w:val="18"/>
          <w:szCs w:val="18"/>
          <w:color w:val="auto"/>
        </w:rPr>
        <w:t>b</w:t>
      </w:r>
      <w:r>
        <w:rPr>
          <w:rFonts w:ascii="Arial" w:cs="Arial" w:eastAsia="Arial" w:hAnsi="Arial"/>
          <w:sz w:val="18"/>
          <w:szCs w:val="18"/>
          <w:b w:val="1"/>
          <w:bCs w:val="1"/>
          <w:i w:val="1"/>
          <w:iCs w:val="1"/>
          <w:color w:val="auto"/>
        </w:rPr>
        <w:t>O toxic effects on neuronal electrophysiology</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In ex vivo studies using the murine hippocampal slice LTP model, pre-incubation with ACU193 or ACU3B3 has been shown to prevent the LTP deficit caused by AbOs (formed by administration of 50nM Ab</w:t>
      </w:r>
      <w:r>
        <w:rPr>
          <w:rFonts w:ascii="Arial" w:cs="Arial" w:eastAsia="Arial" w:hAnsi="Arial"/>
          <w:sz w:val="15"/>
          <w:szCs w:val="15"/>
          <w:color w:val="auto"/>
        </w:rPr>
        <w:t>1-42</w:t>
      </w:r>
      <w:r>
        <w:rPr>
          <w:rFonts w:ascii="Arial" w:cs="Arial" w:eastAsia="Arial" w:hAnsi="Arial"/>
          <w:sz w:val="18"/>
          <w:szCs w:val="18"/>
          <w:color w:val="auto"/>
        </w:rPr>
        <w:t>). Long term potentiation is an electrophysiological phenomenon demonstrated in neurons that may be associated with memory formation and other important neurological functions. Disruption of LTP has been associated with animal models in a variety of central nervous system disease states.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80"/>
          </w:cols>
          <w:pgMar w:left="32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8. Effects of ACU3B3 and ACU193 on A</w:t>
      </w:r>
      <w:r>
        <w:rPr>
          <w:rFonts w:ascii="Arial" w:cs="Arial" w:eastAsia="Arial" w:hAnsi="Arial"/>
          <w:sz w:val="18"/>
          <w:szCs w:val="18"/>
          <w:color w:val="auto"/>
        </w:rPr>
        <w:t>b</w:t>
      </w:r>
      <w:r>
        <w:rPr>
          <w:rFonts w:ascii="Arial" w:cs="Arial" w:eastAsia="Arial" w:hAnsi="Arial"/>
          <w:sz w:val="18"/>
          <w:szCs w:val="18"/>
          <w:b w:val="1"/>
          <w:bCs w:val="1"/>
          <w:color w:val="auto"/>
        </w:rPr>
        <w:t>O-induced change in LTP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171450</wp:posOffset>
            </wp:positionV>
            <wp:extent cx="3429000" cy="23660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0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that AbOs disrupted normal LTP findings, but that pre-incubation with ACU3B3 prevented that disruption.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Prevention of toxic effects of A</w:t>
      </w:r>
      <w:r>
        <w:rPr>
          <w:rFonts w:ascii="Arial" w:cs="Arial" w:eastAsia="Arial" w:hAnsi="Arial"/>
          <w:sz w:val="18"/>
          <w:szCs w:val="18"/>
          <w:color w:val="auto"/>
        </w:rPr>
        <w:t>b</w:t>
      </w:r>
      <w:r>
        <w:rPr>
          <w:rFonts w:ascii="Arial" w:cs="Arial" w:eastAsia="Arial" w:hAnsi="Arial"/>
          <w:sz w:val="18"/>
          <w:szCs w:val="18"/>
          <w:b w:val="1"/>
          <w:bCs w:val="1"/>
          <w:i w:val="1"/>
          <w:iCs w:val="1"/>
          <w:color w:val="auto"/>
        </w:rPr>
        <w:t>Os on calcium homeostasis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Exposure to ACU3B3 has been shown to prevent calcium overload in cortical neuronal cultures induced by direct application of syn-AbOs (Figure 9). Disruptions in calcium homeostasis that cause cellular dysfunction have been implicated in a number of disease states, including myocardial infarction and stroke. Further, AbOs have been shown to cause disruption of calcium homeostasis, and thus, restoration of intracellular calcium to normal levels could serve as a functional indicator of potential treatment effect in AD. Multiphoton microscopy was used to examine the relationship of syn-AbO and neuronal calcium homeostasis in vitro (Figure 9). Direct application of syn-AbOs elicited calcium elevations in cortical neuronal cultures. Prior exposure to antibodies ACU3B3 and 3D6 prevented this calcium elevation (Figure 9). These results demonstrate that syn-AbOs induce elevated concentrations of intracellular neuronal calcium and that ACU3B3 prevented the syn-AbO-induced calcium overload.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9: Effect of ACU3B3 on calcium homeostasis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171450</wp:posOffset>
            </wp:positionV>
            <wp:extent cx="4200525" cy="17487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0052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60"/>
          </w:cols>
          <w:pgMar w:left="320" w:top="459" w:right="5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20" w:right="40"/>
        <w:spacing w:after="0" w:line="318" w:lineRule="auto"/>
        <w:rPr>
          <w:sz w:val="20"/>
          <w:szCs w:val="20"/>
          <w:color w:val="auto"/>
        </w:rPr>
      </w:pPr>
      <w:r>
        <w:rPr>
          <w:rFonts w:ascii="Arial" w:cs="Arial" w:eastAsia="Arial" w:hAnsi="Arial"/>
          <w:sz w:val="14"/>
          <w:szCs w:val="14"/>
          <w:color w:val="auto"/>
        </w:rPr>
        <w:t>The relationship of syn-AbO and neuronal calcium homeostasis in the presence and absence of ACU3B3 was studied in primary cultures of transgenic APP-PS1 mouse cortical neurons. Multiphoton microscopy was used to obtain images of neuronal cultures at 12–14 days in vitro, or DIV, or 21 DIV. Cortical regions were identified and reimaged before and after topical applications of syn-AbOs to allow comparison of resting calcium within the same neuronal compartments. After baseline calcium was obtained, the cultures were treated with antibody-immunodepleted syn-AbOs (1 mL of 3 nM syn-AbOs with 9 µg of antibody) or syn-AbOs alone for 45 minutes. The cultures were then re-imaged in the same areas in the dish. Taken together, these studies show that ACU3B3 prevents the toxic effect of AbOs on calcium homeostasis.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Vivo Pharmacology</w:t>
      </w:r>
    </w:p>
    <w:p>
      <w:pPr>
        <w:spacing w:after="0" w:line="229"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order to understand the effects of ACU193 in intact animals, we performed behavioral studies in transgenic mice with genetic alterations that overproduce a mutant amyloid precursor protein that forms amyloid plaques. The transgenic mouse models are generally based on autosomal dominant mutations in the APP gene causing rare forms of human AD. Transgenic mouse models using these mutations may not cause the full spectrum of AD pathology, but they do provide relevant animal models for drug development in AD.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 vivo behavioral studies in multiple transgenic mouse models for AD</w:t>
      </w:r>
    </w:p>
    <w:p>
      <w:pPr>
        <w:spacing w:after="0" w:line="225"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The behavioral studies described below, performed at three different laboratories, indicate in vivo central pharmacologic activity of peripherally administered ACU3B3. The behavioral effects seen in these studies indicate that sufficient amounts of ACU3B3 cross the blood-brain barrier to engage the target, resulting in behavioral improvements in these transgenic mice. The Phase 1 clinical trial includes doses in the range used in these nonclinical studies.</w:t>
      </w:r>
    </w:p>
    <w:p>
      <w:pPr>
        <w:spacing w:after="0" w:line="187"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A study conducted at QPS and using nine- to ten-month-old APP/SL transgenic mice treated weekly with 20 mg/kg ACU3B3 for four weeks demonstrated statistically significant behavioral improvements in swim path length and swim speed during the water maze learning test (Figure 10).</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10: Results of ACU3B3 treatment in mice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94615</wp:posOffset>
            </wp:positionV>
            <wp:extent cx="4757420" cy="25031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5742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20" w:right="220"/>
        <w:spacing w:after="0" w:line="293" w:lineRule="auto"/>
        <w:rPr>
          <w:sz w:val="20"/>
          <w:szCs w:val="20"/>
          <w:color w:val="auto"/>
        </w:rPr>
      </w:pPr>
      <w:r>
        <w:rPr>
          <w:rFonts w:ascii="Arial" w:cs="Arial" w:eastAsia="Arial" w:hAnsi="Arial"/>
          <w:sz w:val="16"/>
          <w:szCs w:val="16"/>
          <w:color w:val="auto"/>
        </w:rPr>
        <w:t>ACU3B3 treatment in nine- to ten-month-old APPSL mice (n=10/group) improves performance on the first day of water maze training (A; p=0.057), decreases swim path length (B; p=0.034), and reverses a swim speed abnormality (C; p&lt;0.02).</w:t>
      </w:r>
    </w:p>
    <w:p>
      <w:pPr>
        <w:spacing w:after="0" w:line="167"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In a separate study conducted at Stanford University, the hyperactivity phenotype of five- to seven-month-old Thy1-hAPP/SL transgenic mice in the open field and Y-maze tests was also significantly reduced after four to five weeks of treatment with ACU3B3 (20 and 30 mg/kg, weekly). Prior to dosing, Thy1-hAPP/SL mice showed increased activity in the activity chamber compared to wild-type mice. After treatment with ACU3B3, Thy1-hAPP/SL mice activity fell to a level comparable to wild-type mice, particularly activity in the center of the test arena (Figure 11A). Similar effects of ACU3B3 were found with changes in Y-maze behavior (Figure 11B) and passive avoidance (Figure 11C).</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11: ACU3B3 treatment at 20 mg/kg in five- to seven-month-old Thy1-hAPP/SL mice (n=13-14/group, means + 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5880735" cy="23920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80735"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right="600" w:hanging="4"/>
        <w:spacing w:after="0" w:line="328" w:lineRule="auto"/>
        <w:tabs>
          <w:tab w:leader="none" w:pos="385" w:val="left"/>
        </w:tabs>
        <w:numPr>
          <w:ilvl w:val="0"/>
          <w:numId w:val="80"/>
        </w:numPr>
        <w:rPr>
          <w:rFonts w:ascii="Arial" w:cs="Arial" w:eastAsia="Arial" w:hAnsi="Arial"/>
          <w:sz w:val="15"/>
          <w:szCs w:val="15"/>
          <w:color w:val="auto"/>
        </w:rPr>
      </w:pPr>
      <w:r>
        <w:rPr>
          <w:rFonts w:ascii="Arial" w:cs="Arial" w:eastAsia="Arial" w:hAnsi="Arial"/>
          <w:sz w:val="15"/>
          <w:szCs w:val="15"/>
          <w:color w:val="auto"/>
        </w:rPr>
        <w:t>Open field total distance measurement, APP-Veh vs. APP-3B3, *p=0.029. [B] Y-maze arm entries, APP-Veh vs APP-3B3, *p=0.045; APP-Veh vs WT-Veh, **p=0.007. [C] Passive avoidance latency, APPSL-APP3B3 vs. APPSL-Veh trended for drug effect, but was not statistically significant.</w:t>
      </w:r>
    </w:p>
    <w:p>
      <w:pPr>
        <w:spacing w:after="0" w:line="145"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In separate studies conducted at the Gladstone Institute in young three- to five-month-old hAPP/J20 mice, behavioral abnormalities in these mice were reduced after chronic treatment with ACU3B3. Treatment ameliorated the hyperactivity phenotype, emotional response alterations and procedural learning deficits in this mouse model and hyperactivity in the Y-maze test was reduced dose-dependently (5 &lt; 10 = 20 mg/kg) (Figure 12).</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60"/>
          </w:cols>
          <w:pgMar w:left="320" w:top="459" w:right="5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Figure 12: Open field and water-maze behavior in three- to five-month-old hAPP/J20 mice following repeat weekly IP dosing with ACU3B3 (n=13-14/group)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5940425" cy="2177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4042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Open field activity after four weekly doses. [B], [C] Water-maze behavior following eight weekly doses.</w:t>
      </w:r>
    </w:p>
    <w:p>
      <w:pPr>
        <w:spacing w:after="0" w:line="226" w:lineRule="exact"/>
        <w:rPr>
          <w:sz w:val="20"/>
          <w:szCs w:val="20"/>
          <w:color w:val="auto"/>
        </w:rPr>
      </w:pPr>
    </w:p>
    <w:p>
      <w:pPr>
        <w:ind w:left="120" w:right="360"/>
        <w:spacing w:after="0" w:line="282" w:lineRule="auto"/>
        <w:rPr>
          <w:sz w:val="20"/>
          <w:szCs w:val="20"/>
          <w:color w:val="auto"/>
        </w:rPr>
      </w:pPr>
      <w:r>
        <w:rPr>
          <w:rFonts w:ascii="Arial" w:cs="Arial" w:eastAsia="Arial" w:hAnsi="Arial"/>
          <w:sz w:val="18"/>
          <w:szCs w:val="18"/>
          <w:b w:val="1"/>
          <w:bCs w:val="1"/>
          <w:color w:val="auto"/>
        </w:rPr>
        <w:t>Figure 13: Y-maze and elevated plus-maze behavior in three- to five-month-old hAPP/J20 mice following repeat, weekly IP dosing with ACU3B3 (n=13-14/group)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5923280" cy="25717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2328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Y-maze activity after six weekly doses. [B], [C] Elevated plus-maze behavior following nine weekly doses.</w:t>
      </w:r>
    </w:p>
    <w:p>
      <w:pPr>
        <w:spacing w:after="0" w:line="230"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Taken together, these behavioral studies, performed at three different laboratories, indicate in vivo central pharmacologic activity of peripherally administered ACU3B3. The behavioral effects seen in these studies indicate that sufficient amounts of ACU3B3 cross the blood-brain barrier to engage the target, resulting in behavioral improvements in these transgenic mice. The range of doses used in these nonclinical studies is covered in the Phase 1 clinical trial.</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800"/>
          </w:cols>
          <w:pgMar w:left="320" w:top="459" w:right="7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Pharmacokinetics and Pharmacodynamics</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ACU193 has demonstrated favorable pharmacokinetics and pharmacodynamics based on a number of nonclinical studies. ACU193 could be detected in plasma, CSF, and brain tissue of Tg2576 mice, rats, dogs, and rhesus monkeys following IV injection. Penetration of ACU193 into the brain was demonstrated by direct measurements of brain levels in Tg2576 mice, rats, and dogs, and by measurements of CSF levels in rats and rhesus monkeys. Brain levels were approximately 0.02% of plasma levels and CSF levels ranged from 0.05 to 0.15% of plasma levels, showing penetration of ACU193 into the brain. Toxicokinetic data collected as part of GLP toxicity studies in Sprague Dawley rats and cynomolgus monkeys showed clearance of 1 to 3 mL/h/kg and terminal half-life of approximately seven days.</w:t>
      </w:r>
    </w:p>
    <w:p>
      <w:pPr>
        <w:spacing w:after="0" w:line="178"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Brain penetration and in vivo binding of ACU193 was explored in seven-month-old Tg2576 mice dosed intravenously with 2, 10 and 50 mg/kg of ACU193 or hu3D6 (bapineuzumab), and perfused brain tissue was collected 24 hours after dosing for analysis. A dose dependent increase in brain levels of ACU193 (Figure 14A) and ACU193/AbO complex (Figure 14B) was demonstrated, with a minimum effective dose for target engagement of 10 mg/kg.</w:t>
      </w:r>
    </w:p>
    <w:p>
      <w:pPr>
        <w:spacing w:after="0" w:line="183" w:lineRule="exact"/>
        <w:rPr>
          <w:sz w:val="20"/>
          <w:szCs w:val="20"/>
          <w:color w:val="auto"/>
        </w:rPr>
      </w:pPr>
    </w:p>
    <w:p>
      <w:pPr>
        <w:ind w:left="120" w:right="400"/>
        <w:spacing w:after="0" w:line="282" w:lineRule="auto"/>
        <w:rPr>
          <w:sz w:val="20"/>
          <w:szCs w:val="20"/>
          <w:color w:val="auto"/>
        </w:rPr>
      </w:pPr>
      <w:r>
        <w:rPr>
          <w:rFonts w:ascii="Arial" w:cs="Arial" w:eastAsia="Arial" w:hAnsi="Arial"/>
          <w:sz w:val="18"/>
          <w:szCs w:val="18"/>
          <w:b w:val="1"/>
          <w:bCs w:val="1"/>
          <w:color w:val="auto"/>
        </w:rPr>
        <w:t>Figure 14: Levels of ACU193 and A</w:t>
      </w:r>
      <w:r>
        <w:rPr>
          <w:rFonts w:ascii="Arial" w:cs="Arial" w:eastAsia="Arial" w:hAnsi="Arial"/>
          <w:sz w:val="18"/>
          <w:szCs w:val="18"/>
          <w:color w:val="auto"/>
        </w:rPr>
        <w:t>b</w:t>
      </w:r>
      <w:r>
        <w:rPr>
          <w:rFonts w:ascii="Arial" w:cs="Arial" w:eastAsia="Arial" w:hAnsi="Arial"/>
          <w:sz w:val="18"/>
          <w:szCs w:val="18"/>
          <w:b w:val="1"/>
          <w:bCs w:val="1"/>
          <w:color w:val="auto"/>
        </w:rPr>
        <w:t>O/ACU193 complexes in the brain 24 hours following IV dosing in seven-month-old Tg2576 mice (n = 4/cohort)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5503545" cy="24003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0354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results show ACU193 can penetrate the blood-brain barrier and bind endogenous AbOs.</w:t>
      </w:r>
    </w:p>
    <w:p>
      <w:pPr>
        <w:spacing w:after="0" w:line="230"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Additionally, a study of pharmacokinetics in CSF was conducted in rhesus monkeys. An intrathecal catheter was implanted in the monkeys, and two doses at 20 mg/kg IV were administered. As shown in Figure 15, the concentrations of ACU193 in CSF should provide adequate target engagement with every four week dosing.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15: Comparison of ACU193 levels in rhesus CSF to CSF Levels of A</w:t>
      </w:r>
      <w:r>
        <w:rPr>
          <w:rFonts w:ascii="Arial" w:cs="Arial" w:eastAsia="Arial" w:hAnsi="Arial"/>
          <w:sz w:val="18"/>
          <w:szCs w:val="18"/>
          <w:color w:val="auto"/>
        </w:rPr>
        <w:t>b</w:t>
      </w:r>
      <w:r>
        <w:rPr>
          <w:rFonts w:ascii="Arial" w:cs="Arial" w:eastAsia="Arial" w:hAnsi="Arial"/>
          <w:sz w:val="18"/>
          <w:szCs w:val="18"/>
          <w:b w:val="1"/>
          <w:bCs w:val="1"/>
          <w:color w:val="auto"/>
        </w:rPr>
        <w:t>O in human AD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171450</wp:posOffset>
            </wp:positionV>
            <wp:extent cx="4817745" cy="25888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817745"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Following two doses of 20 mg/kg ACU193 CSF concentrations were sufficient to provide target engagement at 28 days. An estimate of 1 fmole/mL for oligomer concentration is conservative given that it is based on oligomers consisting of trimers.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Safety Profile</w:t>
      </w:r>
    </w:p>
    <w:p>
      <w:pPr>
        <w:spacing w:after="0" w:line="225"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Good Laboratory Practice studies using IV administration of ACU193 established a no-observed-adverse-effect level, or NOAEL, of 250 mg/kg/dose, which was the maximum feasible dose, given every two weeks in a 28-day study in Sprague-Dawley rats. The NOAEL in cynomolgus monkeys was 300 mg/kg/dose in a 14-week study in cynomolgus monkeys using IV dosing every two weeks. In Sprague Dawley rats, no adverse findings were noted. In the 14-week study in cynomolgus monkeys, doses of 60, 300, or 600 mg/kg/dose ACU193 once every two weeks were administered. Three animals administered the highest 600 mg/kg/dose were sacrificed early for humane reasons on Days 43 or 60 due to ACU193-related, anaphylactoid-type reactions. Thus, the 300 mg/kg/dose is considered the NOAEL for cynomolgus monkeys. The NOAELs of 300 mg/kg and 250 mg/kg compare favorably to the highest dose of ACU193 being used in our Phase 1 clinical trial (60 mg/kg).</w:t>
      </w:r>
    </w:p>
    <w:p>
      <w:pPr>
        <w:spacing w:after="0" w:line="177"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Based in part on binding to AbOs rather than amyloid plaque, ACU193 has the potential to have a lower rate of ARIA than plaque-clearing anti-amyloid antibodies. Additionally, ACU3B3 showed no apparent increased risk of microhemorrhage when administered in vivo for three months in aged Tg2576 mice, as compared with 3D6, a plaque binding antibody used as a positive control.</w:t>
      </w:r>
    </w:p>
    <w:p>
      <w:pPr>
        <w:spacing w:after="0" w:line="184" w:lineRule="exact"/>
        <w:rPr>
          <w:sz w:val="20"/>
          <w:szCs w:val="20"/>
          <w:color w:val="auto"/>
        </w:rPr>
      </w:pPr>
    </w:p>
    <w:p>
      <w:pPr>
        <w:jc w:val="both"/>
        <w:ind w:left="120" w:right="540" w:firstLine="881"/>
        <w:spacing w:after="0" w:line="263" w:lineRule="auto"/>
        <w:rPr>
          <w:sz w:val="20"/>
          <w:szCs w:val="20"/>
          <w:color w:val="auto"/>
        </w:rPr>
      </w:pPr>
      <w:r>
        <w:rPr>
          <w:rFonts w:ascii="Arial" w:cs="Arial" w:eastAsia="Arial" w:hAnsi="Arial"/>
          <w:sz w:val="18"/>
          <w:szCs w:val="18"/>
          <w:color w:val="auto"/>
        </w:rPr>
        <w:t>With regard to effector function and possible inflammatory effects generally, ACU193 is an IgG2m4 subclass antibody which lacks inflammatory effector function signaling stimulated by other IgG subclasses. Thus, the risk for inflammatory effector function using ACU193 is considered to be low.</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40"/>
          </w:cols>
          <w:pgMar w:left="320" w:top="459" w:right="5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Investigational New Drug Application</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October 2020, we submitted an investigational new drug, or IND, application for ACU193 to the FDA. The FDA initially placed the IND on clinical hold until we were able to address the FDA’s concerns regarding potential off-target binding of ACU193 with an additional nonclinical tissue cross reactivity (TCR) study in human, monkey, and rat samples. The supplemental TCR study supported the in-vivo GLP safety results. On April 9, 2021, we received an FDA letter advising us that the clinical hold had been removed and authorizing us to proceed with a first-in-human, Phase 1 clinical trial.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Plan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Phase 1 Clinical Trial in AD</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In the second quarter of 2021, we initiated a multi-center, randomized, placebo-controlled, single and multiple ascending dose Phase 1 clinical trial of ACU193 in 62 patients with early AD. The early AD patient set is comprised of individuals who have mild dementia or MCI due to AD. Patients with moderate to severe dementia will not be included. The main objectives of the trial are to evaluate the safety, tolerability, pharmacokinetics, and target engagement of single and multiple ascending doses of ACU193 administered by IV infusion. Pharmacodynamics effects including cognitive testing will be performed on an exploratory basis. The trial will be conducted in two overlapping parts: Part A (the single ascending dose portion) and Part B (the multiple ascending dose portion).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16: Design of Study ACU-001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94615</wp:posOffset>
            </wp:positionV>
            <wp:extent cx="5186045" cy="384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86045" cy="384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Trial Design Part A – Single Ascending Dose</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We expect to enroll 32 participants in Part A of our clinical trial, with the participants randomized in a 6:2 ratio into one of four cohorts to receive a single dose of ACU193 or placebo as follows:</w:t>
      </w:r>
    </w:p>
    <w:p>
      <w:pPr>
        <w:spacing w:after="0" w:line="197" w:lineRule="exact"/>
        <w:rPr>
          <w:sz w:val="20"/>
          <w:szCs w:val="20"/>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Cohort 1: One IV dose of ACU193 (2 mg/kg) or placebo.</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Cohort 2: One IV dose of ACU193 (10 mg/kg) or placebo.</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Cohort 3: One IV dose of ACU193 (25 mg/kg) or placebo.</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Cohort 4: One IV dose of ACU193 (60 mg/kg) or placebo.</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The double-blind treatment period for Cohorts 1-4 of Part A will be approximately 20 weeks and will include ten visits (four inpatient and six outpatient). A sequential dosing scheme will be followed for each cohort in Part A. Dosing of Cohorts 1-3 will begin at least one week after all participants in the immediately preceding lower-dose cohort have received one administration of study drug and safety data have been reviewed by our internal blinded safety team. Dosing of Cohort 4 will begin at least one week after all participants in Cohort 3 have received one administration of study drug and these safety data, along with Cohort 2 aggregate pharmacokinetic data, have been reviewed by our internal blinded safety team. An unblinded, independent Data Monitoring Committee, or DMC, will also monitor the trial and can review safety data on an ad hoc basis if requested by the blinded study team.</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Trial Design Part B – Multiple Ascending Dose</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We expect to enroll 30 participants in Part B of our clinical trial, with the participants randomized in an 8:2 ratio into one of three cohorts to receive a total of three doses of ACU193 or placebo as follows:</w:t>
      </w:r>
    </w:p>
    <w:p>
      <w:pPr>
        <w:spacing w:after="0" w:line="197" w:lineRule="exact"/>
        <w:rPr>
          <w:sz w:val="20"/>
          <w:szCs w:val="20"/>
          <w:color w:val="auto"/>
        </w:rPr>
      </w:pPr>
    </w:p>
    <w:p>
      <w:pPr>
        <w:ind w:left="1420" w:hanging="319"/>
        <w:spacing w:after="0"/>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Cohort 5: One IV dose of ACU193 (10 mg/kg) or placebo once every four weeks.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Cohort 6: One IV dose of ACU193 (60 mg/kg) or placebo once every four weeks.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Cohort 7: One IV dose of ACU193 (60 mg/kg) or placebo once every two weeks.</w:t>
      </w:r>
    </w:p>
    <w:p>
      <w:pPr>
        <w:spacing w:after="0" w:line="225"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Participants in Cohorts 5 and 6 will be evaluated over approximately 35 weeks, consisting of a seven-week screening period followed by a 28-week, double-blind treatment period. A follow-up safety check will be performed approximately eight weeks after the final visit of the double-blind treatment period.</w:t>
      </w:r>
    </w:p>
    <w:p>
      <w:pPr>
        <w:spacing w:after="0" w:line="184"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Participants in Cohort 7 will be evaluated over approximately 31 weeks, consisting of a seven-week screening period, followed by a 24-week, double-blind treatment period. A follow-up safety check will be performed approximately eight weeks after the final visit of the double-blind treatment period.</w:t>
      </w:r>
    </w:p>
    <w:p>
      <w:pPr>
        <w:spacing w:after="0" w:line="184"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In order to maintain participant safety for Part B of the clinical trial, dosing of Cohort 5 will begin at least one week after all participants in Cohort 2 of Part A have received one administration of ACU193 or placebo and the Cohort 2 safety data have been reviewed by our internal blinded safety team. For Cohort 6, dosing will begin at least one week after all participants in Cohort 4 of Part A have received one administration of ACU193 or placebo and the Cohort 4 safety data have been reviewed by our internal blinded safety team. Dosing of Cohort 7 will begin after four or more participants in Cohort 6 have been administered two doses of ACU193 or placebo and the Cohort 6 safety data, along with aggregated pharmacokinetic data from Cohort 4, have been reviewed by our internal blinded safety team. If a potential safety signal, an unexpected adverse reaction, or higher than expected exposure occurs, our internal blinded safety team will notify the independent, unblinded DMC to review the safety and pharmacokinetic data and advise on dose escalation. Cohort 7 will allow for additional pharmacokinetic modeling to more accurately determine the half-life of ACU193 if every two-week dosing is necessary.</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9"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Endpoints</w:t>
      </w:r>
    </w:p>
    <w:p>
      <w:pPr>
        <w:spacing w:after="0" w:line="225"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Our goal for the Phase 1 trial is to establish clinical proof of mechanism of ACU193 in patients with early AD. The endpoints we will measure as part of this trial include: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Primary Endpoint</w:t>
      </w:r>
    </w:p>
    <w:p>
      <w:pPr>
        <w:spacing w:after="0" w:line="252" w:lineRule="exact"/>
        <w:rPr>
          <w:sz w:val="20"/>
          <w:szCs w:val="20"/>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safety and immunogenicity, including assessment for ARIA;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Secondary Endpoints and Exploratory Objectives</w:t>
      </w:r>
    </w:p>
    <w:p>
      <w:pPr>
        <w:spacing w:after="0" w:line="252" w:lineRule="exact"/>
        <w:rPr>
          <w:sz w:val="20"/>
          <w:szCs w:val="20"/>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pharmacokinetics in plasma;</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determination of CSF concentrations of ACU193;</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evaluation of central target engagement as measured by levels of ACU193 AbO complex in CSF;</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evaluation of possible changes in concentration of biomarkers for AD in CSF or blood;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evaluation of possible changes in amyloid plaque load as determined by PET imaging;</w:t>
      </w:r>
    </w:p>
    <w:p>
      <w:pPr>
        <w:spacing w:after="0" w:line="252"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evaluation of possible changes in cerebral blood flow as determined by MRI imaging, using Arterial Spin Labeling (ASL) pulse sequence; and</w:t>
      </w:r>
    </w:p>
    <w:p>
      <w:pPr>
        <w:spacing w:after="0" w:line="197"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evaluation of possible changes in cognitive, functional, and behavioral measures using computerized testing and standard clinical measures for AD.</w:t>
      </w:r>
    </w:p>
    <w:p>
      <w:pPr>
        <w:spacing w:after="0" w:line="170" w:lineRule="exact"/>
        <w:rPr>
          <w:sz w:val="20"/>
          <w:szCs w:val="20"/>
          <w:color w:val="auto"/>
        </w:rPr>
      </w:pPr>
    </w:p>
    <w:p>
      <w:pPr>
        <w:ind w:left="120" w:right="280" w:firstLine="881"/>
        <w:spacing w:after="0" w:line="342" w:lineRule="auto"/>
        <w:rPr>
          <w:sz w:val="20"/>
          <w:szCs w:val="20"/>
          <w:color w:val="auto"/>
        </w:rPr>
      </w:pPr>
      <w:r>
        <w:rPr>
          <w:rFonts w:ascii="Arial" w:cs="Arial" w:eastAsia="Arial" w:hAnsi="Arial"/>
          <w:sz w:val="16"/>
          <w:szCs w:val="16"/>
          <w:color w:val="auto"/>
        </w:rPr>
        <w:t>We expect to report proof of mechanism results by the fourth quarter of 2022, with periodic updates including trial progress and cohort advancement. Safety will be evaluated periodically during the trial both by a blinded study team and an unblinded monitoring committee.</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Future Clinical Trials</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Subject to establishment of proof of mechanism of ACU193 and the safety and immunogenicity results of the Phase 1 clinical trial, we intend to advance ACU193 into later stage clinical trials. We plan to explore a proposed therapeutic dose of ACU193 in a future Phase 2/3 clinical trial based on safety, pharmacokinetics and pharmacodynamics assessments of the various dosing cohorts in the Phase 1 trial. The Phase 2/3 trial is being designed as an adaptive trial, such that after a planned interim analysis of clinical and biomarker changes, a decision could be made to increase the enrollment of the trial to be adequately powered as a Phase 3 pivotal trial, or to continue the trial as a Phase 2 clinical trial. The Phase 2/3 trial will utilize standard cognitive measures that are widely employed in AD trials and most highly sensitive to changes in mild AD patients, including ADAS-COG 13, CDR-sb, ADCS-iADL, iADRS, MMSE, and potentially others including computerized neuropsychological testing. Additionally, a number of biomarkers may be studied including blood flow as determined by ASL pulse sequence on MRI, plasma or CSF p-tau, amyloid PET scanning, and tau PET scanning. Selected endpoints will be used to inform the interim decision whether to expand the trial and whether to initiate a second Phase 3 clinical trial.</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Combination Potential</w:t>
      </w:r>
    </w:p>
    <w:p>
      <w:pPr>
        <w:spacing w:after="0" w:line="229"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While ACU193, if successful, will likely be a foundational treatment for people with early AD, it also could be used as part of a combination treatment regimen. The pathology of AD is complex, and many experts in the field expect that combination therapy using drugs with different mechanisms of action, such as tau, immune modulation, glial cells such as microglia and astrocytes, and growth factors, will ultimately prove most successful, similar to cutting edge approaches used in oncology. In addition, because symptomatic treatments, such as memantine and cholinesterase inhibitors, affect neurotransmitter systems rather than the underlying AD pathology, we believe that it is likely that they will be used together with disease-modifying treatments.</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80"/>
          </w:cols>
          <w:pgMar w:left="320" w:top="459" w:right="5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We do not currently own or operate facilities for product manufacturing, storage and distribution, or testing. We contract with third parties for the manufacture of ACU193. Because we rely on contract manufacturers, we employ personnel with extensive technical, manufacturing, analytical and quality experience. Our staff has strong project management discipline to oversee contract manufacturing and testing activities, and to compile manufacturing and quality information for our regulatory submissions.</w:t>
      </w:r>
    </w:p>
    <w:p>
      <w:pPr>
        <w:spacing w:after="0" w:line="187"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Manufacturing is subject to extensive regulation that imposes various procedural and documentation requirements and that governs record keeping, manufacturing processes and controls, personnel, quality control and quality assurance, and more. Our systems and our contractors are required to be in compliance with these regulations, and compliance is assessed regularly through monitoring of performance and a formal audit program.</w:t>
      </w:r>
    </w:p>
    <w:p>
      <w:pPr>
        <w:spacing w:after="0" w:line="149" w:lineRule="exact"/>
        <w:rPr>
          <w:sz w:val="20"/>
          <w:szCs w:val="20"/>
          <w:color w:val="auto"/>
        </w:rPr>
      </w:pPr>
    </w:p>
    <w:p>
      <w:pPr>
        <w:ind w:left="120" w:right="280" w:firstLine="881"/>
        <w:spacing w:after="0" w:line="301" w:lineRule="auto"/>
        <w:rPr>
          <w:sz w:val="20"/>
          <w:szCs w:val="20"/>
          <w:color w:val="auto"/>
        </w:rPr>
      </w:pPr>
      <w:r>
        <w:rPr>
          <w:rFonts w:ascii="Arial" w:cs="Arial" w:eastAsia="Arial" w:hAnsi="Arial"/>
          <w:sz w:val="16"/>
          <w:szCs w:val="16"/>
          <w:color w:val="auto"/>
        </w:rPr>
        <w:t>Our current supply chains for ACU193 involve several manufacturers that specialize in specific operations of the manufacturing process, including raw materials manufacturing, drug substance manufacturing and drug product manufacturing. We currently operate under work order programs for ACU193 with master services agreements in place that include specific supply timelines, volume and quality specifications. We believe our current manufacturers have the scale, the systems, and the experience to supply our currently planned clinical trials.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We face competition from several different institutions, including pharmaceutical and biotechnology companies, research institutions, governmental organizations and universities developing novel therapies for AD. We believe that the key factors affecting the clinical and commercial success of ACU193 will include safety profile, efficacy, cost, method of administration, level of marketing activity, insurance reimbursement and intellectual property protection.</w:t>
      </w:r>
    </w:p>
    <w:p>
      <w:pPr>
        <w:spacing w:after="0" w:line="187"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If approved, ACU193 will compete with therapies currently approved for the treatment of AD, which have primarily been developed to treat the symptoms of AD rather than the underlying cause of the disease, such as memantine and cholinesterase inhibitors. ACU193 may also compete with one or more potentially disease-modifying therapeutics that target Ab or amyloid plaques, the most advanced of which is Biogen Inc.’s aducanumab, which the FDA approved in June 2021 under the accelerated approval pathway, which allows for earlier approval of drugs that treat serious conditions, and that fill an unmet medical need based on a surrogate endpoint. Regulatory approval of aducanumab is pending in Europe and Japan. Other companies known to be developing therapies with Ab/amyloid plaque-related targets include Alzheon, Inc., Alzinova AB, Chugai Pharmaceutical Co. Ltd., Cognition Therapeutics, Inc., Eisai Co., Ltd., Eli Lilly and Company, Grifols, S.A., KalGene Pharmaceuticals, Inc., Neurimmune AG, Novartis AG, ProMIS Neurosciences, Inc., Prothena Biosciences, Inc., Roche Holding AG (including Genentech, its wholly owned subsidiary) and Wren Therapeutics, Inc. Additionally, ACU193, if approved, may also compete with other potential therapies intended to address underlying causes of AD that are being developed by several companies, including AbbVie Inc., AC Immune SA, Alector, Inc., Anavex Life Sciences Corp., Annovis Bio, Inc., Athira Pharma, Inc., Biohaven Pharmaceuticals, Inc., Cassava Sciences, Inc., Cortexyme, Inc., Denali Therapeutics, Inc., Johnson &amp; Johnson (including Janssen, its wholly-owned subsidiary) and Takeda Pharmaceutical Co. Ltd.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Agreement with Merck</w:t>
      </w:r>
    </w:p>
    <w:p>
      <w:pPr>
        <w:spacing w:after="0" w:line="229"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In December 2003, we entered into an exclusive license and research and development collaboration agreement with Merck to research, discover and develop certain technology related to amyloid beta-derived diffusible ligands, or ADDL, which agreement was amended and restated in October 2006. The agreement generally provided that, during the course of the collaboration, Merck would be responsible for the preclinical and clinical development and commercialization of any products covered by the agreement and, in return, we were eligible to receive potential nonclinical, clinical and regulatory milestone payments and royalties on future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product sales. During the collaboration, Merck developed ACU193, an ADDL antibody, and intellectual property related to ACU193 was filed by Merck. In 2011, Merck elected to voluntarily terminate the collaboration agreement. Pursuant to the surviving provisions of the agreement, effective upon termination of the collaboration, Merck granted us an exclusive, perpetual, irrevocable, royalty-free, worldwide license, with right to sublicense, under Merck’s interest in the patent rights and know-how necessary for the research, development, manufacturing or commercialization of ADDL antibodies, ADDL antigens or products, including ACU193.</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Our intellectual property is critical to our business and we strive to protect it, including by obtaining and maintaining patent protection in the United States and internationally for our product candidate. We also rely on the skills, knowledge and experience of our scientific and technical personnel, as well as that of our advisors, consultants and other contractors. To help protect our proprietary know-how that is not patentable, we rely on confidentiality agreements to protect our interests. We require our employees, consultants, scientific advisors and contractors to enter into confidentiality agreements prohibiting the disclosure of confidential information and requiring disclosure and assignment to us of the ideas, developments, discoveries and inventions important to our business.</w:t>
      </w:r>
    </w:p>
    <w:p>
      <w:pPr>
        <w:spacing w:after="0" w:line="192"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The main form of commercial exclusivity for our product candidate, ACU193, is expected to come from biologic regulatory exclusivity. We expect that once approved by regulatory agencies, ACU193 will receive the benefit of 12 years of market exclusivity in the U.S. and 10 to 11 years of data and market exclusivity in Europe, in each case, against competitors seeking approval for a biosimilar product.</w:t>
      </w:r>
    </w:p>
    <w:p>
      <w:pPr>
        <w:spacing w:after="0" w:line="165"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We have an exclusive license grant from Merck to patents claiming the composition and method of use of our product candidate, ACU193. The license grant arose from our collaboration agreement with Merck to research, discover, and develop technology related to ADDLs. During our collaboration, ACU193, an ADDL antibody, was developed and intellectual property was filed by Merck. In 2011, the collaboration agreement terminated and Merck exclusively licensed to Acumen, Merck’s interest in patent rights claiming ADDL antibodies, including ACU193, ADDL Antigens and/or Products to Acumen. In the nine years subsequent to the termination of the collaboration with Merck, Acumen has controlled and directed and continues to control and direct prosecution of the licensed ACU193 patent portfolio. Acumen has also paid for and continues to pay all costs and fees associated with the prosecution and maintenance of the licensed ACU193 patent portfolio.</w:t>
      </w:r>
    </w:p>
    <w:p>
      <w:pPr>
        <w:spacing w:after="0" w:line="177"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As of November 6, 2020, Acumen licenses from Merck 1 issued U.S. patent, 16 issued foreign patents including issued patents in China, Canada, Australia, Japan, France, Germany and the UK, and two pending foreign applications drawn to our product candidate, ACU193. These patents and patent applications, once issued, are projected to expire in July of 2031, without taking into account any possible extensions and assuming payment of all appropriate maintenance, renewal, annuity, or other governmental fees.</w:t>
      </w:r>
    </w:p>
    <w:p>
      <w:pPr>
        <w:spacing w:after="0" w:line="187"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Throughout the development of our product candidate, we seek to identify additional means of obtaining patent protection that would potentially enhance commercial success, including by protecting inventions related to additional methods of use, processes of making, formulation, and dosing regimens.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 and Term Extensions</w:t>
      </w:r>
    </w:p>
    <w:p>
      <w:pPr>
        <w:spacing w:after="0" w:line="225"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The terms of individual patents are determined based primarily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In addition, in certain instances, the term of a U.S. patent can be extended to recapture a portion of the United States Patent and Trademark Office, or USPTO, delay in issuing the patent as well as a portion of the term effectively lost as a result of the FDA regulatory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review period. However, as to the FDA component, the restoration period cannot be longer than five years and the restoration period cannot extend the patent term beyond 14 years from FDA approval for the product covered by that patent. In addition, only one patent applicable to an approved drug may receive the extension, and the extension applies only to coverage for the approved drug, methods for using it and methods of manufacturing it, even if the claims cover other products or product candidate. Where one patent covers multiple products or product candidate, it may only receive an extension for one of the covered products; any extension related to a second product or product candidate must be applied to a different patent. The duration of foreign patents varies in accordance with provisions of applicable local law, but typically is also 20 years from the earliest effective filing date of</w:t>
      </w:r>
    </w:p>
    <w:p>
      <w:pPr>
        <w:spacing w:after="0" w:line="4" w:lineRule="exact"/>
        <w:rPr>
          <w:sz w:val="20"/>
          <w:szCs w:val="20"/>
          <w:color w:val="auto"/>
        </w:rPr>
      </w:pPr>
    </w:p>
    <w:p>
      <w:pPr>
        <w:ind w:left="120" w:right="180"/>
        <w:spacing w:after="0" w:line="323" w:lineRule="auto"/>
        <w:rPr>
          <w:sz w:val="20"/>
          <w:szCs w:val="20"/>
          <w:color w:val="auto"/>
        </w:rPr>
      </w:pPr>
      <w:r>
        <w:rPr>
          <w:rFonts w:ascii="Arial" w:cs="Arial" w:eastAsia="Arial" w:hAnsi="Arial"/>
          <w:sz w:val="16"/>
          <w:szCs w:val="16"/>
          <w:color w:val="auto"/>
        </w:rPr>
        <w:t>a non-provisional patent application, such as a Patent Cooperation Treaty, or PCT, application. All taxes, annuities or maintenance fees for a patent, as required by the USPTO and various foreign jurisdictions, must be timely paid in order for the patent to remain in force during this period of time.</w:t>
      </w:r>
    </w:p>
    <w:p>
      <w:pPr>
        <w:spacing w:after="0" w:line="138"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actual protection afforded by a patent may vary on a product-by-product basis, from country to country, and can depend upon many factors, including the type of patent, the scope of its coverage, the availability of regulatory-related extensions and the availability of legal remedies in a particular country and the validity and enforceability of the patent.</w:t>
      </w:r>
    </w:p>
    <w:p>
      <w:pPr>
        <w:spacing w:after="0" w:line="184"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Our patents and patent applications may be subject to procedural or legal challenges by others. 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see the section titled “Risk Factors—Risks Related to Our Intellectual Property.”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Trademarks and Know-How</w:t>
      </w:r>
    </w:p>
    <w:p>
      <w:pPr>
        <w:spacing w:after="0" w:line="225" w:lineRule="exact"/>
        <w:rPr>
          <w:sz w:val="20"/>
          <w:szCs w:val="20"/>
          <w:color w:val="auto"/>
        </w:rPr>
      </w:pPr>
    </w:p>
    <w:p>
      <w:pPr>
        <w:ind w:left="120" w:right="60" w:firstLine="881"/>
        <w:spacing w:after="0" w:line="288" w:lineRule="auto"/>
        <w:rPr>
          <w:sz w:val="20"/>
          <w:szCs w:val="20"/>
          <w:color w:val="auto"/>
        </w:rPr>
      </w:pPr>
      <w:r>
        <w:rPr>
          <w:rFonts w:ascii="Arial" w:cs="Arial" w:eastAsia="Arial" w:hAnsi="Arial"/>
          <w:sz w:val="16"/>
          <w:szCs w:val="16"/>
          <w:color w:val="auto"/>
        </w:rPr>
        <w:t>In connection with the ongoing development and advancement of our products and services in the United States and various international jurisdictions, we seek to create protection for our marks and enhance their value by pursuing trademarks and service marks where available and when appropriate. We rely upon know-how and continuing technological innovation to develop and maintain our competitive position. We seek to protect our proprietary information, in part, by using confidentiality agreements with our commercial partners, collaborators, employees and consultants, and invention assignment agreements with our employees and consultants. These agreements are designed to protect our proprietary information and, in the case of the invention assignment agreements, to grant us ownership of technologies that are developed by our employees and through relationships with third parties. These agreements may be breached, and we may not have adequate remedies for any breach. In addition, our trade secrets may otherwise become known or be independently discovered by competitors. To the extent that our contractors, commercial partners, collaborators, employees and consultants use intellectual property owned by others in their work for us, disputes may arise as to the rights in related or resulting know-how and inventions. For more information, see the section titled “Risk Factors—Risks Related to Our Intellectual Property.”</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third-party contractors, will be required to navigate the various preclinical, clinical, manufacturing and commercial approval requirements of the governing regulatory agencies of the countries in which we wish to conduct studies or seek approval or licensure of our product candidates. The process of obtaining regulatory approvals and the subsequent compliance with applicable federal, state, local and foreign statutes and regulations require the expenditure of substantial time and financial resources. Failure to comply with the applicable regulatory requirements at any time during the product development process or post-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approval may subject an applicant to delays in development or approval, as well as administrative and judicial sanctions.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In the United States, biological products are subject to regulation under the Federal Food, Drug, and Cosmetic Act, or FDCA, the Public Health Service Act, or PHSA, and other federal, state, local and foreign statutes and regulations. The process required by the FDA before biologics may be marketed in the United States generally involves the following:</w:t>
      </w:r>
    </w:p>
    <w:p>
      <w:pPr>
        <w:spacing w:after="0" w:line="211" w:lineRule="exact"/>
        <w:rPr>
          <w:sz w:val="20"/>
          <w:szCs w:val="20"/>
          <w:color w:val="auto"/>
        </w:rPr>
      </w:pPr>
    </w:p>
    <w:p>
      <w:pPr>
        <w:ind w:left="1420" w:right="440" w:hanging="319"/>
        <w:spacing w:after="0" w:line="277"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Good Laboratory Practice requirements, or GLPs;</w:t>
      </w:r>
    </w:p>
    <w:p>
      <w:pPr>
        <w:spacing w:after="0" w:line="197"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clinical trials may begin and must be updated annually and when certain changes are made;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approval by an institutional review board, or IRB, or independent ethics committee at each clinical site before the trial is commenced;</w:t>
      </w:r>
    </w:p>
    <w:p>
      <w:pPr>
        <w:spacing w:after="0" w:line="275" w:lineRule="exact"/>
        <w:rPr>
          <w:rFonts w:ascii="Arial" w:cs="Arial" w:eastAsia="Arial" w:hAnsi="Arial"/>
          <w:sz w:val="16"/>
          <w:szCs w:val="16"/>
          <w:color w:val="auto"/>
        </w:rPr>
      </w:pPr>
    </w:p>
    <w:p>
      <w:pPr>
        <w:ind w:left="1420" w:right="60" w:hanging="319"/>
        <w:spacing w:after="0" w:line="263"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and other clinical trial-related regulations to establish the safety, purity and potency of the proposed biologic product candidate for its intended purpose;</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preparation of and submission to the FDA of a biologics license application, or BLA, after completion of all pivotal clinical trials;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payment of user fees for FDA review of the BLA;</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52" w:lineRule="exact"/>
        <w:rPr>
          <w:rFonts w:ascii="Arial" w:cs="Arial" w:eastAsia="Arial" w:hAnsi="Arial"/>
          <w:sz w:val="18"/>
          <w:szCs w:val="18"/>
          <w:color w:val="auto"/>
        </w:rPr>
      </w:pPr>
    </w:p>
    <w:p>
      <w:pPr>
        <w:ind w:left="1420" w:right="60" w:hanging="319"/>
        <w:spacing w:after="0" w:line="259"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current Good Manufacturing Practices, or cGMPs, and to assure that the facilities, methods and controls are adequate to preserve the biological product’s continued safety, purity and potency, and of selected clinical investigation sites to assess compliance with GCPs; and</w:t>
      </w:r>
    </w:p>
    <w:p>
      <w:pPr>
        <w:spacing w:after="0" w:line="213"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and Clinical Trials</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 xml:space="preserve">Prior to beginning the first clinical trial with a product candidate in the United States, the product candidate must undergo rigorous preclinical testing. Preclinical studies include laboratory evaluations of chemistry, formulation and stability, as well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safety and in some cases to establish the rationale for therapeutic use. The conduct of preclinical studies is subject to federal and state regulations and requirements, including GLP requirements for safety and toxicology studies. In the United States, the results of the preclinical studies, together with manufacturing information and analytical data must be submitted to the FDA as part of an IND. An IND is a request for authorization from the FDA to administer an investigational new drug to humans. The central focus of an IND submission is on the general investigational</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9"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 xml:space="preserve">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95"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dosing procedures, subject selection and exclusion criteria, and the parameters and criteria to be used in monitoring safety and effectiveness.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w:t>
      </w:r>
    </w:p>
    <w:p>
      <w:pPr>
        <w:spacing w:after="0" w:line="177"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While clinical trials are ongoing, the FDA may impose a partial or complete clinical hold based on concerns for patient safety and/or noncompliance with regulatory requirements. This order issued by the FDA would cause the suspension of an ongoing study, or part of an ongoing study, until all outstanding concerns have been adequately addressed, and the FDA has notified the company that investigations may proceed. Imposition of a clinical hold could cause significant delays or difficulties in completing planned clinical studies in a timely manner. In addition,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 In the United States, information about applicable clinical trials, including clinical trials results, must be submitted within specific timeframes for publication on the www.clinicaltrials.gov website.</w:t>
      </w:r>
    </w:p>
    <w:p>
      <w:pPr>
        <w:spacing w:after="0" w:line="182"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in vitro testing suggest a significant risk for human participants exposed to the drug or biologic, or for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For purposes of BLA approval, human clinical trials are typically conducted in three sequential phases that may overlap or be combined:</w:t>
      </w:r>
    </w:p>
    <w:p>
      <w:pPr>
        <w:spacing w:after="0" w:line="275" w:lineRule="exact"/>
        <w:rPr>
          <w:sz w:val="20"/>
          <w:szCs w:val="20"/>
          <w:color w:val="auto"/>
        </w:rPr>
      </w:pPr>
    </w:p>
    <w:p>
      <w:pPr>
        <w:ind w:left="1420" w:right="100" w:hanging="319"/>
        <w:spacing w:after="0" w:line="259" w:lineRule="auto"/>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Phase 1—The investigational product is initially introduced into a limited population of healthy human subjects or patients with the target disease or condition. These studies are designed to test the safety, dose response, absorption, metabolism and distribution of the investigational product in humans, the side effects associated with increasing doses, and, if possible, to gain early evidence on effectiveness.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420" w:right="120" w:hanging="319"/>
        <w:spacing w:after="0" w:line="311" w:lineRule="auto"/>
        <w:tabs>
          <w:tab w:leader="none" w:pos="14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5" w:lineRule="exact"/>
        <w:rPr>
          <w:rFonts w:ascii="Arial" w:cs="Arial" w:eastAsia="Arial" w:hAnsi="Arial"/>
          <w:sz w:val="16"/>
          <w:szCs w:val="16"/>
          <w:color w:val="auto"/>
        </w:rPr>
      </w:pPr>
    </w:p>
    <w:p>
      <w:pPr>
        <w:ind w:left="1420" w:right="40" w:hanging="319"/>
        <w:spacing w:after="0" w:line="25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w:t>
      </w:r>
    </w:p>
    <w:p>
      <w:pPr>
        <w:spacing w:after="0" w:line="188"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also be made a condition to approval of the BLA.</w:t>
      </w:r>
    </w:p>
    <w:p>
      <w:pPr>
        <w:spacing w:after="0" w:line="170"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BLA Submission and Review by the FDA</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independent investigators. To support marketing approval, the data submitted must be sufficient in quality and quantity to establish the safety, purity and potency of the investigational biologic, to the satisfaction of the FDA. FDA approval of a BLA must be obtained before a biologic may be marketed in the United States. The submission of a BLA requires payment of a substantial application user fee to the FDA, unless a waiver or exemption applies.</w:t>
      </w:r>
    </w:p>
    <w:p>
      <w:pPr>
        <w:spacing w:after="0" w:line="181"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also convene an advisory committee to provide clinical insight on application review questions. An advisory committee is a panel of</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4"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BLA, the FDA will typically inspect one or more clinical sites to assure compliance with GCP.</w:t>
      </w:r>
    </w:p>
    <w:p>
      <w:pPr>
        <w:spacing w:after="0" w:line="187"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 After the FDA evaluates a BLA and conducts inspections of manufacturing facilities where the investigational product and/or its drug substance will be produced, the FDA may issue an approval letter or a Complete Response Letter, or CRL. An approval letter authorizes commercial marketing of the product with specific prescribing information for specific indications.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In issuing the CRL,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82"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implemented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22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The FDA offers a number of expedited development and review programs for qualifying product candidates. These programs include fast track designation, breakthrough therapy designation, priority review, and accelerated approval.</w:t>
      </w:r>
    </w:p>
    <w:p>
      <w:pPr>
        <w:spacing w:after="0" w:line="170"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The fast track program is intended to expedite or facilitate the process for reviewing new products that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applicable FDA review team during product development and, once a BLA is submitted, the product candidate may be eligible for priority review. A fast track product may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49"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 and experienced review staff in a cross-disciplinary review, where appropriate.</w:t>
      </w:r>
    </w:p>
    <w:p>
      <w:pPr>
        <w:spacing w:after="0" w:line="177"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color w:val="auto"/>
        </w:rPr>
        <w:t>Any marketing application for a drug or biologic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 product candidate is eligible for priority review if it is designed to treat a serious or life-threatening disease or condition, and if approved, would provide a significant improvement in safety or effectiveness compared to available alternatives for such disease or condition. For original BLAs, priority review designation means the FDA’s goal is to take action on the marketing application within six months of the 60-day filing date (as compared to ten months under standard review).</w:t>
      </w:r>
    </w:p>
    <w:p>
      <w:pPr>
        <w:spacing w:after="0" w:line="178" w:lineRule="exact"/>
        <w:rPr>
          <w:sz w:val="20"/>
          <w:szCs w:val="20"/>
          <w:color w:val="auto"/>
        </w:rPr>
      </w:pPr>
    </w:p>
    <w:p>
      <w:pPr>
        <w:ind w:left="120" w:right="100" w:firstLine="881"/>
        <w:spacing w:after="0" w:line="289" w:lineRule="auto"/>
        <w:rPr>
          <w:sz w:val="20"/>
          <w:szCs w:val="20"/>
          <w:color w:val="auto"/>
        </w:rPr>
      </w:pPr>
      <w:r>
        <w:rPr>
          <w:rFonts w:ascii="Arial" w:cs="Arial" w:eastAsia="Arial" w:hAnsi="Arial"/>
          <w:sz w:val="16"/>
          <w:szCs w:val="16"/>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166"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Fast track designation, breakthrough therapy designation, and priority review,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225" w:lineRule="exact"/>
        <w:rPr>
          <w:sz w:val="20"/>
          <w:szCs w:val="20"/>
          <w:color w:val="auto"/>
        </w:rPr>
      </w:pPr>
    </w:p>
    <w:p>
      <w:pPr>
        <w:ind w:left="120" w:right="240" w:firstLine="881"/>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71" w:lineRule="auto"/>
        <w:rPr>
          <w:sz w:val="20"/>
          <w:szCs w:val="20"/>
          <w:color w:val="auto"/>
        </w:rPr>
      </w:pPr>
      <w:r>
        <w:rPr>
          <w:rFonts w:ascii="Arial" w:cs="Arial" w:eastAsia="Arial" w:hAnsi="Arial"/>
          <w:sz w:val="17"/>
          <w:szCs w:val="17"/>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w:t>
      </w:r>
    </w:p>
    <w:p>
      <w:pPr>
        <w:spacing w:after="0" w:line="178"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Biologics are subject to pervasive and continuing regulation by the FDA, including, among other things, requirements relating to record-keeping, reporting of adverse experiences, periodic reporting, product sampling and distribution, and complying with advertising and promotion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Promotional materials for approved biologics must be submitted to the FDA in conjunction with their first use or first publication.</w:t>
      </w:r>
    </w:p>
    <w:p>
      <w:pPr>
        <w:spacing w:after="0" w:line="178"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After approval, most changes to the approved product, such as adding new indications or other labeling claims, are subject to prior FDA review and approval. There also are continuing, annual program fees for any marketed products.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92"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203" w:lineRule="exact"/>
        <w:rPr>
          <w:sz w:val="20"/>
          <w:szCs w:val="20"/>
          <w:color w:val="auto"/>
        </w:rPr>
      </w:pPr>
    </w:p>
    <w:p>
      <w:pPr>
        <w:ind w:left="5480" w:right="80" w:hanging="4379"/>
        <w:spacing w:after="0" w:line="449" w:lineRule="auto"/>
        <w:tabs>
          <w:tab w:leader="none" w:pos="1416"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 132</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 w:hanging="319"/>
        <w:spacing w:after="0" w:line="277" w:lineRule="auto"/>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safety alerts, Dear Healthcare Provider letters, press releases or other communications containing warnings or other safety information about the product;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252"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and the imposition of civil or criminal penalties.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United States Biosimilars and Exclusivity</w:t>
      </w:r>
    </w:p>
    <w:p>
      <w:pPr>
        <w:spacing w:after="0" w:line="225" w:lineRule="exact"/>
        <w:rPr>
          <w:sz w:val="20"/>
          <w:szCs w:val="20"/>
          <w:color w:val="auto"/>
        </w:rPr>
      </w:pPr>
    </w:p>
    <w:p>
      <w:pPr>
        <w:ind w:left="120" w:right="140"/>
        <w:spacing w:after="0" w:line="289"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of 2010, or collectively, the ACA,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 in the United States.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6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Under the BPCIA, a reference biological product is granted 12 years of data exclusivity from the time of first licensure of the product, and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8"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BPCIA is complex and continues to be interpreted and implemented by the FDA. In addition, government proposals have sought to reduce the 12-year reference product exclusivity period. Other aspects of the Patient Protection and Affordable Care Act, some of which may impact the BPCIA exclusivity provisions, have also been the subject of recent litigation. As a result, the ultimate impact, implementation, and regulatory interpretation of the BPCIA remain subject to significant uncertainty.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Healthcare Laws</w:t>
      </w:r>
    </w:p>
    <w:p>
      <w:pPr>
        <w:spacing w:after="0" w:line="225"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approval. Such laws include, without limitation, federal and state anti-kickback, fraud and abuse, false claims, data privacy and security and physician and other health care provider transparency laws and regulations. If our significant operations are found to be in violation of any of such laws or any other governmental regulations that apply, they may be subject to penalties, including, without limitation, significant administrative, civil and criminal penalties, damages, fines, disgorgement, the curtailment or restructuring of operations, integrity oversight and reporting obligations, exclusion from participation in federal and state healthcare programs and imprisonment.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Coverage and Reimbursement</w:t>
      </w:r>
    </w:p>
    <w:p>
      <w:pPr>
        <w:spacing w:after="0" w:line="225"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reimbursements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Healthcare Reform</w:t>
      </w:r>
    </w:p>
    <w:p>
      <w:pPr>
        <w:spacing w:after="0" w:line="225"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each as amended, collectively known as the ACA, was enacted, which substantially changed the way healthcare is financed by both governmental and private insurers, and significantly affected the pharmaceutical industry. The ACA contains a number of provisions, including those governing enrollment in federal healthcare programs, reimbursement adjustments and changes to fraud and abuse laws. For example, the ACA:</w:t>
      </w:r>
    </w:p>
    <w:p>
      <w:pPr>
        <w:spacing w:after="0" w:line="184" w:lineRule="exact"/>
        <w:rPr>
          <w:sz w:val="20"/>
          <w:szCs w:val="20"/>
          <w:color w:val="auto"/>
        </w:rPr>
      </w:pPr>
    </w:p>
    <w:p>
      <w:pPr>
        <w:ind w:left="1420" w:right="20" w:hanging="319"/>
        <w:spacing w:after="0" w:line="277"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increased the minimum level of Medicaid rebates payable by manufacturers of brand name drugs from 15.1% to 23.1% of the average manufacturer price;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required collection of rebates for drugs paid by Medicaid managed care organizations;</w:t>
      </w:r>
    </w:p>
    <w:p>
      <w:pPr>
        <w:spacing w:after="0" w:line="252"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required manufacturers to participate in a coverage gap discount program, under which they must agree to offer 70 percent point-of-sale discounts off negotiated prices of applicable brand drugs to eligible beneficiaries during their coverage gap period, as a condition for the manufacturer’s outpatient drugs to be covered under Medicare Part D; and</w:t>
      </w:r>
    </w:p>
    <w:p>
      <w:pPr>
        <w:spacing w:after="0" w:line="210"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imposed a non-deductible annual fee on pharmaceutical manufacturers or importers who sell “branded prescription drugs” to specified federal government programs.</w:t>
      </w:r>
    </w:p>
    <w:p>
      <w:pPr>
        <w:spacing w:after="0" w:line="170"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For example,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on March 2, 2020 the United States Supreme Court granted the petitions for writs of certiorari to review the U.S. Court of Appeals for the 5th Circuit ruling that the individual mandate was unconstitutional and to determine the constitutionality of the ACA in its entirety. It is uncertain when the Supreme Court will rule on this case. Other legislative changes have been proposed and adopted since the ACA was enacted, including aggregate reductions of Medicare payments to providers of 2% per year, which was temporarily suspended from May 1, 2020 through March 31, 2021 due to the COVID-19 pandemic, and reduced payments to several types of Medicare providers. Legislation is currently pending in Congress that would further extend the suspension through December 31, 2021. Moreover, there has recently been heightened governmental scrutiny over the manner in which manufacturers set prices for their marketed products, which has resulted in several Congressional inquiries, proposed and enacted legislation and executive orders issued by the prior presidential administration designed to, among other things, bring more transparency to product pricing, review the relationship between pricing and manufacturer patient programs, and reform government program reimbursement methodologies for drug products. It is also possible that additional governmental action is taken in response to the COVID-19 pandemic.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human capital objectives include, as applicable, identifying, recruiting, retaining, incentivizing and integrating our existing and new employees, advisors and consultants. The principal purposes of our equity incentive plans are to attract, retain and reward personnel through the granting of stock-based compensation awards.</w:t>
      </w:r>
    </w:p>
    <w:p>
      <w:pPr>
        <w:spacing w:after="0" w:line="184"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As of March 31, 2021, we had seven employees, including five in research and development and two in general and administrative functions. We also utilize eight consultants, six in various roles related to research and development and two in general and administrative functions. We believe our employee relations are good.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corporate headquarters are currently located in Charlottesville, Virginia, where we lease 950 square feet of office space pursuant to a lease agreement that expires in August 2021. We also lease 8,573 square feet of office space in Carmel, IN pursuant to a lease agreement that expires in August 2023. We believe that these facilities will be adequate for our near-term needs. If required, we believe that suitable additional or alternative space would be available in the future on commercially reasonable terms.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provides information regarding our current executive officers and directors, including their ages as of June 1, 2021:</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34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00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Position(s)</w:t>
            </w:r>
          </w:p>
        </w:tc>
        <w:tc>
          <w:tcPr>
            <w:tcW w:w="620" w:type="dxa"/>
            <w:vAlign w:val="bottom"/>
          </w:tcPr>
          <w:p>
            <w:pPr>
              <w:spacing w:after="0"/>
              <w:rPr>
                <w:sz w:val="14"/>
                <w:szCs w:val="14"/>
                <w:color w:val="auto"/>
              </w:rPr>
            </w:pPr>
          </w:p>
        </w:tc>
      </w:tr>
      <w:tr>
        <w:trPr>
          <w:trHeight w:val="195"/>
        </w:trPr>
        <w:tc>
          <w:tcPr>
            <w:tcW w:w="47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Executive Officers</w:t>
            </w:r>
          </w:p>
        </w:tc>
        <w:tc>
          <w:tcPr>
            <w:tcW w:w="2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Daniel O’Connell.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280" w:type="dxa"/>
            <w:vAlign w:val="bottom"/>
            <w:gridSpan w:val="3"/>
          </w:tcPr>
          <w:p>
            <w:pPr>
              <w:ind w:left="600"/>
              <w:spacing w:after="0"/>
              <w:rPr>
                <w:sz w:val="20"/>
                <w:szCs w:val="20"/>
                <w:color w:val="auto"/>
              </w:rPr>
            </w:pPr>
            <w:r>
              <w:rPr>
                <w:rFonts w:ascii="Arial" w:cs="Arial" w:eastAsia="Arial" w:hAnsi="Arial"/>
                <w:sz w:val="18"/>
                <w:szCs w:val="18"/>
                <w:color w:val="auto"/>
                <w:w w:val="90"/>
              </w:rPr>
              <w:t>President and Chief Executive Officer and Director</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Matthew Zuga</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4280" w:type="dxa"/>
            <w:vAlign w:val="bottom"/>
            <w:gridSpan w:val="3"/>
          </w:tcPr>
          <w:p>
            <w:pPr>
              <w:ind w:left="600"/>
              <w:spacing w:after="0"/>
              <w:rPr>
                <w:sz w:val="20"/>
                <w:szCs w:val="20"/>
                <w:color w:val="auto"/>
              </w:rPr>
            </w:pPr>
            <w:r>
              <w:rPr>
                <w:rFonts w:ascii="Arial" w:cs="Arial" w:eastAsia="Arial" w:hAnsi="Arial"/>
                <w:sz w:val="18"/>
                <w:szCs w:val="18"/>
                <w:color w:val="auto"/>
                <w:w w:val="92"/>
              </w:rPr>
              <w:t>Chief Financial Officer and Chief Business Officer</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Eric Siemers, M.D.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4280" w:type="dxa"/>
            <w:vAlign w:val="bottom"/>
            <w:gridSpan w:val="3"/>
          </w:tcPr>
          <w:p>
            <w:pPr>
              <w:ind w:left="600"/>
              <w:spacing w:after="0"/>
              <w:rPr>
                <w:sz w:val="20"/>
                <w:szCs w:val="20"/>
                <w:color w:val="auto"/>
              </w:rPr>
            </w:pPr>
            <w:r>
              <w:rPr>
                <w:rFonts w:ascii="Arial" w:cs="Arial" w:eastAsia="Arial" w:hAnsi="Arial"/>
                <w:sz w:val="18"/>
                <w:szCs w:val="18"/>
                <w:color w:val="auto"/>
              </w:rPr>
              <w:t>Chief Medical Officer</w:t>
            </w:r>
          </w:p>
        </w:tc>
      </w:tr>
      <w:tr>
        <w:trPr>
          <w:trHeight w:val="212"/>
        </w:trPr>
        <w:tc>
          <w:tcPr>
            <w:tcW w:w="4700" w:type="dxa"/>
            <w:vAlign w:val="bottom"/>
            <w:gridSpan w:val="2"/>
          </w:tcPr>
          <w:p>
            <w:pPr>
              <w:spacing w:after="0"/>
              <w:rPr>
                <w:sz w:val="20"/>
                <w:szCs w:val="20"/>
                <w:color w:val="auto"/>
              </w:rPr>
            </w:pPr>
            <w:r>
              <w:rPr>
                <w:rFonts w:ascii="Arial" w:cs="Arial" w:eastAsia="Arial" w:hAnsi="Arial"/>
                <w:sz w:val="18"/>
                <w:szCs w:val="18"/>
                <w:color w:val="auto"/>
              </w:rPr>
              <w:t>Russell Barton, M.S.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4280" w:type="dxa"/>
            <w:vAlign w:val="bottom"/>
            <w:gridSpan w:val="3"/>
          </w:tcPr>
          <w:p>
            <w:pPr>
              <w:ind w:left="600"/>
              <w:spacing w:after="0"/>
              <w:rPr>
                <w:sz w:val="20"/>
                <w:szCs w:val="20"/>
                <w:color w:val="auto"/>
              </w:rPr>
            </w:pPr>
            <w:r>
              <w:rPr>
                <w:rFonts w:ascii="Arial" w:cs="Arial" w:eastAsia="Arial" w:hAnsi="Arial"/>
                <w:sz w:val="18"/>
                <w:szCs w:val="18"/>
                <w:color w:val="auto"/>
              </w:rPr>
              <w:t>Chief Operating Officer</w:t>
            </w:r>
          </w:p>
        </w:tc>
      </w:tr>
      <w:tr>
        <w:trPr>
          <w:trHeight w:val="22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2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Jeffrey L. Ives, Ph.D.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428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Jeffrey Sevigny, M.D.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28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Sean Stalfort</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28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Laura Stoppel, Ph.D.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428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Stephen Zachary, Ph.D.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428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b w:val="1"/>
          <w:bCs w:val="1"/>
          <w:i w:val="1"/>
          <w:iCs w:val="1"/>
          <w:color w:val="auto"/>
        </w:rPr>
        <w:t xml:space="preserve">Daniel O’Connell </w:t>
      </w:r>
      <w:r>
        <w:rPr>
          <w:rFonts w:ascii="Arial" w:cs="Arial" w:eastAsia="Arial" w:hAnsi="Arial"/>
          <w:sz w:val="16"/>
          <w:szCs w:val="16"/>
          <w:color w:val="auto"/>
        </w:rPr>
        <w:t>Mr. O’Connell has served as our President and Chief Executive Officer since December 2014. Mr. O’Connell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co-founded and served as Chief Executive Officer of Functional NeuroModulation Ltd., or FNM, a clinical-stage company developing deep brain stimulation therapies for Alzheimer’s disease. Mr. O’Connell is a founding member and former managing partner of NeuroVentures Capital, LLC, a firm he helped to invest in emerging neurosciences companies. He earned a B.A. from Brown University and M.B.A. from the University of Virginia. Our board of directors believes Mr. O’Connell is qualified to serve as a director based on his experience in venture capital and in the neurosciences.</w:t>
      </w:r>
    </w:p>
    <w:p>
      <w:pPr>
        <w:spacing w:after="0" w:line="161"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b w:val="1"/>
          <w:bCs w:val="1"/>
          <w:i w:val="1"/>
          <w:iCs w:val="1"/>
          <w:color w:val="auto"/>
        </w:rPr>
        <w:t xml:space="preserve">Matthew Zuga </w:t>
      </w:r>
      <w:r>
        <w:rPr>
          <w:rFonts w:ascii="Arial" w:cs="Arial" w:eastAsia="Arial" w:hAnsi="Arial"/>
          <w:sz w:val="16"/>
          <w:szCs w:val="16"/>
          <w:color w:val="auto"/>
        </w:rPr>
        <w:t>Mr. Zuga has served as our Chief Financial Officer and Chief Business Officer since May 2021. Mr. Zuga also serves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HighCape Capital Acquisition Corp.’s Chief Financial Officer and Chief Operating Officer and a member of HighCape’s board of directors, roles he has held since June 2020. Since October 2013, Mr. Zuga has been a partner of HighCape Capital, LLC. From July 2019 through April 2021, Mr. Zuga was an advisor to Acumen. Mr. Zuga is currently on the board of directors of Aziyo Biologics, Inc. Mr. Zuga received an M.B.A. from the Kenan-Flagler Business School at the University of North Carolina at Chapel Hill and a B.S. in Business Administration/Finance from Ohio State University.</w:t>
      </w:r>
    </w:p>
    <w:p>
      <w:pPr>
        <w:spacing w:after="0" w:line="161"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b w:val="1"/>
          <w:bCs w:val="1"/>
          <w:i w:val="1"/>
          <w:iCs w:val="1"/>
          <w:color w:val="auto"/>
        </w:rPr>
        <w:t xml:space="preserve">Eric Siemers, M.D. </w:t>
      </w:r>
      <w:r>
        <w:rPr>
          <w:rFonts w:ascii="Arial" w:cs="Arial" w:eastAsia="Arial" w:hAnsi="Arial"/>
          <w:sz w:val="17"/>
          <w:szCs w:val="17"/>
          <w:color w:val="auto"/>
        </w:rPr>
        <w:t>Dr. Siemers has served as our Chief Medical Officer since June 2018, prior to which, in April 2018, he began consulting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us. Prior to joining us, from November 1998 to December 2017, he served in various roles for Eli Lilly and Company, including most recently as Distinguished Medical Fellow, from October 2014 to December 2017, and was responsible for several clinical trials for Alzheimer’s disease compounds, including five Phase 3 studies as well as Phase 1 and 2 studies. Prior to Eli Lilly, Dr. Siemers founded the Indiana University Movement Disorder Clinic, where his research included Parkinson’s and Huntington’s disease. Dr. Siemers served on the NIA/Alzheimer’s Association working group that proposed new research nomenclature for Alzheimer’s disease utilizing biomarkers and clinical symptoms. He was a founding member of the Alzheimer’s Association Research Roundtable and is on the steering committee for the Alzheimer’s Disease Neuroimaging Initiative. Dr. Siemers earned his M.D. from the Indiana University School of Medicine with Highest Distinction.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b w:val="1"/>
          <w:bCs w:val="1"/>
          <w:i w:val="1"/>
          <w:iCs w:val="1"/>
          <w:color w:val="auto"/>
        </w:rPr>
        <w:t xml:space="preserve">Russell Barton, M.S. </w:t>
      </w:r>
      <w:r>
        <w:rPr>
          <w:rFonts w:ascii="Arial" w:cs="Arial" w:eastAsia="Arial" w:hAnsi="Arial"/>
          <w:sz w:val="18"/>
          <w:szCs w:val="18"/>
          <w:color w:val="auto"/>
        </w:rPr>
        <w:t>Mr. Barton has served as our Chief Operating Officer since April 2019. Mr. Barton also serves as Director of Clinical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at AgeneBio, a role he has held since October 2018. From 1979 to 2017, he served in various roles for Eli Lilly and Company, including as Chief Operating Officer of the company’s Global Alzheimer’s Disease Platform Team for 10 years from 2007 to 2017. Mr. Barton was an active participant in the design and startup of the Global Alzheimer’s Platform, which was developed through a collaboration between the Global Chief Executive Officer initiative on Alzheimer’s disease and the New York Academy of Sciences. Mr. Barton received a B.S. in chemistry from Illinois State University and a M.S. in chemistry from Purdue University.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b w:val="1"/>
          <w:bCs w:val="1"/>
          <w:i w:val="1"/>
          <w:iCs w:val="1"/>
          <w:color w:val="auto"/>
        </w:rPr>
        <w:t xml:space="preserve">Jeffrey L. Ives, Ph.D. </w:t>
      </w:r>
      <w:r>
        <w:rPr>
          <w:rFonts w:ascii="Arial" w:cs="Arial" w:eastAsia="Arial" w:hAnsi="Arial"/>
          <w:sz w:val="18"/>
          <w:szCs w:val="18"/>
          <w:color w:val="auto"/>
        </w:rPr>
        <w:t>Dr. Ives has served as a member of our board of directors since May 2014. Dr. Ives has served as a director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Cara Therapeutics since 2014. He currently also serves on the boards of several neurodegenerative disease companies including Pinteon Therapeutics, Orthogonal Neuroscience, and Astrocyte Pharmaceuticals. From 2008 until 2013, Dr. Ives served as the Chief Executive Officer of Satori Pharmaceuticals, Inc., a company focused on Alzheimer’s disease. Prior to Satori, he served as senior vice president at Pfizer, leading the neurodegenerative diseases, psychiatry and pain research areas. Dr. Ives received his doctorate and master’s degrees from Yale University and received his B.A. from Colgate University. Our board of directors believes Dr. Ives is qualified to serve as a director based on experience in neurodegenerative diseases, particularly AD.</w:t>
      </w:r>
    </w:p>
    <w:p>
      <w:pPr>
        <w:spacing w:after="0" w:line="195" w:lineRule="exact"/>
        <w:rPr>
          <w:sz w:val="20"/>
          <w:szCs w:val="20"/>
          <w:color w:val="auto"/>
        </w:rPr>
      </w:pPr>
    </w:p>
    <w:p>
      <w:pPr>
        <w:ind w:left="120" w:right="40" w:firstLine="881"/>
        <w:spacing w:after="0" w:line="285" w:lineRule="auto"/>
        <w:rPr>
          <w:sz w:val="20"/>
          <w:szCs w:val="20"/>
          <w:color w:val="auto"/>
        </w:rPr>
      </w:pPr>
      <w:r>
        <w:rPr>
          <w:rFonts w:ascii="Arial" w:cs="Arial" w:eastAsia="Arial" w:hAnsi="Arial"/>
          <w:sz w:val="16"/>
          <w:szCs w:val="16"/>
          <w:b w:val="1"/>
          <w:bCs w:val="1"/>
          <w:i w:val="1"/>
          <w:iCs w:val="1"/>
          <w:color w:val="auto"/>
        </w:rPr>
        <w:t xml:space="preserve">Jeffrey Sevigny, M.D. </w:t>
      </w:r>
      <w:r>
        <w:rPr>
          <w:rFonts w:ascii="Arial" w:cs="Arial" w:eastAsia="Arial" w:hAnsi="Arial"/>
          <w:sz w:val="16"/>
          <w:szCs w:val="16"/>
          <w:color w:val="auto"/>
        </w:rPr>
        <w:t>Dr. Sevigny has served as a member of our board of directors since July 2019. Dr. Sevigny is the Chief Medical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Prevail Therapeutics, where he has served in such capacity since March 2018. Prior to his tenure at Prevail, he served as Vice President and Global Head of Translational Medicine Neuroscience at Roche from January 2016 to March 2018. Prior to Roche, he was Senior Director of Clinical Development at Biogen Inc., a multinational biotechnology company, from September 2010 to January 2016. Previously, he served as Principal Medical Scientific Expert of Neuroscience at Novartis AG, a multinational pharmaceutical company, and as Associate Director of Neuroscience at Merck.</w:t>
      </w:r>
    </w:p>
    <w:p>
      <w:pPr>
        <w:spacing w:after="0" w:line="2"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Dr. Sevigny has also held academic appointments as Assistant Professor of Neurology at Albert Einstein School of Medicine and Assistant Professor of Clinical Neurology at Columbia University College of Physicians and Surgeons. Dr. Sevigny received an M.D. from Tufts University School of Medicine and an A.B. in biochemistry from Bowdoin College. He completed a neurology residency at the Neurological Institute of New York at Columbia University Medical Center and a fellowship in Aging &amp; Dementia and Neuro Epidemiology at Sergievsky Center at Columbia University and Columbia University Mailman School of Public Health. Our board of directors believes Dr. Sevigny is qualified to serve as a director based on his over 15 years of experience in neurology, and specifically neurodegenerative disorders.</w:t>
      </w:r>
    </w:p>
    <w:p>
      <w:pPr>
        <w:spacing w:after="0" w:line="178"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b w:val="1"/>
          <w:bCs w:val="1"/>
          <w:i w:val="1"/>
          <w:iCs w:val="1"/>
          <w:color w:val="auto"/>
        </w:rPr>
        <w:t xml:space="preserve">Sean Stalfort </w:t>
      </w:r>
      <w:r>
        <w:rPr>
          <w:rFonts w:ascii="Arial" w:cs="Arial" w:eastAsia="Arial" w:hAnsi="Arial"/>
          <w:sz w:val="16"/>
          <w:szCs w:val="16"/>
          <w:color w:val="auto"/>
        </w:rPr>
        <w:t>Mr. Stalfort has served as a member of our board of directors since October 2018. Mr. Stalfort is President of PBM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Group, LLC, a private equity and venture capital investment firm in the business of investing in healthcare and life-science related companies, and has worked at PBM Capital since 2010. Mr. Stalfort is a director of Verrica Pharmaceuticals, Inc., a biopharmaceutical company, and he previously served as a director of Dova Pharmaceuticals, Inc., a biopharmaceutical company. Prior to joining PBM Capital, he was the executive vice president for new business development/M&amp;A for PBM Products. Mr. Stalfort is also a founding partner of Octagon Partners and Octagon Finance, historic tax credit real estate companies. Mr. Stalfort received a B.A. in business economics and political science from Brown University. Our board of directors believes Mr. Stalfort is qualified to serve as a director based on his experience in venture capital, particularly related to healthcare.</w:t>
      </w:r>
    </w:p>
    <w:p>
      <w:pPr>
        <w:spacing w:after="0" w:line="166"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b w:val="1"/>
          <w:bCs w:val="1"/>
          <w:i w:val="1"/>
          <w:iCs w:val="1"/>
          <w:color w:val="auto"/>
        </w:rPr>
        <w:t xml:space="preserve">Laura Stoppel, Ph.D. </w:t>
      </w:r>
      <w:r>
        <w:rPr>
          <w:rFonts w:ascii="Arial" w:cs="Arial" w:eastAsia="Arial" w:hAnsi="Arial"/>
          <w:sz w:val="18"/>
          <w:szCs w:val="18"/>
          <w:color w:val="auto"/>
        </w:rPr>
        <w:t>Dr. Stoppel has served as a member of our board of directors since November 2020. Dr. Stoppel currently serves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 on the Investment Team at RA Capital Management and has previously served in various roles at RA Capital since 2016. Dr. Stoppel serves on the board of directors for Artiva Biotherapeutics and Nimbus Therapeutics. Dr. Stoppel holds a B.A. in Biology and Psychology from Harvard University, and a Ph.D. in Neuroscience from MIT. Our board of directors believes Dr. Stoppel is qualified to serve as a director based on her experience in venture capital and the neurosciences.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b w:val="1"/>
          <w:bCs w:val="1"/>
          <w:i w:val="1"/>
          <w:iCs w:val="1"/>
          <w:color w:val="auto"/>
        </w:rPr>
        <w:t xml:space="preserve">Stephen Zachary, Ph.D. </w:t>
      </w:r>
      <w:r>
        <w:rPr>
          <w:rFonts w:ascii="Arial" w:cs="Arial" w:eastAsia="Arial" w:hAnsi="Arial"/>
          <w:sz w:val="18"/>
          <w:szCs w:val="18"/>
          <w:color w:val="auto"/>
        </w:rPr>
        <w:t>Dr. Zachary has served as a member of our board since October 2018. Dr. Zachary has served as a Partner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Manager at Sands Capital since 2016 and serves on the boards of directors of DiCE Molecules, Selux Diagnostics, and Day Zero Diagnostics. Dr. Zachary received his Ph.D. in Neuroscience from Johns Hopkins School of Medicine, and received a B.A. in Philosophy from Washington &amp; Lee University. He is a member of the Kauffman Fellowship (Class 23). Our board of directors believes Dr. Zachary is qualified to serve as a director based on his experience in venture capital and the neurosciences.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Our business and affairs are managed under the direction of our board of directors, which currently consists of six members. Our directors were elected to, and currently serve on, the board pursuant to a voting agreement among us and certain of our stockholders and voting rights granted by our current amended and restated certificate of incorporation. The voting agreement will terminate upon the closing of this offering, after which there will be no further contractual obligations regarding the election of our directors.</w:t>
      </w:r>
    </w:p>
    <w:p>
      <w:pPr>
        <w:spacing w:after="0" w:line="17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accordance with our amended and restated certificate of incorporation that will be in effect upon the closing of this offering, our board of directors will be divided into three classes, each of which will consist, as nearly as possible, of one-third of the total number of directors constituting our entire board and which will serve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215"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Class I, which will consist of</w:t>
            </w:r>
          </w:p>
        </w:tc>
        <w:tc>
          <w:tcPr>
            <w:tcW w:w="740" w:type="dxa"/>
            <w:vAlign w:val="bottom"/>
          </w:tcPr>
          <w:p>
            <w:pPr>
              <w:ind w:left="160"/>
              <w:spacing w:after="0"/>
              <w:rPr>
                <w:sz w:val="20"/>
                <w:szCs w:val="20"/>
                <w:color w:val="auto"/>
              </w:rPr>
            </w:pPr>
            <w:r>
              <w:rPr>
                <w:rFonts w:ascii="Arial" w:cs="Arial" w:eastAsia="Arial" w:hAnsi="Arial"/>
                <w:sz w:val="18"/>
                <w:szCs w:val="18"/>
                <w:color w:val="auto"/>
              </w:rPr>
              <w:t>and</w:t>
            </w:r>
          </w:p>
        </w:tc>
        <w:tc>
          <w:tcPr>
            <w:tcW w:w="6420" w:type="dxa"/>
            <w:vAlign w:val="bottom"/>
          </w:tcPr>
          <w:p>
            <w:pPr>
              <w:jc w:val="center"/>
              <w:ind w:left="130"/>
              <w:spacing w:after="0"/>
              <w:rPr>
                <w:sz w:val="20"/>
                <w:szCs w:val="20"/>
                <w:color w:val="auto"/>
              </w:rPr>
            </w:pPr>
            <w:r>
              <w:rPr>
                <w:rFonts w:ascii="Arial" w:cs="Arial" w:eastAsia="Arial" w:hAnsi="Arial"/>
                <w:sz w:val="18"/>
                <w:szCs w:val="18"/>
                <w:color w:val="auto"/>
                <w:w w:val="91"/>
              </w:rPr>
              <w:t>, and their terms will expire at our first annual meeting of stockholders to be held after</w:t>
            </w:r>
          </w:p>
        </w:tc>
      </w:tr>
      <w:tr>
        <w:trPr>
          <w:trHeight w:val="230"/>
        </w:trPr>
        <w:tc>
          <w:tcPr>
            <w:tcW w:w="200" w:type="dxa"/>
            <w:vAlign w:val="bottom"/>
          </w:tcPr>
          <w:p>
            <w:pPr>
              <w:spacing w:after="0"/>
              <w:rPr>
                <w:sz w:val="20"/>
                <w:szCs w:val="20"/>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auto"/>
              </w:rPr>
              <w:t>the closing of this offering;</w:t>
            </w:r>
          </w:p>
        </w:tc>
        <w:tc>
          <w:tcPr>
            <w:tcW w:w="740" w:type="dxa"/>
            <w:vAlign w:val="bottom"/>
          </w:tcPr>
          <w:p>
            <w:pPr>
              <w:spacing w:after="0"/>
              <w:rPr>
                <w:sz w:val="20"/>
                <w:szCs w:val="20"/>
                <w:color w:val="auto"/>
              </w:rPr>
            </w:pPr>
          </w:p>
        </w:tc>
        <w:tc>
          <w:tcPr>
            <w:tcW w:w="6420" w:type="dxa"/>
            <w:vAlign w:val="bottom"/>
          </w:tcPr>
          <w:p>
            <w:pPr>
              <w:spacing w:after="0"/>
              <w:rPr>
                <w:sz w:val="20"/>
                <w:szCs w:val="20"/>
                <w:color w:val="auto"/>
              </w:rPr>
            </w:pPr>
          </w:p>
        </w:tc>
      </w:tr>
      <w:tr>
        <w:trPr>
          <w:trHeight w:val="44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Class II, which will consist of</w:t>
            </w:r>
          </w:p>
        </w:tc>
        <w:tc>
          <w:tcPr>
            <w:tcW w:w="740" w:type="dxa"/>
            <w:vAlign w:val="bottom"/>
          </w:tcPr>
          <w:p>
            <w:pPr>
              <w:ind w:left="220"/>
              <w:spacing w:after="0"/>
              <w:rPr>
                <w:sz w:val="20"/>
                <w:szCs w:val="20"/>
                <w:color w:val="auto"/>
              </w:rPr>
            </w:pPr>
            <w:r>
              <w:rPr>
                <w:rFonts w:ascii="Arial" w:cs="Arial" w:eastAsia="Arial" w:hAnsi="Arial"/>
                <w:sz w:val="18"/>
                <w:szCs w:val="18"/>
                <w:color w:val="auto"/>
              </w:rPr>
              <w:t>and</w:t>
            </w:r>
          </w:p>
        </w:tc>
        <w:tc>
          <w:tcPr>
            <w:tcW w:w="6420" w:type="dxa"/>
            <w:vAlign w:val="bottom"/>
          </w:tcPr>
          <w:p>
            <w:pPr>
              <w:jc w:val="center"/>
              <w:ind w:left="90"/>
              <w:spacing w:after="0"/>
              <w:rPr>
                <w:sz w:val="20"/>
                <w:szCs w:val="20"/>
                <w:color w:val="auto"/>
              </w:rPr>
            </w:pPr>
            <w:r>
              <w:rPr>
                <w:rFonts w:ascii="Arial" w:cs="Arial" w:eastAsia="Arial" w:hAnsi="Arial"/>
                <w:sz w:val="18"/>
                <w:szCs w:val="18"/>
                <w:color w:val="auto"/>
                <w:w w:val="90"/>
              </w:rPr>
              <w:t>, and their terms will expire at our second annual meeting of stockholders to be held</w:t>
            </w:r>
          </w:p>
        </w:tc>
      </w:tr>
      <w:tr>
        <w:trPr>
          <w:trHeight w:val="230"/>
        </w:trPr>
        <w:tc>
          <w:tcPr>
            <w:tcW w:w="200" w:type="dxa"/>
            <w:vAlign w:val="bottom"/>
          </w:tcPr>
          <w:p>
            <w:pPr>
              <w:spacing w:after="0"/>
              <w:rPr>
                <w:sz w:val="20"/>
                <w:szCs w:val="20"/>
                <w:color w:val="auto"/>
              </w:rPr>
            </w:pPr>
          </w:p>
        </w:tc>
        <w:tc>
          <w:tcPr>
            <w:tcW w:w="3340" w:type="dxa"/>
            <w:vAlign w:val="bottom"/>
            <w:gridSpan w:val="2"/>
          </w:tcPr>
          <w:p>
            <w:pPr>
              <w:ind w:left="120"/>
              <w:spacing w:after="0"/>
              <w:rPr>
                <w:sz w:val="20"/>
                <w:szCs w:val="20"/>
                <w:color w:val="auto"/>
              </w:rPr>
            </w:pPr>
            <w:r>
              <w:rPr>
                <w:rFonts w:ascii="Arial" w:cs="Arial" w:eastAsia="Arial" w:hAnsi="Arial"/>
                <w:sz w:val="18"/>
                <w:szCs w:val="18"/>
                <w:color w:val="auto"/>
              </w:rPr>
              <w:t>after the closing of this offering; and</w:t>
            </w:r>
          </w:p>
        </w:tc>
        <w:tc>
          <w:tcPr>
            <w:tcW w:w="6420" w:type="dxa"/>
            <w:vAlign w:val="bottom"/>
          </w:tcPr>
          <w:p>
            <w:pPr>
              <w:spacing w:after="0"/>
              <w:rPr>
                <w:sz w:val="20"/>
                <w:szCs w:val="20"/>
                <w:color w:val="auto"/>
              </w:rPr>
            </w:pPr>
          </w:p>
        </w:tc>
      </w:tr>
      <w:tr>
        <w:trPr>
          <w:trHeight w:val="44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Class III, which will consist of</w:t>
            </w:r>
          </w:p>
        </w:tc>
        <w:tc>
          <w:tcPr>
            <w:tcW w:w="740" w:type="dxa"/>
            <w:vAlign w:val="bottom"/>
          </w:tcPr>
          <w:p>
            <w:pPr>
              <w:ind w:left="280"/>
              <w:spacing w:after="0"/>
              <w:rPr>
                <w:sz w:val="20"/>
                <w:szCs w:val="20"/>
                <w:color w:val="auto"/>
              </w:rPr>
            </w:pPr>
            <w:r>
              <w:rPr>
                <w:rFonts w:ascii="Arial" w:cs="Arial" w:eastAsia="Arial" w:hAnsi="Arial"/>
                <w:sz w:val="18"/>
                <w:szCs w:val="18"/>
                <w:color w:val="auto"/>
              </w:rPr>
              <w:t>and</w:t>
            </w:r>
          </w:p>
        </w:tc>
        <w:tc>
          <w:tcPr>
            <w:tcW w:w="6420" w:type="dxa"/>
            <w:vAlign w:val="bottom"/>
          </w:tcPr>
          <w:p>
            <w:pPr>
              <w:ind w:left="340"/>
              <w:spacing w:after="0"/>
              <w:rPr>
                <w:sz w:val="20"/>
                <w:szCs w:val="20"/>
                <w:color w:val="auto"/>
              </w:rPr>
            </w:pPr>
            <w:r>
              <w:rPr>
                <w:rFonts w:ascii="Arial" w:cs="Arial" w:eastAsia="Arial" w:hAnsi="Arial"/>
                <w:sz w:val="18"/>
                <w:szCs w:val="18"/>
                <w:color w:val="auto"/>
                <w:w w:val="94"/>
              </w:rPr>
              <w:t>, and their terms will expire at our third annual meeting of stockholders to be held</w:t>
            </w:r>
          </w:p>
        </w:tc>
      </w:tr>
      <w:tr>
        <w:trPr>
          <w:trHeight w:val="230"/>
        </w:trPr>
        <w:tc>
          <w:tcPr>
            <w:tcW w:w="200" w:type="dxa"/>
            <w:vAlign w:val="bottom"/>
          </w:tcPr>
          <w:p>
            <w:pPr>
              <w:spacing w:after="0"/>
              <w:rPr>
                <w:sz w:val="20"/>
                <w:szCs w:val="20"/>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auto"/>
                <w:w w:val="98"/>
              </w:rPr>
              <w:t>after the closing of this offering.</w:t>
            </w:r>
          </w:p>
        </w:tc>
        <w:tc>
          <w:tcPr>
            <w:tcW w:w="740" w:type="dxa"/>
            <w:vAlign w:val="bottom"/>
          </w:tcPr>
          <w:p>
            <w:pPr>
              <w:spacing w:after="0"/>
              <w:rPr>
                <w:sz w:val="20"/>
                <w:szCs w:val="20"/>
                <w:color w:val="auto"/>
              </w:rPr>
            </w:pPr>
          </w:p>
        </w:tc>
        <w:tc>
          <w:tcPr>
            <w:tcW w:w="6420" w:type="dxa"/>
            <w:vAlign w:val="bottom"/>
          </w:tcPr>
          <w:p>
            <w:pPr>
              <w:spacing w:after="0"/>
              <w:rPr>
                <w:sz w:val="20"/>
                <w:szCs w:val="20"/>
                <w:color w:val="auto"/>
              </w:rPr>
            </w:pPr>
          </w:p>
        </w:tc>
      </w:tr>
    </w:tbl>
    <w:p>
      <w:pPr>
        <w:spacing w:after="0" w:line="202"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Our amended and restated bylaws, which will become effective upon the closing of this offering, will provide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of control.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120" w:right="100" w:firstLine="881"/>
        <w:spacing w:after="0" w:line="290" w:lineRule="auto"/>
        <w:rPr>
          <w:sz w:val="20"/>
          <w:szCs w:val="20"/>
          <w:color w:val="auto"/>
        </w:rPr>
      </w:pPr>
      <w:r>
        <w:rPr>
          <w:rFonts w:ascii="Arial" w:cs="Arial" w:eastAsia="Arial" w:hAnsi="Arial"/>
          <w:sz w:val="16"/>
          <w:szCs w:val="16"/>
          <w:color w:val="auto"/>
        </w:rPr>
        <w:t>Applicable Nasdaq rules, or the Nasdaq Listing Rules, require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of 1934, as amended, or the Exchange Act. The Nasdaq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16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Our board of directors has determined that all of our directors other than , representing of our directors, are “independent directors” as defined under applicable Nasdaq rules. In making such determination, our board of directors considered the current and prior relationships that each such director has with our company and all other facts and circumstances that our board of directors deemed relevant in determining his or her independence, including the beneficial ownership of our capital stock by each director and the transactions described in the section titled “Certain Relationships and Related Party Transactions.”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Following the completion of this offering, we intend for our audit committee to have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will also monitor compliance with legal and regulatory requirements.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board of directors has established an audit committee, compensation committee and a nominating and corporate governance committee, each of which operate pursuant to a committee charter. Our board of directors may establish other committees to facilitate the management of our business. The composition and functions of each committee are described below.</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20" w:right="120" w:firstLine="881"/>
        <w:spacing w:after="0" w:line="286" w:lineRule="auto"/>
        <w:rPr>
          <w:sz w:val="20"/>
          <w:szCs w:val="20"/>
          <w:color w:val="auto"/>
        </w:rPr>
      </w:pPr>
      <w:r>
        <w:rPr>
          <w:rFonts w:ascii="Arial" w:cs="Arial" w:eastAsia="Arial" w:hAnsi="Arial"/>
          <w:sz w:val="16"/>
          <w:szCs w:val="16"/>
          <w:color w:val="auto"/>
        </w:rPr>
        <w:t>Upon the completion of this offering, our audit committee will consist of , and , with serving as chair of the audit committee. Our board of directors has determined that each of these individuals meets the independence requirements of Rule 10A-3 under the Securities Exchange Act of 1934, or the Exchange Act, and the applicable listing standards of Nasdaq. Each member of our audit committee can read and understand fundamental financial statements in accordance with Nasdaq audit committee requirements. Our board of directors has also determined</w:t>
      </w:r>
    </w:p>
    <w:p>
      <w:pPr>
        <w:spacing w:after="0" w:line="1"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that qualifies as an audit committee financial expert within the meaning of SEC regulations and meets the financial sophistication requirements of the Nasdaq Listing Rules. In arriving at these determinations, the board has examined each audit committee member’s scope of experience and the nature of their prior and/or current employment.</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252" w:lineRule="exact"/>
        <w:rPr>
          <w:sz w:val="20"/>
          <w:szCs w:val="20"/>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252"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252" w:lineRule="exact"/>
        <w:rPr>
          <w:rFonts w:ascii="Arial" w:cs="Arial" w:eastAsia="Arial" w:hAnsi="Arial"/>
          <w:sz w:val="18"/>
          <w:szCs w:val="18"/>
          <w:color w:val="auto"/>
        </w:rPr>
      </w:pPr>
    </w:p>
    <w:p>
      <w:pPr>
        <w:ind w:left="1420" w:right="260" w:hanging="319"/>
        <w:spacing w:after="0" w:line="263" w:lineRule="auto"/>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300" w:hanging="319"/>
        <w:spacing w:after="0" w:line="277"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70" w:lineRule="exact"/>
        <w:rPr>
          <w:sz w:val="20"/>
          <w:szCs w:val="20"/>
          <w:color w:val="auto"/>
        </w:rPr>
      </w:pPr>
    </w:p>
    <w:p>
      <w:pPr>
        <w:ind w:left="120" w:right="660" w:firstLine="881"/>
        <w:spacing w:after="0" w:line="277" w:lineRule="auto"/>
        <w:rPr>
          <w:sz w:val="20"/>
          <w:szCs w:val="20"/>
          <w:color w:val="auto"/>
        </w:rPr>
      </w:pPr>
      <w:r>
        <w:rPr>
          <w:rFonts w:ascii="Arial" w:cs="Arial" w:eastAsia="Arial" w:hAnsi="Arial"/>
          <w:sz w:val="18"/>
          <w:szCs w:val="18"/>
          <w:color w:val="auto"/>
        </w:rPr>
        <w:t>We believe that the composition and functioning of our audit committee will comply with all applicable SEC and Nasdaq rules and regulations. We intend to comply with future requirements to the extent they become applicable to us.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Upon the completion of this offering, our compensation committee will consist of , and , with serving as chair of the compensation committee. Each of these individuals is a non-employee director, as defined in Rule 16b-3 promulgated under the Exchange Act. Our board of directors has determined that each of these individuals is ‘‘independent’’ as defined under the applicable listing standards of Nasdaq, including the standards specific to members of a compensation committee. The functions of this committee include, among other things:</w:t>
      </w:r>
    </w:p>
    <w:p>
      <w:pPr>
        <w:spacing w:after="0" w:line="198" w:lineRule="exact"/>
        <w:rPr>
          <w:sz w:val="20"/>
          <w:szCs w:val="20"/>
          <w:color w:val="auto"/>
        </w:rPr>
      </w:pPr>
    </w:p>
    <w:p>
      <w:pPr>
        <w:ind w:left="1420" w:hanging="319"/>
        <w:spacing w:after="0" w:line="277"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modifying and approving (or if it deems appropriate, making recommendations to the full board of directors regarding) our overall compensation strategy and policies;</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making recommendations to the full board of directors regarding the compensation and other terms of employment of our executive officers;</w:t>
      </w:r>
    </w:p>
    <w:p>
      <w:pPr>
        <w:spacing w:after="0" w:line="197" w:lineRule="exact"/>
        <w:rPr>
          <w:rFonts w:ascii="Arial" w:cs="Arial" w:eastAsia="Arial" w:hAnsi="Arial"/>
          <w:sz w:val="18"/>
          <w:szCs w:val="18"/>
          <w:color w:val="auto"/>
        </w:rPr>
      </w:pPr>
    </w:p>
    <w:p>
      <w:pPr>
        <w:ind w:left="1420" w:right="380" w:hanging="319"/>
        <w:spacing w:after="0" w:line="308" w:lineRule="auto"/>
        <w:tabs>
          <w:tab w:leader="none" w:pos="14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reviewing and making recommendations to the full board of directors regarding performance goals and objectives relevant to the compensation of our executive officers and assessing their performance against these goals and objectives;</w:t>
      </w:r>
    </w:p>
    <w:p>
      <w:pPr>
        <w:spacing w:after="0" w:line="173" w:lineRule="exact"/>
        <w:rPr>
          <w:rFonts w:ascii="Arial" w:cs="Arial" w:eastAsia="Arial" w:hAnsi="Arial"/>
          <w:sz w:val="17"/>
          <w:szCs w:val="17"/>
          <w:color w:val="auto"/>
        </w:rPr>
      </w:pPr>
    </w:p>
    <w:p>
      <w:pPr>
        <w:jc w:val="both"/>
        <w:ind w:left="1420" w:right="220" w:hanging="319"/>
        <w:spacing w:after="0" w:line="263"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w:t>
      </w:r>
    </w:p>
    <w:p>
      <w:pPr>
        <w:spacing w:after="0" w:line="210"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evaluating risks associated with our compensation policies and practices and assessing whether risks arising from our compensation policies and practices for our employees are reasonably likely to have a material adverse effect on us;</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the type and amount of compensation to be paid or awarded to our non-employee board members;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establishing policies with respect to votes by our stockholders to approve executive compensation to the extent required by</w:t>
      </w:r>
    </w:p>
    <w:p>
      <w:pPr>
        <w:spacing w:after="0" w:line="34" w:lineRule="exact"/>
        <w:rPr>
          <w:rFonts w:ascii="Arial" w:cs="Arial" w:eastAsia="Arial" w:hAnsi="Arial"/>
          <w:sz w:val="17"/>
          <w:szCs w:val="17"/>
          <w:color w:val="auto"/>
        </w:rPr>
      </w:pPr>
    </w:p>
    <w:p>
      <w:pPr>
        <w:ind w:left="1420" w:right="120"/>
        <w:spacing w:after="0" w:line="260" w:lineRule="auto"/>
        <w:rPr>
          <w:rFonts w:ascii="Arial" w:cs="Arial" w:eastAsia="Arial" w:hAnsi="Arial"/>
          <w:sz w:val="17"/>
          <w:szCs w:val="17"/>
          <w:color w:val="auto"/>
        </w:rPr>
      </w:pPr>
      <w:r>
        <w:rPr>
          <w:rFonts w:ascii="Arial" w:cs="Arial" w:eastAsia="Arial" w:hAnsi="Arial"/>
          <w:sz w:val="18"/>
          <w:szCs w:val="18"/>
          <w:color w:val="auto"/>
        </w:rPr>
        <w:t>Section 14A of the Exchange Act and, if applicable, determining our recommendations regarding the frequency of advisory votes on executive compensation;</w:t>
      </w:r>
    </w:p>
    <w:p>
      <w:pPr>
        <w:spacing w:after="0" w:line="212" w:lineRule="exact"/>
        <w:rPr>
          <w:rFonts w:ascii="Arial" w:cs="Arial" w:eastAsia="Arial" w:hAnsi="Arial"/>
          <w:sz w:val="17"/>
          <w:szCs w:val="17"/>
          <w:color w:val="auto"/>
        </w:rPr>
      </w:pPr>
    </w:p>
    <w:p>
      <w:pPr>
        <w:ind w:left="1420" w:right="140" w:hanging="319"/>
        <w:spacing w:after="0" w:line="277"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and assessing the independence of compensation consultants, legal counsel and other advisors as required by Section 10C of the Exchange Act;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administering our equity incentive plans;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the competitiveness of our executive compensation programs and evaluating the effectiveness of our compensation policy and strategy in achieving expected benefits to us;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9"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40" w:hanging="319"/>
        <w:spacing w:after="0" w:line="308" w:lineRule="auto"/>
        <w:tabs>
          <w:tab w:leader="none" w:pos="14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reviewing and making recommendations to the full board of directors regarding the terms of any employment agreements, severance arrangements, change in control protections and any other compensatory arrangements for our executive officers;</w:t>
      </w:r>
    </w:p>
    <w:p>
      <w:pPr>
        <w:spacing w:after="0" w:line="173" w:lineRule="exact"/>
        <w:rPr>
          <w:rFonts w:ascii="Arial" w:cs="Arial" w:eastAsia="Arial" w:hAnsi="Arial"/>
          <w:sz w:val="17"/>
          <w:szCs w:val="17"/>
          <w:color w:val="auto"/>
        </w:rPr>
      </w:pPr>
    </w:p>
    <w:p>
      <w:pPr>
        <w:ind w:left="1420" w:hanging="319"/>
        <w:spacing w:after="0" w:line="342" w:lineRule="auto"/>
        <w:tabs>
          <w:tab w:leader="none" w:pos="14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reviewing with management and approving our disclosures under the caption “Compensation Discussion and Analysis” in our periodic reports or proxy statements to be filed with the SEC, to the extent such caption is included in any such report or proxy statement;</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 and</w:t>
      </w:r>
    </w:p>
    <w:p>
      <w:pPr>
        <w:spacing w:after="0" w:line="252" w:lineRule="exact"/>
        <w:rPr>
          <w:rFonts w:ascii="Arial" w:cs="Arial" w:eastAsia="Arial" w:hAnsi="Arial"/>
          <w:sz w:val="18"/>
          <w:szCs w:val="18"/>
          <w:color w:val="auto"/>
        </w:rPr>
      </w:pPr>
    </w:p>
    <w:p>
      <w:pPr>
        <w:ind w:left="1420" w:right="560" w:hanging="319"/>
        <w:spacing w:after="0" w:line="277"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compensation committee and the compensation committee charter.</w:t>
      </w:r>
    </w:p>
    <w:p>
      <w:pPr>
        <w:spacing w:after="0" w:line="170"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We believe that the composition and functioning of our compensation committee will comply with all applicable SEC and Nasdaq rules and regulations. We intend to comply with future requirements to the extent they become applicable to us.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1000"/>
        <w:spacing w:after="0"/>
        <w:tabs>
          <w:tab w:leader="none" w:pos="9120" w:val="left"/>
          <w:tab w:leader="none" w:pos="9700" w:val="left"/>
        </w:tabs>
        <w:rPr>
          <w:sz w:val="20"/>
          <w:szCs w:val="20"/>
          <w:color w:val="auto"/>
        </w:rPr>
      </w:pPr>
      <w:r>
        <w:rPr>
          <w:rFonts w:ascii="Arial" w:cs="Arial" w:eastAsia="Arial" w:hAnsi="Arial"/>
          <w:sz w:val="17"/>
          <w:szCs w:val="17"/>
          <w:color w:val="auto"/>
        </w:rPr>
        <w:t>Upon the completion of this offering, our nominating and corporate governance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 with</w:t>
      </w:r>
      <w:r>
        <w:rPr>
          <w:sz w:val="20"/>
          <w:szCs w:val="20"/>
          <w:color w:val="auto"/>
        </w:rPr>
        <w:tab/>
      </w:r>
      <w:r>
        <w:rPr>
          <w:rFonts w:ascii="Arial" w:cs="Arial" w:eastAsia="Arial" w:hAnsi="Arial"/>
          <w:sz w:val="16"/>
          <w:szCs w:val="16"/>
          <w:color w:val="auto"/>
        </w:rPr>
        <w:t>serving as chair of the nominating and corporate governance committee. Our board of directors has determined that each of these</w:t>
      </w:r>
    </w:p>
    <w:p>
      <w:pPr>
        <w:spacing w:after="0" w:line="9"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individuals is ‘‘independent’’ as defined under the applicable listing standards of Nasdaq and SEC rules and regulations. The functions of this committee include, among other things:</w:t>
      </w:r>
    </w:p>
    <w:p>
      <w:pPr>
        <w:spacing w:after="0" w:line="212" w:lineRule="exact"/>
        <w:rPr>
          <w:sz w:val="20"/>
          <w:szCs w:val="20"/>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identifying, reviewing and evaluating candidates to serve on our board of directors;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determining the minimum qualifications for service on our board of directors;</w:t>
      </w:r>
    </w:p>
    <w:p>
      <w:pPr>
        <w:spacing w:after="0" w:line="252"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evaluating director performance on the board and applicable committees of the board and determining whether continued service on our board is appropriate;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evaluating, nominating and recommending individuals for membership on our board of directors;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evaluating nominations by stockholders of candidates for election to our board of directors;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considering and assessing the independence of members of our board of directors;</w:t>
      </w:r>
    </w:p>
    <w:p>
      <w:pPr>
        <w:spacing w:after="0" w:line="252" w:lineRule="exact"/>
        <w:rPr>
          <w:rFonts w:ascii="Arial" w:cs="Arial" w:eastAsia="Arial" w:hAnsi="Arial"/>
          <w:sz w:val="18"/>
          <w:szCs w:val="18"/>
          <w:color w:val="auto"/>
        </w:rPr>
      </w:pPr>
    </w:p>
    <w:p>
      <w:pPr>
        <w:ind w:left="1420" w:right="360" w:hanging="319"/>
        <w:spacing w:after="0" w:line="277"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developing a set of corporate governance policies and principles and recommending to our board of directors any changes to such policies and principles;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considering questions of possible conflicts of interest of directors as such questions arise; and</w:t>
      </w:r>
    </w:p>
    <w:p>
      <w:pPr>
        <w:spacing w:after="0" w:line="252" w:lineRule="exact"/>
        <w:rPr>
          <w:rFonts w:ascii="Arial" w:cs="Arial" w:eastAsia="Arial" w:hAnsi="Arial"/>
          <w:sz w:val="18"/>
          <w:szCs w:val="18"/>
          <w:color w:val="auto"/>
        </w:rPr>
      </w:pPr>
    </w:p>
    <w:p>
      <w:pPr>
        <w:ind w:left="1420" w:right="680" w:hanging="319"/>
        <w:spacing w:after="0" w:line="277"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nominating and corporate governance committee and the nominating and corporate governance committee charter.</w:t>
      </w:r>
    </w:p>
    <w:p>
      <w:pPr>
        <w:spacing w:after="0" w:line="170" w:lineRule="exact"/>
        <w:rPr>
          <w:sz w:val="20"/>
          <w:szCs w:val="20"/>
          <w:color w:val="auto"/>
        </w:rPr>
      </w:pPr>
    </w:p>
    <w:p>
      <w:pPr>
        <w:ind w:left="120" w:right="300" w:firstLine="881"/>
        <w:spacing w:after="0" w:line="308" w:lineRule="auto"/>
        <w:rPr>
          <w:sz w:val="20"/>
          <w:szCs w:val="20"/>
          <w:color w:val="auto"/>
        </w:rPr>
      </w:pPr>
      <w:r>
        <w:rPr>
          <w:rFonts w:ascii="Arial" w:cs="Arial" w:eastAsia="Arial" w:hAnsi="Arial"/>
          <w:sz w:val="17"/>
          <w:szCs w:val="17"/>
          <w:color w:val="auto"/>
        </w:rPr>
        <w:t>We believe that the composition and functioning of our nominating and corporate governance committee will comply with all applicable SEC and Nasdaq rules and regulations. We intend to comply with future requirements to the extent they become applicable to us.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Effective upon the closing of this offering, we will adopt a Code of Business Conduct and Ethics, or the Code of Conduct, applicable to all of our employees, executive officers and directors. This includes our principal executive officer, principal financial officer and principal accounting officer or controller, or persons performing similar functions. Following the closing of this offering, the full text of the Code of Conduct will be available on our website at http://www.acumenpharm.com/. We intend to post on our website all disclosures that are required by law or the Nasdaq Listing Rules concerning any amendments to, or waivers from, any provision of the Code of Conduct. Information contained on, or that can be accessed through, our website is not incorporated by reference into this prospectus. We have included our website in this prospectus solely as an inactive textual reference.</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do not currently have a formal director compensation policy. We intend to adopt a non-employee director compensation policy, pursuant to which our non-employee directors will be eligible to receive compensation for service on our board of directors and committees of our board of directors, to be effective following the completion of this offering.</w:t>
      </w:r>
    </w:p>
    <w:p>
      <w:pPr>
        <w:spacing w:after="0" w:line="184"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During the year ended December 31, 2020, we paid to each of Drs. Ives, Sevigny and Krafft, each a non-employee director, an annual cash retainer of $42,000 for serving on our board of directors.</w:t>
      </w:r>
    </w:p>
    <w:p>
      <w:pPr>
        <w:spacing w:after="0" w:line="170"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Dr. Jeffrey Sevigny, a current member of our board of directors, provided advisory services to our company during 2020 pursuant to an Advisory Board Consulting Agreement with us dated February 20, 2019. During the year ended December 31, 2020, we did not pay fees to Dr. Sevigny for his advisory services.</w:t>
      </w:r>
    </w:p>
    <w:p>
      <w:pPr>
        <w:spacing w:after="0" w:line="184" w:lineRule="exact"/>
        <w:rPr>
          <w:sz w:val="20"/>
          <w:szCs w:val="20"/>
          <w:color w:val="auto"/>
        </w:rPr>
      </w:pPr>
    </w:p>
    <w:p>
      <w:pPr>
        <w:jc w:val="both"/>
        <w:ind w:left="120" w:right="220" w:firstLine="881"/>
        <w:spacing w:after="0" w:line="286" w:lineRule="auto"/>
        <w:rPr>
          <w:sz w:val="20"/>
          <w:szCs w:val="20"/>
          <w:color w:val="auto"/>
        </w:rPr>
      </w:pPr>
      <w:r>
        <w:rPr>
          <w:rFonts w:ascii="Arial" w:cs="Arial" w:eastAsia="Arial" w:hAnsi="Arial"/>
          <w:sz w:val="17"/>
          <w:szCs w:val="17"/>
          <w:color w:val="auto"/>
        </w:rPr>
        <w:t>Dr. Grant Krafft, who resigned from our board of directors in November 2020, provided consulting services to our company during 2020 pursuant to a Consulting Agreement with us dated February 27, 2019 and pursuant to an Amended and Restated Consulting Agreement with us dated December 1, 2020. During the year ended December 31, 2020, we paid Dr. Krafft $30,000 for his consulting services.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Director Compensation Table</w:t>
      </w:r>
    </w:p>
    <w:p>
      <w:pPr>
        <w:spacing w:after="0" w:line="225"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following table sets forth information regarding the compensation earned for service on our board of directors in 2020 by our non-employee directors. Daniel O’Connell, our Chief Executive Officer, is also a member of our board of directors but did not receive any additional compensation for service as a director.</w:t>
      </w:r>
    </w:p>
    <w:p>
      <w:pPr>
        <w:spacing w:after="0" w:line="190"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80" w:type="dxa"/>
            <w:vAlign w:val="bottom"/>
            <w:gridSpan w:val="2"/>
          </w:tcPr>
          <w:p>
            <w:pPr>
              <w:ind w:left="260"/>
              <w:spacing w:after="0"/>
              <w:rPr>
                <w:sz w:val="20"/>
                <w:szCs w:val="20"/>
                <w:color w:val="auto"/>
              </w:rPr>
            </w:pPr>
            <w:r>
              <w:rPr>
                <w:rFonts w:ascii="Arial" w:cs="Arial" w:eastAsia="Arial" w:hAnsi="Arial"/>
                <w:sz w:val="14"/>
                <w:szCs w:val="14"/>
                <w:b w:val="1"/>
                <w:bCs w:val="1"/>
                <w:color w:val="auto"/>
              </w:rPr>
              <w:t>Fees</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Earned or</w:t>
            </w: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(3)</w:t>
            </w:r>
          </w:p>
        </w:tc>
        <w:tc>
          <w:tcPr>
            <w:tcW w:w="3540" w:type="dxa"/>
            <w:vAlign w:val="bottom"/>
            <w:vMerge w:val="restart"/>
          </w:tcPr>
          <w:p>
            <w:pPr>
              <w:spacing w:after="0"/>
              <w:rPr>
                <w:sz w:val="12"/>
                <w:szCs w:val="12"/>
                <w:color w:val="auto"/>
              </w:rPr>
            </w:pPr>
          </w:p>
        </w:tc>
        <w:tc>
          <w:tcPr>
            <w:tcW w:w="13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0"/>
              </w:rPr>
              <w:t>Paid in Cash</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60" w:type="dxa"/>
            <w:vAlign w:val="bottom"/>
            <w:tcBorders>
              <w:bottom w:val="single" w:sz="8" w:color="auto"/>
            </w:tcBorders>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800" w:type="dxa"/>
            <w:vAlign w:val="bottom"/>
          </w:tcPr>
          <w:p>
            <w:pPr>
              <w:jc w:val="right"/>
              <w:ind w:right="237"/>
              <w:spacing w:after="0" w:line="158"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5"/>
                <w:szCs w:val="15"/>
                <w:color w:val="auto"/>
              </w:rPr>
            </w:pPr>
          </w:p>
        </w:tc>
        <w:tc>
          <w:tcPr>
            <w:tcW w:w="560" w:type="dxa"/>
            <w:vAlign w:val="bottom"/>
          </w:tcPr>
          <w:p>
            <w:pPr>
              <w:ind w:left="200"/>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L. Ives, Ph.D.</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42,000</w:t>
            </w: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42,000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Jeffrey Sevigny, M.D.</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42,000</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42,000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Stalfort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Laura Stoppel, Ph.D.</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Zachary, Ph.D.</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Grant Krafft, Ph.D.</w:t>
            </w:r>
            <w:r>
              <w:rPr>
                <w:rFonts w:ascii="Arial" w:cs="Arial" w:eastAsia="Arial" w:hAnsi="Arial"/>
                <w:sz w:val="15"/>
                <w:szCs w:val="15"/>
                <w:color w:val="auto"/>
              </w:rPr>
              <w:t>(1)</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42,000</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42,000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Andrasko</w:t>
            </w:r>
            <w:r>
              <w:rPr>
                <w:rFonts w:ascii="Arial" w:cs="Arial" w:eastAsia="Arial" w:hAnsi="Arial"/>
                <w:sz w:val="15"/>
                <w:szCs w:val="15"/>
                <w:color w:val="auto"/>
              </w:rPr>
              <w:t>(2)</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Dr. Krafft resigned from our board of directors in November 2020.</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Andrasko resigned from our board of directors in November 2020.</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320" w:top="459"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77"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stock options were granted to our non-employee directors during 2020. The table below shows the aggregate number of option awards outstanding for each of our non-employee directors as of December 31, 2020:</w:t>
      </w:r>
    </w:p>
    <w:p>
      <w:pPr>
        <w:spacing w:after="0" w:line="176"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940" w:type="dxa"/>
            <w:vAlign w:val="bottom"/>
            <w:vMerge w:val="restart"/>
          </w:tcPr>
          <w:p>
            <w:pPr>
              <w:spacing w:after="0"/>
              <w:rPr>
                <w:sz w:val="12"/>
                <w:szCs w:val="12"/>
                <w:color w:val="auto"/>
              </w:rPr>
            </w:pPr>
          </w:p>
        </w:tc>
        <w:tc>
          <w:tcPr>
            <w:tcW w:w="29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2980" w:type="dxa"/>
            <w:vAlign w:val="bottom"/>
          </w:tcPr>
          <w:p>
            <w:pPr>
              <w:spacing w:after="0"/>
              <w:rPr>
                <w:sz w:val="15"/>
                <w:szCs w:val="15"/>
                <w:color w:val="auto"/>
              </w:rPr>
            </w:pPr>
          </w:p>
        </w:tc>
        <w:tc>
          <w:tcPr>
            <w:tcW w:w="82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203"/>
        </w:trPr>
        <w:tc>
          <w:tcPr>
            <w:tcW w:w="2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L. Ives, Ph.D.</w:t>
            </w:r>
          </w:p>
        </w:tc>
        <w:tc>
          <w:tcPr>
            <w:tcW w:w="29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69,999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Jeffrey Sevigny, M.D.</w:t>
            </w:r>
          </w:p>
        </w:tc>
        <w:tc>
          <w:tcPr>
            <w:tcW w:w="3800" w:type="dxa"/>
            <w:vAlign w:val="bottom"/>
            <w:gridSpan w:val="3"/>
          </w:tcPr>
          <w:p>
            <w:pPr>
              <w:jc w:val="right"/>
              <w:ind w:right="60"/>
              <w:spacing w:after="0"/>
              <w:rPr>
                <w:sz w:val="20"/>
                <w:szCs w:val="20"/>
                <w:color w:val="auto"/>
              </w:rPr>
            </w:pPr>
            <w:r>
              <w:rPr>
                <w:rFonts w:ascii="Arial" w:cs="Arial" w:eastAsia="Arial" w:hAnsi="Arial"/>
                <w:sz w:val="18"/>
                <w:szCs w:val="18"/>
                <w:color w:val="auto"/>
              </w:rPr>
              <w:t>72,499</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Stalfort</w:t>
            </w:r>
          </w:p>
        </w:tc>
        <w:tc>
          <w:tcPr>
            <w:tcW w:w="29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Laura Stoppel, Ph.D.</w:t>
            </w:r>
          </w:p>
        </w:tc>
        <w:tc>
          <w:tcPr>
            <w:tcW w:w="29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Zachary, Ph.D.</w:t>
            </w:r>
          </w:p>
        </w:tc>
        <w:tc>
          <w:tcPr>
            <w:tcW w:w="29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980" w:type="dxa"/>
            <w:vAlign w:val="bottom"/>
          </w:tcPr>
          <w:p>
            <w:pPr>
              <w:jc w:val="right"/>
              <w:ind w:right="2010"/>
              <w:spacing w:after="0"/>
              <w:rPr>
                <w:sz w:val="20"/>
                <w:szCs w:val="20"/>
                <w:color w:val="auto"/>
              </w:rPr>
            </w:pPr>
            <w:r>
              <w:rPr>
                <w:rFonts w:ascii="Arial" w:cs="Arial" w:eastAsia="Arial" w:hAnsi="Arial"/>
                <w:sz w:val="18"/>
                <w:szCs w:val="18"/>
                <w:color w:val="auto"/>
              </w:rPr>
              <w:t>143</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320" w:top="459" w:right="10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This section describes the material elements of compensation awarded to, earned by or paid to each of our named executive officers in 2020. We are an “emerging growth company,” within the meaning of the Jumpstart Our Business Startups Act of 2012, as amended, or JOBS Act, and have elected to comply with the reduced compensation disclosure requirements available to emerging growth companies under the JOBS Act. Our named executive officers for 2020 were Daniel O’Connell, Eric Siemers, M.D. and Russell Barton, M.S. This section also provides qualitative information regarding the manner and context in which compensation is awarded to and earned by our named executive officers and is intended to place in perspective the data presented in the tables and narrative that follow.</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and paid to our named executive officers with respect to the year ended December 31, 2020.</w:t>
      </w:r>
    </w:p>
    <w:p>
      <w:pPr>
        <w:spacing w:after="0" w:line="176"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940" w:type="dxa"/>
            <w:vAlign w:val="bottom"/>
            <w:gridSpan w:val="3"/>
          </w:tcPr>
          <w:p>
            <w:pPr>
              <w:ind w:left="1120"/>
              <w:spacing w:after="0"/>
              <w:rPr>
                <w:sz w:val="20"/>
                <w:szCs w:val="20"/>
                <w:color w:val="auto"/>
              </w:rPr>
            </w:pPr>
            <w:r>
              <w:rPr>
                <w:rFonts w:ascii="Arial" w:cs="Arial" w:eastAsia="Arial" w:hAnsi="Arial"/>
                <w:sz w:val="14"/>
                <w:szCs w:val="14"/>
                <w:b w:val="1"/>
                <w:bCs w:val="1"/>
                <w:color w:val="auto"/>
              </w:rPr>
              <w:t>Salary</w:t>
            </w:r>
          </w:p>
        </w:tc>
        <w:tc>
          <w:tcPr>
            <w:tcW w:w="1040" w:type="dxa"/>
            <w:vAlign w:val="bottom"/>
            <w:gridSpan w:val="3"/>
          </w:tcPr>
          <w:p>
            <w:pPr>
              <w:ind w:left="240"/>
              <w:spacing w:after="0"/>
              <w:rPr>
                <w:sz w:val="20"/>
                <w:szCs w:val="20"/>
                <w:color w:val="auto"/>
              </w:rPr>
            </w:pPr>
            <w:r>
              <w:rPr>
                <w:rFonts w:ascii="Arial" w:cs="Arial" w:eastAsia="Arial" w:hAnsi="Arial"/>
                <w:sz w:val="14"/>
                <w:szCs w:val="14"/>
                <w:b w:val="1"/>
                <w:bCs w:val="1"/>
                <w:color w:val="auto"/>
              </w:rPr>
              <w:t>Bonus</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020" w:type="dxa"/>
            <w:vAlign w:val="bottom"/>
            <w:gridSpan w:val="3"/>
            <w:vMerge w:val="continue"/>
          </w:tcPr>
          <w:p>
            <w:pPr>
              <w:spacing w:after="0"/>
              <w:rPr>
                <w:sz w:val="14"/>
                <w:szCs w:val="14"/>
                <w:color w:val="auto"/>
              </w:rPr>
            </w:pPr>
          </w:p>
        </w:tc>
        <w:tc>
          <w:tcPr>
            <w:tcW w:w="1540" w:type="dxa"/>
            <w:vAlign w:val="bottom"/>
            <w:gridSpan w:val="2"/>
          </w:tcPr>
          <w:p>
            <w:pPr>
              <w:ind w:left="116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400" w:type="dxa"/>
            <w:vAlign w:val="bottom"/>
          </w:tcPr>
          <w:p>
            <w:pPr>
              <w:spacing w:after="0"/>
              <w:rPr>
                <w:sz w:val="14"/>
                <w:szCs w:val="14"/>
                <w:color w:val="auto"/>
              </w:rPr>
            </w:pPr>
          </w:p>
        </w:tc>
        <w:tc>
          <w:tcPr>
            <w:tcW w:w="600" w:type="dxa"/>
            <w:vAlign w:val="bottom"/>
            <w:gridSpan w:val="2"/>
          </w:tcPr>
          <w:p>
            <w:pPr>
              <w:ind w:left="26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)(2)</w:t>
            </w:r>
          </w:p>
        </w:tc>
        <w:tc>
          <w:tcPr>
            <w:tcW w:w="4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Daniel O’Connell (3)</w:t>
            </w:r>
          </w:p>
        </w:tc>
        <w:tc>
          <w:tcPr>
            <w:tcW w:w="2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194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240,000</w:t>
            </w:r>
          </w:p>
        </w:tc>
        <w:tc>
          <w:tcPr>
            <w:tcW w:w="10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96,000</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336,000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Eric Siemers, M.D.</w:t>
            </w: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Medical Officer</w:t>
            </w:r>
          </w:p>
        </w:tc>
        <w:tc>
          <w:tcPr>
            <w:tcW w:w="1940" w:type="dxa"/>
            <w:vAlign w:val="bottom"/>
            <w:gridSpan w:val="3"/>
          </w:tcPr>
          <w:p>
            <w:pPr>
              <w:ind w:left="1100"/>
              <w:spacing w:after="0"/>
              <w:rPr>
                <w:sz w:val="20"/>
                <w:szCs w:val="20"/>
                <w:color w:val="auto"/>
              </w:rPr>
            </w:pPr>
            <w:r>
              <w:rPr>
                <w:rFonts w:ascii="Arial" w:cs="Arial" w:eastAsia="Arial" w:hAnsi="Arial"/>
                <w:sz w:val="18"/>
                <w:szCs w:val="18"/>
                <w:color w:val="auto"/>
              </w:rPr>
              <w:t>180,000</w:t>
            </w:r>
          </w:p>
        </w:tc>
        <w:tc>
          <w:tcPr>
            <w:tcW w:w="1040" w:type="dxa"/>
            <w:vAlign w:val="bottom"/>
            <w:gridSpan w:val="3"/>
          </w:tcPr>
          <w:p>
            <w:pPr>
              <w:ind w:left="260"/>
              <w:spacing w:after="0"/>
              <w:rPr>
                <w:sz w:val="20"/>
                <w:szCs w:val="20"/>
                <w:color w:val="auto"/>
              </w:rPr>
            </w:pPr>
            <w:r>
              <w:rPr>
                <w:rFonts w:ascii="Arial" w:cs="Arial" w:eastAsia="Arial" w:hAnsi="Arial"/>
                <w:sz w:val="18"/>
                <w:szCs w:val="18"/>
                <w:color w:val="auto"/>
              </w:rPr>
              <w:t>57,600</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237,600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Russell Barton, M.S.</w:t>
            </w:r>
          </w:p>
        </w:tc>
        <w:tc>
          <w:tcPr>
            <w:tcW w:w="1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Operating Officer</w:t>
            </w:r>
          </w:p>
        </w:tc>
        <w:tc>
          <w:tcPr>
            <w:tcW w:w="194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168,000</w:t>
            </w:r>
          </w:p>
        </w:tc>
        <w:tc>
          <w:tcPr>
            <w:tcW w:w="10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55,680</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223,680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60" w:hanging="424"/>
        <w:spacing w:after="0" w:line="258"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of our named executive officers served as a consultant to the company prior to January 1, 2021. Amounts included in the “Salary” column represent consulting fees paid to each named executive officer for services rendered to us during 2020.</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column reflects annual discretionary bonuses received in respect of 2020 services.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Mr. O’Connell is also a member of our Board, but he did not receive any additional compensation in his capacity as a director in 2020.</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229" w:lineRule="exact"/>
        <w:rPr>
          <w:sz w:val="20"/>
          <w:szCs w:val="20"/>
          <w:color w:val="auto"/>
        </w:rPr>
      </w:pPr>
    </w:p>
    <w:p>
      <w:pPr>
        <w:ind w:left="120" w:right="360" w:firstLine="881"/>
        <w:spacing w:after="0" w:line="342" w:lineRule="auto"/>
        <w:rPr>
          <w:sz w:val="20"/>
          <w:szCs w:val="20"/>
          <w:color w:val="auto"/>
        </w:rPr>
      </w:pPr>
      <w:r>
        <w:rPr>
          <w:rFonts w:ascii="Arial" w:cs="Arial" w:eastAsia="Arial" w:hAnsi="Arial"/>
          <w:sz w:val="16"/>
          <w:szCs w:val="16"/>
          <w:color w:val="auto"/>
        </w:rPr>
        <w:t>The following table presents information regarding outstanding equity awards held by our named executive officers as of December 31, 2020. All awards were granted pursuant to the Prior Plan. See “—Equity Incentive Plans—Prior Plan” below for additional information.</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gridSpan w:val="4"/>
          </w:tcPr>
          <w:p>
            <w:pPr>
              <w:ind w:left="540"/>
              <w:spacing w:after="0"/>
              <w:rPr>
                <w:sz w:val="20"/>
                <w:szCs w:val="20"/>
                <w:color w:val="auto"/>
              </w:rPr>
            </w:pPr>
            <w:r>
              <w:rPr>
                <w:rFonts w:ascii="Arial" w:cs="Arial" w:eastAsia="Arial" w:hAnsi="Arial"/>
                <w:sz w:val="14"/>
                <w:szCs w:val="14"/>
                <w:b w:val="1"/>
                <w:bCs w:val="1"/>
                <w:color w:val="auto"/>
              </w:rPr>
              <w:t>Option Awards(1)</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Incentive</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Plan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Number of</w:t>
            </w:r>
          </w:p>
        </w:tc>
        <w:tc>
          <w:tcPr>
            <w:tcW w:w="14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26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Grant Date</w:t>
            </w:r>
          </w:p>
        </w:tc>
        <w:tc>
          <w:tcPr>
            <w:tcW w:w="24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Options(#)</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Options(#)</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Unearned</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100" w:type="dxa"/>
            <w:vAlign w:val="bottom"/>
            <w:gridSpan w:val="3"/>
          </w:tcPr>
          <w:p>
            <w:pPr>
              <w:jc w:val="center"/>
              <w:ind w:left="12"/>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Exercisable</w:t>
            </w: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Unexercisable</w:t>
            </w: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Options(#)</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u w:val="single" w:color="auto"/>
                <w:color w:val="auto"/>
              </w:rPr>
              <w:t>Price($</w:t>
            </w: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Daniel O’Connell</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w w:val="94"/>
              </w:rPr>
              <w:t>12/1/2011</w:t>
            </w:r>
          </w:p>
        </w:tc>
        <w:tc>
          <w:tcPr>
            <w:tcW w:w="1380" w:type="dxa"/>
            <w:vAlign w:val="bottom"/>
            <w:gridSpan w:val="3"/>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1,666</w:t>
            </w:r>
          </w:p>
        </w:tc>
        <w:tc>
          <w:tcPr>
            <w:tcW w:w="144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3.00</w:t>
            </w:r>
          </w:p>
        </w:tc>
        <w:tc>
          <w:tcPr>
            <w:tcW w:w="110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12/1/2021</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5/14/2013</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296</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w w:val="83"/>
              </w:rPr>
              <w:t>$ 15.03</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5/14/2023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12/17/2014</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50,016</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12/17/2024</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4/27/2017</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18,666</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4/27/2027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3/1/2019</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450,787</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450,787(2)</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0.48</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3/1/2029</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Eric Siemers, M.D.</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3/1/2019</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201,018</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201,018(2)</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0.48</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3/1/2029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Russell Barton, M.S.</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3/1/2019</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49,953</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49,953(2)</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0.48</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3/1/2029</w:t>
            </w:r>
          </w:p>
        </w:tc>
        <w:tc>
          <w:tcPr>
            <w:tcW w:w="0" w:type="dxa"/>
            <w:vAlign w:val="bottom"/>
          </w:tcPr>
          <w:p>
            <w:pPr>
              <w:spacing w:after="0"/>
              <w:rPr>
                <w:sz w:val="1"/>
                <w:szCs w:val="1"/>
                <w:color w:val="auto"/>
              </w:rPr>
            </w:pPr>
          </w:p>
        </w:tc>
      </w:tr>
      <w:tr>
        <w:trPr>
          <w:trHeight w:val="365"/>
        </w:trPr>
        <w:tc>
          <w:tcPr>
            <w:tcW w:w="3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508"/>
              <w:spacing w:after="0"/>
              <w:rPr>
                <w:sz w:val="20"/>
                <w:szCs w:val="20"/>
                <w:color w:val="auto"/>
              </w:rPr>
            </w:pPr>
            <w:r>
              <w:rPr>
                <w:rFonts w:ascii="Arial" w:cs="Arial" w:eastAsia="Arial" w:hAnsi="Arial"/>
                <w:sz w:val="18"/>
                <w:szCs w:val="18"/>
                <w:color w:val="auto"/>
              </w:rPr>
              <w:t>144</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200" w:hanging="424"/>
        <w:spacing w:after="0" w:line="258"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option awards listed in this table were granted pursuant to our Prior Plan, the terms of which are described below under “—Equity Incentive Plans—Prior Plan”.</w:t>
      </w:r>
    </w:p>
    <w:p>
      <w:pPr>
        <w:spacing w:after="0" w:line="1" w:lineRule="exact"/>
        <w:rPr>
          <w:rFonts w:ascii="Arial" w:cs="Arial" w:eastAsia="Arial" w:hAnsi="Arial"/>
          <w:sz w:val="18"/>
          <w:szCs w:val="18"/>
          <w:color w:val="auto"/>
        </w:rPr>
      </w:pPr>
    </w:p>
    <w:p>
      <w:pPr>
        <w:ind w:left="540" w:right="480" w:hanging="424"/>
        <w:spacing w:after="0" w:line="260"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shares underlying this option vest in equal monthly installments over a period of 36 months from the date of grant, subject to the named executive officer’s continuous service through each vesting date.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our Named Executive Officers and Potential Payments upon Termination of Employment</w:t>
      </w:r>
    </w:p>
    <w:p>
      <w:pPr>
        <w:spacing w:after="0" w:line="229"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We have entered into employment agreements with each of our named executive officers. The agreements generally provide for employment without any specific term and set forth the named executive officer’s base salary, bonus potential, eligibility for employee benefits and severance benefits upon a qualifying termination of employment, subject to certain confidentiality, non-solicitation and non-competition provisions. Any potential payments and benefits due upon a qualifying termination of employment or a change in control are further described below.</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Daniel O’Connell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Executive Employment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On January 1, 2021, we entered into an executive employment agreement with Mr. O’Connell, pursuant to which Mr. O’Connell serves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President and Chief Executive Officer and as an employee at-will. Under his executive employment agreement, Mr. O’Connell is entitled to 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annual base salary of $512,000, which base salary will be reviewed and may be adjusted by the board of directors on an annual basis. Additionally,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Mr. O’Connell is eligible to receive an annual performance bonus with a target equal to 50% of his then-current base salary, contingent upon satisfaction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individual and company performance goals. In 2020, we paid Mr. O’Connell an annual performance bonus of $96,000 based upon the achievement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2020 individual and company performance milestones as determined by our board of directors. As contemplated by his executive employment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on January 4, 2021, we granted to Mr. O’Connell an option to purchase 1,767,656 shares of our common stock pursuant to our Prior Plan 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 exercise price of $0.80 per share, which grant will vest as to 25% of the shares on the one-year anniversary of the grant, with the remainder vesting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monthly over the following 36 months, subject to Mr. O’Connell’s continuous service through such vesting dates.</w:t>
      </w:r>
    </w:p>
    <w:p>
      <w:pPr>
        <w:spacing w:after="0" w:line="211"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Under Mr. O’Connell’s executive employment agreement, if he resigns for “good reason” or we terminate Mr. O’Connell’s employment without “cause” not in connection with a change in control (as defined in the executive employment agreement, and excluding a termination on account of Mr. O’Connell’s death or disability), Mr. O’Connell shall be eligible to receive the following severance benefits:</w:t>
      </w:r>
    </w:p>
    <w:p>
      <w:pPr>
        <w:spacing w:after="0" w:line="192" w:lineRule="exact"/>
        <w:rPr>
          <w:sz w:val="20"/>
          <w:szCs w:val="20"/>
          <w:color w:val="auto"/>
        </w:rPr>
      </w:pPr>
    </w:p>
    <w:p>
      <w:pPr>
        <w:ind w:left="1420" w:hanging="319"/>
        <w:spacing w:after="0"/>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amount equal to 12 months of his annual base salary; and</w:t>
      </w:r>
    </w:p>
    <w:p>
      <w:pPr>
        <w:spacing w:after="0" w:line="252" w:lineRule="exact"/>
        <w:rPr>
          <w:rFonts w:ascii="Arial" w:cs="Arial" w:eastAsia="Arial" w:hAnsi="Arial"/>
          <w:sz w:val="18"/>
          <w:szCs w:val="18"/>
          <w:color w:val="auto"/>
        </w:rPr>
      </w:pPr>
    </w:p>
    <w:p>
      <w:pPr>
        <w:ind w:left="1420" w:right="340" w:hanging="319"/>
        <w:spacing w:after="0" w:line="342" w:lineRule="auto"/>
        <w:tabs>
          <w:tab w:leader="none" w:pos="14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payment for health premiums until the earlier of (i) 12 months; (ii) the date he becomes eligible for substantially equivalent health benefits; or (iii) the date he ceases to be eligible for COBRA continuation coverage at the level existing on the termination date.</w:t>
      </w:r>
    </w:p>
    <w:p>
      <w:pPr>
        <w:spacing w:after="0" w:line="124" w:lineRule="exact"/>
        <w:rPr>
          <w:sz w:val="20"/>
          <w:szCs w:val="20"/>
          <w:color w:val="auto"/>
        </w:rPr>
      </w:pPr>
    </w:p>
    <w:p>
      <w:pPr>
        <w:ind w:left="120" w:right="340" w:firstLine="881"/>
        <w:spacing w:after="0" w:line="263" w:lineRule="auto"/>
        <w:rPr>
          <w:sz w:val="20"/>
          <w:szCs w:val="20"/>
          <w:color w:val="auto"/>
        </w:rPr>
      </w:pPr>
      <w:r>
        <w:rPr>
          <w:rFonts w:ascii="Arial" w:cs="Arial" w:eastAsia="Arial" w:hAnsi="Arial"/>
          <w:sz w:val="18"/>
          <w:szCs w:val="18"/>
          <w:color w:val="auto"/>
        </w:rPr>
        <w:t>As a condition to receiving the foregoing severance benefits, Mr. O’Connell must sign and not revoke a general release contained in a separation agreement in the form presented by us, return all company property and confidential information in his possession, comply with his post-termination obligations, and resign from any positions held with us.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Amended and Restated Consulting Agreement</w:t>
      </w:r>
    </w:p>
    <w:p>
      <w:pPr>
        <w:spacing w:after="0" w:line="225"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On October 1, 2018, we entered into an amended and restated consulting agreement with Fastnet BioVentures, LLC, pursuant to which Mr. O’Connell, as sole member of Fastnet BioVentures, LLC, agreed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serve as our President and Chief Executive Officer. Pursuant to the amended and restated consulting agreement, Mr. O’Connell was responsible for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leading the planning, development and execution of our growth and development efforts, as described in the agreement. The amended and restated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consulting agreement had a term continuing through December 31, 2021 and was terminated early in accordance with its terms upon execution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Mr. O’Connell’s executive employment agreement in January 2021. Under the amended and restated consulting agreement, Mr. O’Connell was entitled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receive compensation including a fee of $20,000 per month.</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Eric Siemers, M.D.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Executive Employment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On January 1, 2021, we entered into an executive employment agreement with Dr. Siemers, pursuant to which Dr. Siemers serves as our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Chief Medical Officer and as an employee at-will. Under his executive employment agreement, Dr. Siemers is entitled to an annual base salary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$332,000, which base salary will be reviewed and may be adjusted by the board of directors on an annual basis. Additionally, Dr. Siemers is eligible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receive an annual performance bonus with a target equal to 40% of his then-current base salary, contingent upon satisfaction of individual and company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performance goals. In 2020, we paid Dr. Siemers an annual performance bonus of $57,600 based upon the achievement of 2020 individual and company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performance milestones as determined by our board of directors. As contemplated by his executive employment agreement, on January 4, 2021,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granted to Dr. Siemers an option to purchase 463,374 shares of our common stock pursuant to our Prior Plan at an exercise price of $0.80 per share,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which grant will vest as to 25% of the shares on the one-year anniversary of the grant, with the remainder vesting monthly over the following 36</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months, subject to Dr. Siemers’ continuous service through such vesting dates.</w:t>
      </w:r>
    </w:p>
    <w:p>
      <w:pPr>
        <w:spacing w:after="0" w:line="211" w:lineRule="exact"/>
        <w:rPr>
          <w:sz w:val="20"/>
          <w:szCs w:val="20"/>
          <w:color w:val="auto"/>
        </w:rPr>
      </w:pPr>
    </w:p>
    <w:p>
      <w:pPr>
        <w:ind w:left="120" w:right="260" w:firstLine="881"/>
        <w:spacing w:after="0" w:line="286" w:lineRule="auto"/>
        <w:rPr>
          <w:sz w:val="20"/>
          <w:szCs w:val="20"/>
          <w:color w:val="auto"/>
        </w:rPr>
      </w:pPr>
      <w:r>
        <w:rPr>
          <w:rFonts w:ascii="Arial" w:cs="Arial" w:eastAsia="Arial" w:hAnsi="Arial"/>
          <w:sz w:val="17"/>
          <w:szCs w:val="17"/>
          <w:color w:val="auto"/>
        </w:rPr>
        <w:t>Under Dr. Siemers’ executive employment agreement, if he resigns for “good reason” or we terminate Dr. Siemers’ employment without “cause” not in connection with a change in control (as defined in the executive employment agreement, and excluding a termination on account of Dr. Siemers’ death or disability), Dr. Siemers’ shall be eligible to receive the following severance benefits:</w:t>
      </w:r>
    </w:p>
    <w:p>
      <w:pPr>
        <w:spacing w:after="0" w:line="192" w:lineRule="exact"/>
        <w:rPr>
          <w:sz w:val="20"/>
          <w:szCs w:val="20"/>
          <w:color w:val="auto"/>
        </w:rPr>
      </w:pPr>
    </w:p>
    <w:p>
      <w:pPr>
        <w:ind w:left="1420" w:hanging="319"/>
        <w:spacing w:after="0"/>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amount equal to six months of his annual base salary; and</w:t>
      </w:r>
    </w:p>
    <w:p>
      <w:pPr>
        <w:spacing w:after="0" w:line="252" w:lineRule="exact"/>
        <w:rPr>
          <w:rFonts w:ascii="Arial" w:cs="Arial" w:eastAsia="Arial" w:hAnsi="Arial"/>
          <w:sz w:val="18"/>
          <w:szCs w:val="18"/>
          <w:color w:val="auto"/>
        </w:rPr>
      </w:pPr>
    </w:p>
    <w:p>
      <w:pPr>
        <w:ind w:left="1420" w:right="320" w:hanging="319"/>
        <w:spacing w:after="0" w:line="342" w:lineRule="auto"/>
        <w:tabs>
          <w:tab w:leader="none" w:pos="14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payment for health premiums until the earlier of (i) 12 months; (ii) the date he becomes eligible for substantially equivalent health benefits; or (iii) the date he ceases to be eligible for COBRA continuation coverage at the level existing on the termination date.</w:t>
      </w:r>
    </w:p>
    <w:p>
      <w:pPr>
        <w:spacing w:after="0" w:line="124"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As a condition to receiving the foregoing severance benefits, Dr. Siemers must sign and not revoke a general release contained in a separation agreement in the form presented by us, return all company property and confidential information in his possession, comply with his post-termination obligations, and resign from any positions held with us.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Amended and Restated Consulting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On June 1, 2019, we entered into an amended and restated consulting agreement with Siemers Integration LLC, pursuant to which</w:t>
      </w:r>
    </w:p>
    <w:p>
      <w:pPr>
        <w:spacing w:after="0" w:line="35"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Dr. Siemers, as President of Siemers Integration LLC, agreed to serve as our lead clinical development consultant with the title of Chief Medical Officer and to provide additional consulting services as described in the amended and restated consulting agreement. The amended and restated consulting agreement had a term of 36 months and was terminated early in accordance with its terms upon execution of Dr. Siemers’ executive employment agreement in January 2021. Under the amended and restated consulting agreement, Dr. Siemers was entitled to receive compensation including a fee of $15,000 per month and an option to purchase 8,350,000 shares of our common stock.</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Russell Barton, M.S.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Executive Employment Agreement</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On January 1, 2021, we entered into an executive employment agreement with Mr. Barton, pursuant to which Mr. Barton serves as our Chief Operating Officer and as an employee at-will. Under his executive employment agreement, Mr. Barton is entitled to an annual base salary of $260,000, which base salary will be reviewed and may be adjusted by the board of directors on an annual basis. Additionally, Mr. Barton is eligible to receive an annual performance bonus with a target equal to 40% of his then-current base salary, contingent upon satisfaction of individual and company performance goals. In 2020, we paid Mr. Barton an annual performance bonus of $55,680 based upon the achievement of 2020 individual and company performance milestones as determined by our board of directors. As contemplated by his executive employment agreement, on January 4, 2021, we granted at an exercise price of $0.80 per share to Mr. Barton an option to purchase 425,305 shares of our common stock in pursuant to our Prior Plan, which grant will vest as to 25% of the shares on the one-year anniversary of the grant, with the remainder vesting monthly over the following 36 months, subject to Mr. Barton’s continuous service through such vesting dates.</w:t>
      </w:r>
    </w:p>
    <w:p>
      <w:pPr>
        <w:spacing w:after="0" w:line="181" w:lineRule="exact"/>
        <w:rPr>
          <w:sz w:val="20"/>
          <w:szCs w:val="20"/>
          <w:color w:val="auto"/>
        </w:rPr>
      </w:pPr>
    </w:p>
    <w:p>
      <w:pPr>
        <w:ind w:left="120" w:right="280" w:firstLine="881"/>
        <w:spacing w:after="0" w:line="286" w:lineRule="auto"/>
        <w:rPr>
          <w:sz w:val="20"/>
          <w:szCs w:val="20"/>
          <w:color w:val="auto"/>
        </w:rPr>
      </w:pPr>
      <w:r>
        <w:rPr>
          <w:rFonts w:ascii="Arial" w:cs="Arial" w:eastAsia="Arial" w:hAnsi="Arial"/>
          <w:sz w:val="17"/>
          <w:szCs w:val="17"/>
          <w:color w:val="auto"/>
        </w:rPr>
        <w:t>Under Mr. Barton’s executive employment agreement, if he resigns for “good reason” or we terminate Mr. Barton’s employment without “cause” not in connection with a change in control (as defined in the executive employment agreement, and excluding a termination on account of Mr. Barton’s death or disability), Mr. Barton shall be eligible to receive the following severance benefits:</w:t>
      </w:r>
    </w:p>
    <w:p>
      <w:pPr>
        <w:spacing w:after="0" w:line="192" w:lineRule="exact"/>
        <w:rPr>
          <w:sz w:val="20"/>
          <w:szCs w:val="20"/>
          <w:color w:val="auto"/>
        </w:rPr>
      </w:pPr>
    </w:p>
    <w:p>
      <w:pPr>
        <w:ind w:left="1420" w:hanging="319"/>
        <w:spacing w:after="0"/>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amount equal to six months of his annual base salary; and</w:t>
      </w:r>
    </w:p>
    <w:p>
      <w:pPr>
        <w:spacing w:after="0" w:line="252" w:lineRule="exact"/>
        <w:rPr>
          <w:rFonts w:ascii="Arial" w:cs="Arial" w:eastAsia="Arial" w:hAnsi="Arial"/>
          <w:sz w:val="18"/>
          <w:szCs w:val="18"/>
          <w:color w:val="auto"/>
        </w:rPr>
      </w:pPr>
    </w:p>
    <w:p>
      <w:pPr>
        <w:ind w:left="1420" w:right="340" w:hanging="319"/>
        <w:spacing w:after="0" w:line="342" w:lineRule="auto"/>
        <w:tabs>
          <w:tab w:leader="none" w:pos="14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payment for health premiums until the earlier of (i) 12 months; (ii) the date he becomes eligible for substantially equivalent health benefits; or (iii) the date he ceases to be eligible for COBRA continuation coverage at the level existing on the termination date.</w:t>
      </w:r>
    </w:p>
    <w:p>
      <w:pPr>
        <w:spacing w:after="0" w:line="124" w:lineRule="exact"/>
        <w:rPr>
          <w:sz w:val="20"/>
          <w:szCs w:val="20"/>
          <w:color w:val="auto"/>
        </w:rPr>
      </w:pPr>
    </w:p>
    <w:p>
      <w:pPr>
        <w:ind w:left="120" w:right="340" w:firstLine="881"/>
        <w:spacing w:after="0" w:line="263" w:lineRule="auto"/>
        <w:rPr>
          <w:sz w:val="20"/>
          <w:szCs w:val="20"/>
          <w:color w:val="auto"/>
        </w:rPr>
      </w:pPr>
      <w:r>
        <w:rPr>
          <w:rFonts w:ascii="Arial" w:cs="Arial" w:eastAsia="Arial" w:hAnsi="Arial"/>
          <w:sz w:val="18"/>
          <w:szCs w:val="18"/>
          <w:color w:val="auto"/>
        </w:rPr>
        <w:t>As a condition to receiving the foregoing severance benefits, Mr. Barton must sign and not revoke a general release contained in a separation agreement in the form presented by us, return all company property and confidential information in his possession, comply with his post-termination obligations, and resign from any positions held with us.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Consulting Agreement</w:t>
      </w:r>
    </w:p>
    <w:p>
      <w:pPr>
        <w:spacing w:after="0" w:line="22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On April 1, 2019, we entered into an amended and restated consulting agreement with Pharmasagacity Consulting, LLC, pursuant to which Mr. Barton, as President of Pharmasagacity Consulting, LLC, agreed to serve as our IND Team Leader and Head of Clinical Operations to provide project management services as described in the amended and restated consulting agreement. The amended and restated consulting agreement had a term of 24 months and was terminated early in accordance with its terms upon execution of Mr. Barton’s executive employment agreement in January 2021. Under the amended and restated consulting agreement, Mr. Barton was entitled to receive compensation including a fee of $14,000 per month and an option to purchase 2,075,000 shares of our common stock.</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225" w:lineRule="exact"/>
        <w:rPr>
          <w:sz w:val="20"/>
          <w:szCs w:val="20"/>
          <w:color w:val="auto"/>
        </w:rPr>
      </w:pPr>
    </w:p>
    <w:p>
      <w:pPr>
        <w:jc w:val="both"/>
        <w:ind w:left="120" w:right="140" w:firstLine="881"/>
        <w:spacing w:after="0" w:line="286" w:lineRule="auto"/>
        <w:rPr>
          <w:sz w:val="20"/>
          <w:szCs w:val="20"/>
          <w:color w:val="auto"/>
        </w:rPr>
      </w:pPr>
      <w:r>
        <w:rPr>
          <w:rFonts w:ascii="Arial" w:cs="Arial" w:eastAsia="Arial" w:hAnsi="Arial"/>
          <w:sz w:val="17"/>
          <w:szCs w:val="17"/>
          <w:color w:val="auto"/>
        </w:rPr>
        <w:t>Our board of directors adopted our 2021 Plan in 2021 and our stockholders approved our 2021 Plan in 2021. Our 2021 Plan provides for the grant of incentive stock options (ISOs) to employees, including employees of any parent or subsidiary, and for the grant of nonstatutory stock options (NSOs) stock appreciation rights, restricted stock awards, restricted stock unit awards, performance awards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other forms of stock awards to employees, directors, and consultants, including employees and consultants of our affiliates. Our 2021 Plan is a successor to and continuation of our Prior Plan, which is described below. The 2021 Plan will become effective immediately prior to and contingent upon the execution of the underwriting agreement related to this offering.</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Initially, the maximum number of shares of our common stock that may be issued under our 2021 Plan after it becomes</w:t>
      </w:r>
    </w:p>
    <w:p>
      <w:pPr>
        <w:spacing w:after="0" w:line="46" w:lineRule="exact"/>
        <w:rPr>
          <w:sz w:val="20"/>
          <w:szCs w:val="20"/>
          <w:color w:val="auto"/>
        </w:rPr>
      </w:pPr>
    </w:p>
    <w:p>
      <w:pPr>
        <w:ind w:left="120" w:right="180"/>
        <w:spacing w:after="0" w:line="281" w:lineRule="auto"/>
        <w:rPr>
          <w:sz w:val="20"/>
          <w:szCs w:val="20"/>
          <w:color w:val="auto"/>
        </w:rPr>
      </w:pPr>
      <w:r>
        <w:rPr>
          <w:rFonts w:ascii="Arial" w:cs="Arial" w:eastAsia="Arial" w:hAnsi="Arial"/>
          <w:sz w:val="16"/>
          <w:szCs w:val="16"/>
          <w:color w:val="auto"/>
        </w:rPr>
        <w:t>effective will not exceed shares, which is the sum of (1) new shares, plus (2) the number of shares that remain available for issuance under our Prior Plan at the time our 2021 Plan becomes effective, plus (3) any shares subject to outstanding stock options or other stock awards that were granted under our Prior Plan that, on or after the 2021 Plan becomes effective, terminate or expire prior to exercise or settlement; are settled in cash; are forfeited or repurchased because of the failure to vest; or are reacquired or withheld to satisfy a tax withholding obligation or the purchase or exercise price in accordance with the terms of the Prior Plan. In addition, the number of shares of our common stock reserved for issuance under our 2021 Plan will automatically increase on January 1 of each calendar year, starting on January 1, 2022 (assuming the 2021 Plan becomes effective in</w:t>
      </w:r>
    </w:p>
    <w:p>
      <w:pPr>
        <w:spacing w:after="0" w:line="4" w:lineRule="exact"/>
        <w:rPr>
          <w:sz w:val="20"/>
          <w:szCs w:val="20"/>
          <w:color w:val="auto"/>
        </w:rPr>
      </w:pPr>
    </w:p>
    <w:p>
      <w:pPr>
        <w:ind w:left="120" w:right="140"/>
        <w:spacing w:after="0" w:line="281" w:lineRule="auto"/>
        <w:rPr>
          <w:sz w:val="20"/>
          <w:szCs w:val="20"/>
          <w:color w:val="auto"/>
        </w:rPr>
      </w:pPr>
      <w:r>
        <w:rPr>
          <w:rFonts w:ascii="Arial" w:cs="Arial" w:eastAsia="Arial" w:hAnsi="Arial"/>
          <w:sz w:val="16"/>
          <w:szCs w:val="16"/>
          <w:color w:val="auto"/>
        </w:rPr>
        <w:t>2021) through January 1, 2031, in an amount equal to % of the total number of shares of our common stock outstanding on December 31 of the fiscal year before the date of each automatic increase, or a lesser number of shares determined by our board of directors prior to the applicable January</w:t>
      </w:r>
    </w:p>
    <w:p>
      <w:pPr>
        <w:spacing w:after="0" w:line="1" w:lineRule="exact"/>
        <w:rPr>
          <w:sz w:val="20"/>
          <w:szCs w:val="20"/>
          <w:color w:val="auto"/>
        </w:rPr>
      </w:pPr>
    </w:p>
    <w:p>
      <w:pPr>
        <w:ind w:left="300" w:hanging="184"/>
        <w:spacing w:after="0"/>
        <w:tabs>
          <w:tab w:leader="none" w:pos="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maximum number of shares of our common stock that may be issued upon the exercise of incentive stock options under our 2021 Plan is</w:t>
      </w:r>
    </w:p>
    <w:p>
      <w:pPr>
        <w:spacing w:after="0" w:line="20"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11"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Shares subject to stock awards granted under our 2021 Plan that expire or terminate without being exercised in full, or that are paid out in cash rather than in shares, do not reduce the number of shares available for issuance under our 2021 Plan. Additionally, shares become available for future grant under our 2021 Plan if they were issued under stock awards under our 2021 Plan if we repurchase them or they are forfeited. This includes shares used to pay the exercise price of a stock award or to satisfy the tax withholding obligations related to a stock award.</w:t>
      </w:r>
    </w:p>
    <w:p>
      <w:pPr>
        <w:spacing w:after="0" w:line="157"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Our board of directors, or a duly authorized committee of our board of directors, will administer our 2021 Plan.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has delegated concurrent authority to administer our 2021 Plan to the compensation committee. We refer to the board of directors, or the applicable committee with the power to administer our 2021 Plan, as the plan administrator. Our plan administrator may also delegate to one or more of our officers the authority to (1) designate employees (other than officers) to receive specified stock awards and (2) determine the number of shares subject to such stock awards. Under our 2021 Plan, our board of directors has the authority to determine award recipients, grant dates, the numbers and types of stock awards to be granted, the applicable fair market value, and the provisions of each stock award, including the period of exercisability and the vesting schedule applicable to a stock award. The plan administrator has the power to modify outstanding awards under our 2021 Plan. Subject to the terms of our 2021 Plan, the plan administrator has the authority to reprice any outstanding stock award, cancel and re-grant any outstanding stock award in exchange for new stock awards, cash or other consideration, or take any other action that is treated as a repricing under generally accepted accounting principles, with the consent of any adversely affected participant.</w:t>
      </w:r>
    </w:p>
    <w:p>
      <w:pPr>
        <w:spacing w:after="0" w:line="185"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ISOs and NSOs are granted under stock option agreements adopted by the plan administrator. The plan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the exercise price for stock options, within the terms and conditions of the 2021 Plan, provided that the exercise price of a stock option generally cannot be less than 100% of the fair market value of our common stock on the date of grant. Options granted under the 2021 Plan vest at the rate specified in the stock option agreement as determined by the plan administrator.</w:t>
      </w:r>
    </w:p>
    <w:p>
      <w:pPr>
        <w:spacing w:after="0" w:line="187"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i w:val="1"/>
          <w:iCs w:val="1"/>
          <w:color w:val="auto"/>
        </w:rPr>
        <w:t xml:space="preserve">Tax Limitations on ISOs. </w:t>
      </w:r>
      <w:r>
        <w:rPr>
          <w:rFonts w:ascii="Arial" w:cs="Arial" w:eastAsia="Arial" w:hAnsi="Arial"/>
          <w:sz w:val="17"/>
          <w:szCs w:val="17"/>
          <w:color w:val="auto"/>
        </w:rPr>
        <w:t>The aggregate fair market value, determined at the time of grant, of our common stock with respect to ISOs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exercisable for the first time by an optionholder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affiliates unless (1) the option exercise price is at least 110% of the fair market value of the stock subject to the option on the date of grant, and (2) the term of the ISO does not exceed five years from the date of grant.</w:t>
      </w:r>
    </w:p>
    <w:p>
      <w:pPr>
        <w:spacing w:after="0" w:line="170"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i w:val="1"/>
          <w:iCs w:val="1"/>
          <w:color w:val="auto"/>
        </w:rPr>
        <w:t>Restricted Stock Unit Awards</w:t>
      </w:r>
      <w:r>
        <w:rPr>
          <w:rFonts w:ascii="Arial" w:cs="Arial" w:eastAsia="Arial" w:hAnsi="Arial"/>
          <w:sz w:val="18"/>
          <w:szCs w:val="18"/>
          <w:color w:val="auto"/>
        </w:rPr>
        <w:t>. Restricted stock units are granted under restricted stock unit award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units may be granted in consideration for any form of legal consideration that may be acceptable to our board of directors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or other written agreement between us and the participant, restricted stock units that have not vested will be forfeited once the participant’s continuous service ends for any reason.</w:t>
      </w:r>
    </w:p>
    <w:p>
      <w:pPr>
        <w:spacing w:after="0" w:line="195"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Restricted stock awards are granted under restricted stock award agreements adopted by the plan administrator.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 may be awarded in consideration for cash, check, bank draft or money order,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common stock held by the participant that have not vested as of the date the participant terminates service with us through a forfeiture condition or a repurchase right.</w:t>
      </w:r>
    </w:p>
    <w:p>
      <w:pPr>
        <w:spacing w:after="0" w:line="192" w:lineRule="exact"/>
        <w:rPr>
          <w:sz w:val="20"/>
          <w:szCs w:val="20"/>
          <w:color w:val="auto"/>
        </w:rPr>
      </w:pPr>
    </w:p>
    <w:p>
      <w:pPr>
        <w:ind w:left="120" w:right="300" w:firstLine="881"/>
        <w:spacing w:after="0" w:line="279"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under stock appreciation grant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The plan administrator determines the purchase price or strike price for a stock appreciation right, which generally cannot be less than 100% of the fair market value of our common stock on the date of grant. A stock appreciation right granted under the 2021 Plan vests at the rate specified in the stock appreciation right agreement as determined by the plan administrator.</w:t>
      </w:r>
    </w:p>
    <w:p>
      <w:pPr>
        <w:spacing w:after="0" w:line="17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The 2021 Plan permits the grant of performance-based stock and cash awards. The plan administrator may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so that the shares of our stock, cash, or other property will be issued or paid only following the achievement of certain pre-established performance goals during a designated performance period. The performance criteria that will be used to establish such performance goals may be based on any measure of performance selected by the plan administrator.</w:t>
      </w:r>
    </w:p>
    <w:p>
      <w:pPr>
        <w:spacing w:after="0" w:line="187" w:lineRule="exact"/>
        <w:rPr>
          <w:sz w:val="20"/>
          <w:szCs w:val="20"/>
          <w:color w:val="auto"/>
        </w:rPr>
      </w:pPr>
    </w:p>
    <w:p>
      <w:pPr>
        <w:ind w:left="120" w:right="80" w:firstLine="881"/>
        <w:spacing w:after="0" w:line="283" w:lineRule="auto"/>
        <w:rPr>
          <w:sz w:val="20"/>
          <w:szCs w:val="20"/>
          <w:color w:val="auto"/>
        </w:rPr>
      </w:pPr>
      <w:r>
        <w:rPr>
          <w:rFonts w:ascii="Arial" w:cs="Arial" w:eastAsia="Arial" w:hAnsi="Arial"/>
          <w:sz w:val="16"/>
          <w:szCs w:val="16"/>
          <w:color w:val="auto"/>
        </w:rPr>
        <w:t>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portion of our business which is divested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and</w:t>
      </w:r>
    </w:p>
    <w:p>
      <w:pPr>
        <w:spacing w:after="0" w:line="2" w:lineRule="exact"/>
        <w:rPr>
          <w:sz w:val="20"/>
          <w:szCs w:val="20"/>
          <w:color w:val="auto"/>
        </w:rPr>
      </w:pPr>
    </w:p>
    <w:p>
      <w:pPr>
        <w:ind w:left="5480" w:right="4800" w:hanging="5364"/>
        <w:spacing w:after="0" w:line="517" w:lineRule="auto"/>
        <w:tabs>
          <w:tab w:leader="none" w:pos="44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exclude the goodwill and intangible asset impairment charges that are required 149</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to be recorded under generally accepted accounting principles. In addition, we retain the discretion to reduce or eliminate the compensation or economic benefit due upon attainment of the goals. The performance goals may differ from participant to participant and from award to award.</w:t>
      </w:r>
    </w:p>
    <w:p>
      <w:pPr>
        <w:spacing w:after="0" w:line="146" w:lineRule="exact"/>
        <w:rPr>
          <w:sz w:val="20"/>
          <w:szCs w:val="20"/>
          <w:color w:val="auto"/>
        </w:rPr>
      </w:pPr>
    </w:p>
    <w:p>
      <w:pPr>
        <w:ind w:left="120" w:right="180" w:firstLine="881"/>
        <w:spacing w:after="0" w:line="342" w:lineRule="auto"/>
        <w:rPr>
          <w:sz w:val="20"/>
          <w:szCs w:val="20"/>
          <w:color w:val="auto"/>
        </w:rPr>
      </w:pPr>
      <w:r>
        <w:rPr>
          <w:rFonts w:ascii="Arial" w:cs="Arial" w:eastAsia="Arial" w:hAnsi="Arial"/>
          <w:sz w:val="16"/>
          <w:szCs w:val="16"/>
          <w:i w:val="1"/>
          <w:iCs w:val="1"/>
          <w:color w:val="auto"/>
        </w:rPr>
        <w:t>Other Stock Awards</w:t>
      </w:r>
      <w:r>
        <w:rPr>
          <w:rFonts w:ascii="Arial" w:cs="Arial" w:eastAsia="Arial" w:hAnsi="Arial"/>
          <w:sz w:val="16"/>
          <w:szCs w:val="16"/>
          <w:color w:val="auto"/>
        </w:rPr>
        <w:t>. The plan administrator may grant other awards based in whole or in part by reference to our common stock.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will set the number of shares under the stock award (or cash equivalent) and all other terms and conditions of such awards.</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6"/>
          <w:szCs w:val="16"/>
          <w:i w:val="1"/>
          <w:iCs w:val="1"/>
          <w:color w:val="auto"/>
        </w:rPr>
        <w:t>Non-Employee Director Compensation Limit</w:t>
      </w:r>
      <w:r>
        <w:rPr>
          <w:rFonts w:ascii="Arial" w:cs="Arial" w:eastAsia="Arial" w:hAnsi="Arial"/>
          <w:sz w:val="16"/>
          <w:szCs w:val="16"/>
          <w:color w:val="auto"/>
        </w:rPr>
        <w:t>. The aggregate value of all compensation granted or paid to any non-employee director with</w:t>
      </w:r>
    </w:p>
    <w:p>
      <w:pPr>
        <w:spacing w:after="0" w:line="46" w:lineRule="exact"/>
        <w:rPr>
          <w:sz w:val="20"/>
          <w:szCs w:val="20"/>
          <w:color w:val="auto"/>
        </w:rPr>
      </w:pPr>
    </w:p>
    <w:p>
      <w:pPr>
        <w:ind w:left="120" w:right="260"/>
        <w:spacing w:after="0" w:line="277" w:lineRule="auto"/>
        <w:rPr>
          <w:sz w:val="20"/>
          <w:szCs w:val="20"/>
          <w:color w:val="auto"/>
        </w:rPr>
      </w:pPr>
      <w:r>
        <w:rPr>
          <w:rFonts w:ascii="Arial" w:cs="Arial" w:eastAsia="Arial" w:hAnsi="Arial"/>
          <w:sz w:val="17"/>
          <w:szCs w:val="17"/>
          <w:color w:val="auto"/>
        </w:rPr>
        <w:t>respect to any calendar year, including stock awards granted and cash fees paid by us to such non-employee director, will not exceed $ in total value, or in the event such non-employee director is first appointed or elected to the board during such annual period, $ in total value (in each case, calculating the value of any such stock awards based on the grant date fair value of such stock awards for financial reporting purposes).</w:t>
      </w:r>
    </w:p>
    <w:p>
      <w:pPr>
        <w:spacing w:after="0" w:line="173"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stock split, reverse stock</w:t>
      </w:r>
      <w:r>
        <w:rPr>
          <w:rFonts w:ascii="Arial" w:cs="Arial" w:eastAsia="Arial" w:hAnsi="Arial"/>
          <w:sz w:val="18"/>
          <w:szCs w:val="18"/>
          <w:i w:val="1"/>
          <w:iCs w:val="1"/>
          <w:color w:val="auto"/>
        </w:rPr>
        <w:t xml:space="preserve"> </w:t>
      </w:r>
      <w:r>
        <w:rPr>
          <w:rFonts w:ascii="Arial" w:cs="Arial" w:eastAsia="Arial" w:hAnsi="Arial"/>
          <w:sz w:val="18"/>
          <w:szCs w:val="18"/>
          <w:color w:val="auto"/>
        </w:rPr>
        <w:t>split, or recapitalization, appropriate adjustments will be made to (1) the class and maximum number of shares reserved for issuance under the 2021 Plan, (2) the class and maximum number of shares by which the share reserve may increase automatically each year, (3) the class and maximum number of shares that may be issued upon the exercise of incentive stock options, and (4) the class and number of shares and exercise price, strike price, or purchase price, if applicable, of all outstanding stock awards.</w:t>
      </w:r>
    </w:p>
    <w:p>
      <w:pPr>
        <w:spacing w:after="0" w:line="188"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applies to stock awards under the 2021 Plan in the event of a corporate transaction,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a participant’s stock award agreement or other written agreement with us or one of our affiliates or unless otherwise expressly provided by the plan administrator at the time of grant.</w:t>
      </w:r>
    </w:p>
    <w:p>
      <w:pPr>
        <w:spacing w:after="0" w:line="184"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In the event of a corporate transaction, any stock awards outstanding under the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w:t>
      </w:r>
    </w:p>
    <w:p>
      <w:pPr>
        <w:spacing w:after="0" w:line="171"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(1) the value of the property the participant would have received upon the exercise of the stock award over (2) any exercise price payable by such holder in connection with such exercise.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Under our 2021 Plan, a corporate transaction is defined to include the consummation of: (1) a sale of all or substantially all of our assets,</w:t>
      </w:r>
    </w:p>
    <w:p>
      <w:pPr>
        <w:spacing w:after="0" w:line="46" w:lineRule="exact"/>
        <w:rPr>
          <w:sz w:val="20"/>
          <w:szCs w:val="20"/>
          <w:color w:val="auto"/>
        </w:rPr>
      </w:pPr>
    </w:p>
    <w:p>
      <w:pPr>
        <w:ind w:left="120" w:right="100" w:hanging="4"/>
        <w:spacing w:after="0" w:line="253" w:lineRule="auto"/>
        <w:tabs>
          <w:tab w:leader="none" w:pos="37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sale or disposition of at least 50% of our outstanding securities, (3) a merger or consolidation where we do not survive the transaction, and (4)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w:t>
      </w:r>
    </w:p>
    <w:p>
      <w:pPr>
        <w:spacing w:after="0" w:line="193"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Awards granted under the 2021 Plan may be subject to acceleration of vesting and exercisability upon or after a change</w:t>
      </w:r>
      <w:r>
        <w:rPr>
          <w:rFonts w:ascii="Arial" w:cs="Arial" w:eastAsia="Arial" w:hAnsi="Arial"/>
          <w:sz w:val="17"/>
          <w:szCs w:val="17"/>
          <w:i w:val="1"/>
          <w:iCs w:val="1"/>
          <w:color w:val="auto"/>
        </w:rPr>
        <w:t xml:space="preserve"> </w:t>
      </w:r>
      <w:r>
        <w:rPr>
          <w:rFonts w:ascii="Arial" w:cs="Arial" w:eastAsia="Arial" w:hAnsi="Arial"/>
          <w:sz w:val="17"/>
          <w:szCs w:val="17"/>
          <w:color w:val="auto"/>
        </w:rPr>
        <w:t>in control (as defined in the 2021 Plan) as may be provided in the applicable stock award agreement or in any other written agreement between us or any affiliate and the participant, but in the absence of such provision, no such acceleration will automatically occur.</w:t>
      </w:r>
    </w:p>
    <w:p>
      <w:pPr>
        <w:spacing w:after="0" w:line="165"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Under the 2021 Plan, a change in control is defined to include (1) the acquisition by any person or company of more than 50% of the combined voting power of our then outstanding stock; (2) a consummated merger, consolidation or similar transaction in which our stockholders immediately before the transaction do not own, directly or indirectly, more than 50% of the combined voting power of the surviving entity (or the parent of the surviving entity); (3) the approval by the stockholders or the board of directors of a plan of complete dissolution or liquidation of the company, or the occurrence of a complete dissolution or liquidation of the company, except for a liquidation into a parent corporation; (4) a consummated sale, lease, exclusive license or other disposition of all or substantially all of our assets other than to an entity more than 50% of the combined voting power of which is owned by our stockholders; and (5) an unapproved change in the majority of the board of directors.</w:t>
      </w:r>
    </w:p>
    <w:p>
      <w:pPr>
        <w:spacing w:after="0" w:line="177"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stock awards under our 2021 Plan other than by will, the laws of descent and distribution, or</w:t>
      </w:r>
      <w:r>
        <w:rPr>
          <w:rFonts w:ascii="Arial" w:cs="Arial" w:eastAsia="Arial" w:hAnsi="Arial"/>
          <w:sz w:val="18"/>
          <w:szCs w:val="18"/>
          <w:i w:val="1"/>
          <w:iCs w:val="1"/>
          <w:color w:val="auto"/>
        </w:rPr>
        <w:t xml:space="preserve"> </w:t>
      </w:r>
      <w:r>
        <w:rPr>
          <w:rFonts w:ascii="Arial" w:cs="Arial" w:eastAsia="Arial" w:hAnsi="Arial"/>
          <w:sz w:val="18"/>
          <w:szCs w:val="18"/>
          <w:color w:val="auto"/>
        </w:rPr>
        <w:t>as otherwise provided under our 2021 Plan.</w:t>
      </w:r>
    </w:p>
    <w:p>
      <w:pPr>
        <w:spacing w:after="0" w:line="170"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i w:val="1"/>
          <w:iCs w:val="1"/>
          <w:color w:val="auto"/>
        </w:rPr>
        <w:t>Plan Amendment or Termination</w:t>
      </w:r>
      <w:r>
        <w:rPr>
          <w:rFonts w:ascii="Arial" w:cs="Arial" w:eastAsia="Arial" w:hAnsi="Arial"/>
          <w:sz w:val="17"/>
          <w:szCs w:val="17"/>
          <w:color w:val="auto"/>
        </w:rPr>
        <w:t>. Our board of directors has the authority to amend, suspend, or terminate our 2021 Plan, provided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action does not materially impair the existing rights of any participant without such participant’s written consent. Certain material amendments also require the approval of our stockholders. No incentive stock options may be granted after the tenth anniversary of the date our board of directors adopted our 2021 Plan. No stock awards may be granted under our 2021 Plan while it is suspended or after it is terminated.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Stock Performance Plan</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Amended and Restated Stock Performance Plan (the Prior Plan) was originally adopted by our board of directors and approved by our stockholders in April 8, 2013, and most recently amended and approved by our board of directors and our stockholders on November 20, 2020. The Prior Plan provides for the grant of ISOs, NSOs, restricted stock awards, restricted stock units, stock appreciation rights, performance share awards and other stock-based awards. Our employees, officers, directors, consultants and advisors are eligible to receive awards under the Prior Plan; however, ISOs may only be granted to our employees.</w:t>
      </w:r>
    </w:p>
    <w:p>
      <w:pPr>
        <w:spacing w:after="0" w:line="188"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i w:val="1"/>
          <w:iCs w:val="1"/>
          <w:color w:val="auto"/>
        </w:rPr>
        <w:t>Stock Awards</w:t>
      </w:r>
      <w:r>
        <w:rPr>
          <w:rFonts w:ascii="Arial" w:cs="Arial" w:eastAsia="Arial" w:hAnsi="Arial"/>
          <w:sz w:val="17"/>
          <w:szCs w:val="17"/>
          <w:color w:val="auto"/>
        </w:rPr>
        <w:t>. As of March 31, 2021, there were 5,187,014 shares of common stock issuable upon the exercise of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under the Prior Plan at a weighted-average exercise price of $0.79 per share, options to purchase 28,220 shares of our common stock had been exercised and 993,875 shares of common stock were available for future issuance under the Prior Plan. On and after the effective date of the 2021 Plan described above, we will grant no further stock options or other awards under the Prior Plan. However, any shares of common stock subject to awards under our Prior Plan that expire, terminate, or otherwise are surrendered or canceled without being fully exercised, are forfeited or results in any common stock not being issued will become available for issuance under our 2021 Plan.</w:t>
      </w:r>
    </w:p>
    <w:p>
      <w:pPr>
        <w:spacing w:after="0" w:line="178"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committee appointed by our board, administers the Prior Plan and, subject to any limitations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Prior Plan, will select the recipients of awards, determine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number of shares of common stock to be subject to such stock awards and specify the other terms and conditions, including the exercise price or purchase price and vesting schedule, applicable to such stock awards.</w:t>
      </w:r>
    </w:p>
    <w:p>
      <w:pPr>
        <w:spacing w:after="0" w:line="170"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The Prior Plan provides that a maximum of 6,227,011 shares of our common stock are authorized for issuance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Our board of directors may amend, suspend, or terminate the Prior Plan at any time.</w:t>
      </w:r>
    </w:p>
    <w:p>
      <w:pPr>
        <w:spacing w:after="0" w:line="170"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If an award under the Prior expires or becomes unexercisable without having been exercised in full, or is surrendered pursuant to an option exchange program, the unpurchased shares which were subject thereto shall become available for future grant or sale under the Prior Plan. Shares of our common stock that have actually been issued under the Prior Plan, shall not be returned to the Prior Plan, except that if shares of restricted stock are repurchased at their original purchase price, such shares of our common stock shall become available for future grant under the Plan. Upon closing of this offering, any shares that would otherwise be returned to the Prior Plan will instead be added to the shares of common stock available for issuance under the 2021 Plan.</w:t>
      </w:r>
    </w:p>
    <w:p>
      <w:pPr>
        <w:spacing w:after="0" w:line="192"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per share of ISOs and NSOs granted under our Prior Plan cannot be less than 100% of the fair market value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our common stock on the grant date. Subject to the provisions of our Prior Plan, our board of directors determines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8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Upon the occurrence of any stock split, reverse stock split, stock dividend, combination or reclassification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any other increase or decrease in the number of issued shares of our common stock effected without receipt of consideration by us, the number of shares covered by an award, the number of shares authorized for issuance under the Prior Plan as well as the price per share of our common stock subject to an award shall be proportionately adjusted.</w:t>
      </w:r>
    </w:p>
    <w:p>
      <w:pPr>
        <w:spacing w:after="0" w:line="187"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all unvested awards shall become immediately vested unless otherwise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an award agreement.</w:t>
      </w:r>
    </w:p>
    <w:p>
      <w:pPr>
        <w:spacing w:after="0" w:line="170" w:lineRule="exact"/>
        <w:rPr>
          <w:sz w:val="20"/>
          <w:szCs w:val="20"/>
          <w:color w:val="auto"/>
        </w:rPr>
      </w:pPr>
    </w:p>
    <w:p>
      <w:pPr>
        <w:ind w:left="120" w:right="80" w:firstLine="881"/>
        <w:spacing w:after="0" w:line="342"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A participant generally may not transfer stock awards under the Prior Plan other than by will, the laws of descent and</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except as our board of directors may otherwise determine or provide in the award agreement or as otherwise provided under the Prior Plan.</w:t>
      </w:r>
    </w:p>
    <w:p>
      <w:pPr>
        <w:spacing w:after="0" w:line="124"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Our board of directors has the authority to amend, suspend or terminate the Prior Plan. No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alteration, suspension or termination of the Prior Plan shall impair the rights of any participant, unless mutually agreed otherwise between the participant and the board in writing. Unless terminated sooner by our board of directors, the Prior Plan will automatically terminate on April 8, 2023. Our board of directors has determined not to make any further awards under the Prior Plan following the closing of this offering.</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25" w:lineRule="exact"/>
        <w:rPr>
          <w:sz w:val="20"/>
          <w:szCs w:val="20"/>
          <w:color w:val="auto"/>
        </w:rPr>
      </w:pPr>
    </w:p>
    <w:p>
      <w:pPr>
        <w:ind w:left="120" w:right="180" w:firstLine="881"/>
        <w:spacing w:after="0" w:line="274" w:lineRule="auto"/>
        <w:rPr>
          <w:sz w:val="20"/>
          <w:szCs w:val="20"/>
          <w:color w:val="auto"/>
        </w:rPr>
      </w:pPr>
      <w:r>
        <w:rPr>
          <w:rFonts w:ascii="Arial" w:cs="Arial" w:eastAsia="Arial" w:hAnsi="Arial"/>
          <w:sz w:val="17"/>
          <w:szCs w:val="17"/>
          <w:color w:val="auto"/>
        </w:rPr>
        <w:t>Our board of directors adopted our 2021 Employee Stock Purchase Plan (ESPP) on , 2021 and our stockholders approved our ESPP on , 2021. The ESPP will become effective immediately prior to and contingent upon the execution of the underwriting agreement</w:t>
      </w:r>
    </w:p>
    <w:p>
      <w:pPr>
        <w:ind w:left="120" w:right="80"/>
        <w:spacing w:after="0" w:line="252" w:lineRule="auto"/>
        <w:rPr>
          <w:sz w:val="20"/>
          <w:szCs w:val="20"/>
          <w:color w:val="auto"/>
        </w:rPr>
      </w:pPr>
      <w:r>
        <w:rPr>
          <w:rFonts w:ascii="Arial" w:cs="Arial" w:eastAsia="Arial" w:hAnsi="Arial"/>
          <w:sz w:val="18"/>
          <w:szCs w:val="18"/>
          <w:color w:val="auto"/>
        </w:rPr>
        <w:t>related to this offering. The purpose of the ESPP is to secure the services of new employees, to retain the services of existing employees, and to provide incentives for such individuals to exert maximum efforts toward our success and that of our affiliates. The ESPP includes two components. One component is designed to allow eligible U.S. employees to purchase our common stock in a manner that may qualify for favorable tax treatment under Section 423 of the Code. In addition, purchase rights may be granted under a component that does not qualify for such favorable tax treatment because of deviations necessary to permit participation by eligible employees who are foreign nationals or employed outside of the U.S. while complying with applicable foreign laws.</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tabs>
          <w:tab w:leader="none" w:pos="7060" w:val="left"/>
        </w:tabs>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Following this offering, the ESPP authorizes the issuance of</w:t>
      </w:r>
      <w:r>
        <w:rPr>
          <w:sz w:val="20"/>
          <w:szCs w:val="20"/>
          <w:color w:val="auto"/>
        </w:rPr>
        <w:tab/>
      </w:r>
      <w:r>
        <w:rPr>
          <w:rFonts w:ascii="Arial" w:cs="Arial" w:eastAsia="Arial" w:hAnsi="Arial"/>
          <w:sz w:val="16"/>
          <w:szCs w:val="16"/>
          <w:color w:val="auto"/>
        </w:rPr>
        <w:t>shares of our common stock under purchase rights</w:t>
      </w:r>
    </w:p>
    <w:p>
      <w:pPr>
        <w:spacing w:after="0" w:line="23" w:lineRule="exact"/>
        <w:rPr>
          <w:sz w:val="20"/>
          <w:szCs w:val="20"/>
          <w:color w:val="auto"/>
        </w:rPr>
      </w:pPr>
    </w:p>
    <w:p>
      <w:pPr>
        <w:ind w:left="120" w:right="400"/>
        <w:spacing w:after="0" w:line="186" w:lineRule="auto"/>
        <w:rPr>
          <w:sz w:val="20"/>
          <w:szCs w:val="20"/>
          <w:color w:val="auto"/>
        </w:rPr>
      </w:pPr>
      <w:r>
        <w:rPr>
          <w:rFonts w:ascii="Arial" w:cs="Arial" w:eastAsia="Arial" w:hAnsi="Arial"/>
          <w:sz w:val="12"/>
          <w:szCs w:val="12"/>
          <w:color w:val="auto"/>
        </w:rPr>
        <w:t>granted to our employees or to employees of any of our designated affiliates. The number of shares of our common stock reserved for issuance will automatically increase on January 1 of each calendar year, beginning on January 1, 2022 (assuming the ESPP becomes effective in 2021) through</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January 1, 2031, by the lesser of (1) % of the total number of shares of our common stock outstanding on the last day of the fiscal year before the date of the automatic increase, and (2) shares; provided that before the date of any such increase, our board of directors may determine that such</w:t>
      </w:r>
    </w:p>
    <w:p>
      <w:pPr>
        <w:ind w:left="120" w:right="220"/>
        <w:spacing w:after="0" w:line="260" w:lineRule="auto"/>
        <w:rPr>
          <w:sz w:val="20"/>
          <w:szCs w:val="20"/>
          <w:color w:val="auto"/>
        </w:rPr>
      </w:pPr>
      <w:r>
        <w:rPr>
          <w:rFonts w:ascii="Arial" w:cs="Arial" w:eastAsia="Arial" w:hAnsi="Arial"/>
          <w:sz w:val="18"/>
          <w:szCs w:val="18"/>
          <w:color w:val="auto"/>
        </w:rPr>
        <w:t>increase will be less than the amount set forth in clauses (1) and (2). As of the date hereof, no shares of our common stock have been purchased under the ESPP.</w:t>
      </w:r>
    </w:p>
    <w:p>
      <w:pPr>
        <w:spacing w:after="0" w:line="185"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administers the ESPP and may delegate its authority to administer the ESPP to our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6"/>
          <w:szCs w:val="16"/>
          <w:i w:val="1"/>
          <w:iCs w:val="1"/>
          <w:color w:val="auto"/>
        </w:rPr>
        <w:t>Payroll Deductions</w:t>
      </w:r>
      <w:r>
        <w:rPr>
          <w:rFonts w:ascii="Arial" w:cs="Arial" w:eastAsia="Arial" w:hAnsi="Arial"/>
          <w:sz w:val="16"/>
          <w:szCs w:val="16"/>
          <w:color w:val="auto"/>
        </w:rPr>
        <w:t>. Generally, all regular employees, including executive officers, employed by us or by any of our designated affiliates,</w:t>
      </w:r>
    </w:p>
    <w:p>
      <w:pPr>
        <w:spacing w:after="0" w:line="46"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may participate in the ESPP and may contribute, normally through payroll deductions, up to % of their earnings (as defined in the ESPP) for the purchase of our common stock under the ESPP. Unless otherwise determined by our board of directors, common stock will be purchased for the accounts of employees participating in the ESPP at a price per share that is at least the lesser of (1) 85% of the fair market value of a share of our common stock on the first date of an offering, or (2) 85% of the fair market value of a share of our common stock on the date of purchase.</w:t>
      </w:r>
    </w:p>
    <w:p>
      <w:pPr>
        <w:spacing w:after="0" w:line="176"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 participating in the ESPP, as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our board of directors,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common stock based on the fair market value per share of our common stock at the beginning of an offering for each calendar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177"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that there occurs a change in our capital structure through such actions as a stock split,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class(es) and maximum number of shares reserved under the ESPP, (2) the class(es) and maximum number of shares by which the share reserve may increase automatically each year, (3) the class(es) and number of shares subject to and purchase price applicable to outstanding offerings and purchase rights, and (4) the number of shares that are subject to purchase limits under ongoing offerings.</w:t>
      </w:r>
    </w:p>
    <w:p>
      <w:pPr>
        <w:spacing w:after="0" w:line="164"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certain significant corporate transactions, including the consummation of (1) a sale of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(2) the sale or disposition of more than 50% of our outstanding securities, (3) a merger or consolidation where we do not survive the transaction, or (4)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ESPP may be assumed, continued or substituted for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w:t>
      </w:r>
    </w:p>
    <w:p>
      <w:pPr>
        <w:spacing w:after="0" w:line="165" w:lineRule="exact"/>
        <w:rPr>
          <w:sz w:val="20"/>
          <w:szCs w:val="20"/>
          <w:color w:val="auto"/>
        </w:rPr>
      </w:pPr>
    </w:p>
    <w:p>
      <w:pPr>
        <w:jc w:val="both"/>
        <w:ind w:left="120" w:right="120" w:firstLine="881"/>
        <w:spacing w:after="0" w:line="286" w:lineRule="auto"/>
        <w:rPr>
          <w:sz w:val="20"/>
          <w:szCs w:val="20"/>
          <w:color w:val="auto"/>
        </w:rPr>
      </w:pPr>
      <w:r>
        <w:rPr>
          <w:rFonts w:ascii="Arial" w:cs="Arial" w:eastAsia="Arial" w:hAnsi="Arial"/>
          <w:sz w:val="17"/>
          <w:szCs w:val="17"/>
          <w:i w:val="1"/>
          <w:iCs w:val="1"/>
          <w:color w:val="auto"/>
        </w:rPr>
        <w:t>ESPP Amendment or Termination</w:t>
      </w:r>
      <w:r>
        <w:rPr>
          <w:rFonts w:ascii="Arial" w:cs="Arial" w:eastAsia="Arial" w:hAnsi="Arial"/>
          <w:sz w:val="17"/>
          <w:szCs w:val="17"/>
          <w:color w:val="auto"/>
        </w:rPr>
        <w:t>. Our board of directors has the authority to amend or terminate our ESPP, provided that except in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229" w:lineRule="exact"/>
        <w:rPr>
          <w:sz w:val="20"/>
          <w:szCs w:val="20"/>
          <w:color w:val="auto"/>
        </w:rPr>
      </w:pPr>
    </w:p>
    <w:p>
      <w:pPr>
        <w:ind w:left="120" w:right="120" w:firstLine="881"/>
        <w:spacing w:after="0" w:line="286"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92" w:lineRule="exact"/>
        <w:rPr>
          <w:sz w:val="20"/>
          <w:szCs w:val="20"/>
          <w:color w:val="auto"/>
        </w:rPr>
      </w:pPr>
    </w:p>
    <w:p>
      <w:pPr>
        <w:ind w:left="1420" w:hanging="319"/>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52"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left="120" w:right="120" w:firstLine="881"/>
        <w:spacing w:after="0" w:line="254" w:lineRule="auto"/>
        <w:rPr>
          <w:sz w:val="20"/>
          <w:szCs w:val="20"/>
          <w:color w:val="auto"/>
        </w:rPr>
      </w:pPr>
      <w:r>
        <w:rPr>
          <w:rFonts w:ascii="Arial" w:cs="Arial" w:eastAsia="Arial" w:hAnsi="Arial"/>
          <w:sz w:val="18"/>
          <w:szCs w:val="18"/>
          <w:color w:val="auto"/>
        </w:rPr>
        <w:t>Our amended and restated certificate of incorporation and our amended and restated bylaws that will be in effect upon the closing of this offering will provide that we are required to indemnify our directors to the fullest extent permitted by Delaware law. Our amended and restated bylaws will also provide that, upon satisfaction of certain conditions, we are required to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officers and employees when determined appropriate by the board.</w:t>
      </w:r>
    </w:p>
    <w:p>
      <w:pPr>
        <w:spacing w:after="0" w:line="19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We have entered into indemnification agreements with each of our directors and expect to enter into indemnification agreements with each of our executive officers prior to the closing of this offering.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executive officers. We also maintain customary directors’ and officers’ liability insurance.</w:t>
      </w:r>
    </w:p>
    <w:p>
      <w:pPr>
        <w:spacing w:after="0" w:line="176" w:lineRule="exact"/>
        <w:rPr>
          <w:sz w:val="20"/>
          <w:szCs w:val="20"/>
          <w:color w:val="auto"/>
        </w:rPr>
      </w:pPr>
    </w:p>
    <w:p>
      <w:pPr>
        <w:jc w:val="both"/>
        <w:ind w:left="120" w:firstLine="881"/>
        <w:spacing w:after="0" w:line="31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49"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our directors, executive officers or persons controlling us, we have been informed that, in the opinion of the SEC, such indemnification is against public policy as expressed in the Securities Act and is therefore unenforceable.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Sales Plans</w:t>
      </w:r>
    </w:p>
    <w:p>
      <w:pPr>
        <w:spacing w:after="0" w:line="229"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w:t>
      </w:r>
    </w:p>
    <w:p>
      <w:pPr>
        <w:spacing w:after="0" w:line="2" w:lineRule="exact"/>
        <w:rPr>
          <w:sz w:val="20"/>
          <w:szCs w:val="20"/>
          <w:color w:val="auto"/>
        </w:rPr>
      </w:pPr>
    </w:p>
    <w:p>
      <w:pPr>
        <w:ind w:left="120" w:right="700"/>
        <w:spacing w:after="0" w:line="260" w:lineRule="auto"/>
        <w:rPr>
          <w:sz w:val="20"/>
          <w:szCs w:val="20"/>
          <w:color w:val="auto"/>
        </w:rPr>
      </w:pPr>
      <w:r>
        <w:rPr>
          <w:rFonts w:ascii="Arial" w:cs="Arial" w:eastAsia="Arial" w:hAnsi="Arial"/>
          <w:sz w:val="18"/>
          <w:szCs w:val="18"/>
          <w:color w:val="auto"/>
        </w:rPr>
        <w:t>180 days after the date of this offering, subject to early termination, the sale of any shares under such plans would be prohibited by the lock-up agreement that the director or officer has entered into with the underwriters.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following is a description of transactions since January 1, 2018 to which we have been a participant in which the amount involved exceeded or will exceed $120,000, and in which any of our directors, executive officers or holders of more than 5% of our capital stock, or any members of their immediately family, had or will have a direct or indirect material interest, other than compensation arrangements that are described under “Management—Non-Employee Director Compensation” and “Executive Compensation.”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 of Our Securities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225" w:lineRule="exact"/>
        <w:rPr>
          <w:sz w:val="20"/>
          <w:szCs w:val="20"/>
          <w:color w:val="auto"/>
        </w:rPr>
      </w:pPr>
    </w:p>
    <w:p>
      <w:pPr>
        <w:ind w:left="120" w:right="160" w:firstLine="881"/>
        <w:spacing w:after="0" w:line="275" w:lineRule="auto"/>
        <w:rPr>
          <w:sz w:val="20"/>
          <w:szCs w:val="20"/>
          <w:color w:val="auto"/>
        </w:rPr>
      </w:pPr>
      <w:r>
        <w:rPr>
          <w:rFonts w:ascii="Arial" w:cs="Arial" w:eastAsia="Arial" w:hAnsi="Arial"/>
          <w:sz w:val="17"/>
          <w:szCs w:val="17"/>
          <w:color w:val="auto"/>
        </w:rPr>
        <w:t>In May 2018 we issued a convertible promissory note to James B. Murray, Jr. Revocable Trust U/A/D 8/8/1991 in the aggregate principal amount of $237,500. James B. Murray, Jr. is the trustee of the James B. Murray, Jr. Revocable Trust U/A/D 8/5/1991 and is the Manager of Praxis Technologies. Entities affiliated with James B. Murray, Jr. collectively beneficially own more than 5% of our capital stock. In conjunction with the Series A/A-1 financing round, this note along with accrued interest converted into shares of Series A-1 preferred stock and is reflected in the aggregate purchase price and the aggregate shares issued to entities affiliated with James B. Murray, Jr. in the tables below.</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Convertible Preferred Stock Financings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From October 2018 to November 2019, (1) we issued an aggregate of 2,043,757 shares of our Series A convertible preferred stock upon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conversion of the aggregate principal amount and interest on certain then-outstanding promissory notes, (2) we issued an aggregate of 115,575 shares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Series A convertible preferred stock upon the optional conversion of certain shares of then-outstanding common stock, (3) we issued and sold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aggregate of 9,600,066 shares of our Series A-1 convertible preferred stock at a purchase price of $1.50 per share for aggregate gross proceeds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$14.4 million, (4) we issued an aggregate of 183,333 shares of our Series A-1 convertible preferred stock upon the conversion of the aggregate principal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 and interest on certain then-outstanding promissory notes, and (5) we issued an aggregate of 1,448,113 shares of our Series A-1 convertible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preferred stock upon the optional conversion of certain shares of then-outstanding Series A convertible preferred stock. Each share of our Series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convertible preferred stock and Series A-1 convertible preferred stock will convert into common stock upon the closing of this offering.</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Note</w:t>
            </w:r>
          </w:p>
        </w:tc>
        <w:tc>
          <w:tcPr>
            <w:tcW w:w="5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Series A</w:t>
            </w:r>
          </w:p>
        </w:tc>
        <w:tc>
          <w:tcPr>
            <w:tcW w:w="580" w:type="dxa"/>
            <w:vAlign w:val="bottom"/>
          </w:tcPr>
          <w:p>
            <w:pPr>
              <w:spacing w:after="0"/>
              <w:rPr>
                <w:sz w:val="14"/>
                <w:szCs w:val="14"/>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9"/>
              </w:rPr>
              <w:t>Series A</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1300" w:type="dxa"/>
            <w:vAlign w:val="bottom"/>
            <w:gridSpan w:val="2"/>
          </w:tcPr>
          <w:p>
            <w:pPr>
              <w:jc w:val="center"/>
              <w:ind w:left="464"/>
              <w:spacing w:after="0" w:line="149" w:lineRule="exact"/>
              <w:rPr>
                <w:sz w:val="20"/>
                <w:szCs w:val="20"/>
                <w:color w:val="auto"/>
              </w:rPr>
            </w:pPr>
            <w:r>
              <w:rPr>
                <w:rFonts w:ascii="Arial" w:cs="Arial" w:eastAsia="Arial" w:hAnsi="Arial"/>
                <w:sz w:val="14"/>
                <w:szCs w:val="14"/>
                <w:b w:val="1"/>
                <w:bCs w:val="1"/>
                <w:color w:val="auto"/>
                <w:w w:val="93"/>
              </w:rPr>
              <w:t>Convertible</w:t>
            </w:r>
          </w:p>
        </w:tc>
        <w:tc>
          <w:tcPr>
            <w:tcW w:w="5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5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660" w:type="dxa"/>
            <w:vAlign w:val="bottom"/>
            <w:gridSpan w:val="3"/>
          </w:tcPr>
          <w:p>
            <w:pPr>
              <w:jc w:val="center"/>
              <w:ind w:left="17"/>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Interest</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5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Preferred</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Converted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Received</w:t>
            </w:r>
          </w:p>
        </w:tc>
        <w:tc>
          <w:tcPr>
            <w:tcW w:w="5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Exchanged</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into shares</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Upon</w:t>
            </w:r>
          </w:p>
        </w:tc>
        <w:tc>
          <w:tcPr>
            <w:tcW w:w="5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for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Received</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Series A</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c>
          <w:tcPr>
            <w:tcW w:w="5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 Series A</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Upon</w:t>
            </w:r>
          </w:p>
        </w:tc>
        <w:tc>
          <w:tcPr>
            <w:tcW w:w="980" w:type="dxa"/>
            <w:vAlign w:val="bottom"/>
            <w:gridSpan w:val="2"/>
          </w:tcPr>
          <w:p>
            <w:pPr>
              <w:jc w:val="center"/>
              <w:ind w:left="137"/>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300" w:type="dxa"/>
            <w:vAlign w:val="bottom"/>
            <w:gridSpan w:val="2"/>
          </w:tcPr>
          <w:p>
            <w:pPr>
              <w:jc w:val="center"/>
              <w:ind w:left="464"/>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1360" w:type="dxa"/>
            <w:vAlign w:val="bottom"/>
            <w:gridSpan w:val="3"/>
          </w:tcPr>
          <w:p>
            <w:pPr>
              <w:jc w:val="center"/>
              <w:ind w:left="422"/>
              <w:spacing w:after="0" w:line="149"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Conversion</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5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Preferred</w:t>
            </w:r>
          </w:p>
        </w:tc>
        <w:tc>
          <w:tcPr>
            <w:tcW w:w="0" w:type="dxa"/>
            <w:vAlign w:val="bottom"/>
          </w:tcPr>
          <w:p>
            <w:pPr>
              <w:spacing w:after="0"/>
              <w:rPr>
                <w:sz w:val="1"/>
                <w:szCs w:val="1"/>
                <w:color w:val="auto"/>
              </w:rPr>
            </w:pPr>
          </w:p>
        </w:tc>
      </w:tr>
      <w:tr>
        <w:trPr>
          <w:trHeight w:val="149"/>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of Notes</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5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71"/>
        </w:trPr>
        <w:tc>
          <w:tcPr>
            <w:tcW w:w="4120" w:type="dxa"/>
            <w:vAlign w:val="bottom"/>
            <w:vMerge w:val="continue"/>
          </w:tcPr>
          <w:p>
            <w:pPr>
              <w:spacing w:after="0"/>
              <w:rPr>
                <w:sz w:val="14"/>
                <w:szCs w:val="14"/>
                <w:color w:val="auto"/>
              </w:rPr>
            </w:pPr>
          </w:p>
        </w:tc>
        <w:tc>
          <w:tcPr>
            <w:tcW w:w="1240" w:type="dxa"/>
            <w:vAlign w:val="bottom"/>
            <w:gridSpan w:val="2"/>
          </w:tcPr>
          <w:p>
            <w:pPr>
              <w:jc w:val="center"/>
              <w:ind w:left="437"/>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98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w w:val="93"/>
              </w:rPr>
              <w:t>($)</w:t>
            </w:r>
          </w:p>
        </w:tc>
        <w:tc>
          <w:tcPr>
            <w:tcW w:w="1300" w:type="dxa"/>
            <w:vAlign w:val="bottom"/>
            <w:gridSpan w:val="2"/>
          </w:tcPr>
          <w:p>
            <w:pPr>
              <w:jc w:val="center"/>
              <w:ind w:left="464"/>
              <w:spacing w:after="0"/>
              <w:rPr>
                <w:sz w:val="20"/>
                <w:szCs w:val="20"/>
                <w:color w:val="auto"/>
              </w:rPr>
            </w:pPr>
            <w:r>
              <w:rPr>
                <w:rFonts w:ascii="Arial" w:cs="Arial" w:eastAsia="Arial" w:hAnsi="Arial"/>
                <w:sz w:val="14"/>
                <w:szCs w:val="14"/>
                <w:b w:val="1"/>
                <w:bCs w:val="1"/>
                <w:color w:val="auto"/>
                <w:w w:val="93"/>
              </w:rPr>
              <w:t>(#)</w:t>
            </w:r>
          </w:p>
        </w:tc>
        <w:tc>
          <w:tcPr>
            <w:tcW w:w="130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Entities Affiliated with BVF Investments, LLC (1)</w:t>
            </w:r>
          </w:p>
        </w:tc>
        <w:tc>
          <w:tcPr>
            <w:tcW w:w="5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239,405</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359,110</w:t>
            </w:r>
          </w:p>
        </w:tc>
        <w:tc>
          <w:tcPr>
            <w:tcW w:w="5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NV Acumen Holdings LLC (2)</w:t>
            </w: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w w:val="86"/>
              </w:rPr>
              <w:t>276,265</w:t>
            </w:r>
          </w:p>
        </w:tc>
        <w:tc>
          <w:tcPr>
            <w:tcW w:w="4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414,398</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PBM Capital Investments, LLC (3)</w:t>
            </w:r>
          </w:p>
        </w:tc>
        <w:tc>
          <w:tcPr>
            <w:tcW w:w="16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524,274</w:t>
            </w:r>
            <w:r>
              <w:rPr>
                <w:rFonts w:ascii="Arial" w:cs="Arial" w:eastAsia="Arial" w:hAnsi="Arial"/>
                <w:sz w:val="15"/>
                <w:szCs w:val="15"/>
                <w:color w:val="auto"/>
              </w:rPr>
              <w:t>(5)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786,412</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Entities Affiliated with James B. Murray, Jr. (4)</w:t>
            </w:r>
          </w:p>
        </w:tc>
        <w:tc>
          <w:tcPr>
            <w:tcW w:w="1660" w:type="dxa"/>
            <w:vAlign w:val="bottom"/>
            <w:gridSpan w:val="3"/>
          </w:tcPr>
          <w:p>
            <w:pPr>
              <w:ind w:left="660"/>
              <w:spacing w:after="0"/>
              <w:rPr>
                <w:sz w:val="20"/>
                <w:szCs w:val="20"/>
                <w:color w:val="auto"/>
              </w:rPr>
            </w:pPr>
            <w:r>
              <w:rPr>
                <w:rFonts w:ascii="Arial" w:cs="Arial" w:eastAsia="Arial" w:hAnsi="Arial"/>
                <w:sz w:val="18"/>
                <w:szCs w:val="18"/>
                <w:color w:val="auto"/>
              </w:rPr>
              <w:t>543,700</w:t>
            </w:r>
            <w:r>
              <w:rPr>
                <w:rFonts w:ascii="Arial" w:cs="Arial" w:eastAsia="Arial" w:hAnsi="Arial"/>
                <w:sz w:val="15"/>
                <w:szCs w:val="15"/>
                <w:color w:val="auto"/>
              </w:rPr>
              <w:t>(5)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815,551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37,474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37,474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ind w:left="540" w:right="40" w:hanging="424"/>
        <w:spacing w:after="0" w:line="231" w:lineRule="auto"/>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Represents 129,367 shares of Series A convertible preferred stock issued to Biotechnology Value Fund, L.P. upon conversion of $194,051 note principal and interest, 73,233 shares of Series A preferred stock issued to Biotechnology Value Fund II, L.P. upon conversion of $109,850 note principal and interest, and 36,805 shares of Series A preferred stock issued to Investment 10, LLC upon conversion of $55,208 note principal and interest. Biotechnology Value Fund, L.P., Biotechnology Value Fund II, L.P., and Investment 10, LLC are affiliates of BVF Investments, LLC. At the time of the Series A/A-1 convertible preferred stock financing, entities affiliated with BVF Investments, LLC collectively beneficially owned more than 5% of our capital stock.</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40" w:hanging="424"/>
        <w:spacing w:after="0" w:line="225" w:lineRule="auto"/>
        <w:tabs>
          <w:tab w:leader="none" w:pos="5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NV Acumen Holdings LLC was a special purpose vehicle organized by NeuroVentures Capital to invest in the Company. At the time of the Series A/A-1 convertible preferred stock financing, entities affiliated with NeuroVentures Fund collectively beneficially owned more than 5% of our capital stock. Daniel O’Connell, our Chief Executive Officer and a member of our board of directors, served as managing partner of NeuroVentures Capital, LLC, the general partner to NeuroVentures Fund, L.P. which has sole voting and investment power with respect to the shares held by NeuroVentures Fund, L.P.</w:t>
      </w:r>
    </w:p>
    <w:p>
      <w:pPr>
        <w:spacing w:after="0" w:line="2" w:lineRule="exact"/>
        <w:rPr>
          <w:rFonts w:ascii="Arial" w:cs="Arial" w:eastAsia="Arial" w:hAnsi="Arial"/>
          <w:sz w:val="14"/>
          <w:szCs w:val="14"/>
          <w:color w:val="auto"/>
        </w:rPr>
      </w:pPr>
    </w:p>
    <w:p>
      <w:pPr>
        <w:ind w:left="540" w:right="420" w:hanging="424"/>
        <w:spacing w:after="0" w:line="221" w:lineRule="auto"/>
        <w:tabs>
          <w:tab w:leader="none" w:pos="5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PBM Capital Investments, LLC is affiliated with PBM Capital Group, LLC. Entities affiliated with PBM Capital Group, LLC collectively beneficially own more than 5% of our capital stock. Sean Stalfort, President of PBM Capital Group, LLC, is a director of the Company.</w:t>
      </w:r>
    </w:p>
    <w:p>
      <w:pPr>
        <w:ind w:left="540" w:hanging="424"/>
        <w:spacing w:after="0" w:line="221" w:lineRule="auto"/>
        <w:tabs>
          <w:tab w:leader="none" w:pos="5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Represents (a) 539,619 shares of Series A convertible preferred stock issued to James B. Murray, Jr. Revocable Trust U/A/D 8/5/1991 consisting of (i) 525,378 shares of Series A convertible preferred stock issued upon conversion of $788,067 note principal and interest, and (ii) 14,241 shares of Series A convertible preferred stock issued in exchange for 14,241 shares of common stock; and (b) 41,555 shares of Series A convertible preferred stock issued to Praxis Technologies L.P. consisting of (i) 18,322 shares of Series A convertible preferred stock issued upon conversion of $27,484 note principal and interest, and (ii) 23,233 shares of Series A convertible preferred stock issued in exchange for 23,233 shares of common stock. James B. Murray, Jr. is the trustee of James B. Murray, Jr. Revocable Trust U/A/D 8/5/1991 and is the Manager of Praxis Technologies. Entities affiliated with James B. Murray, Jr. collectively beneficially own more than 5% of our capital stock.</w:t>
      </w:r>
    </w:p>
    <w:p>
      <w:pPr>
        <w:spacing w:after="0" w:line="1" w:lineRule="exact"/>
        <w:rPr>
          <w:rFonts w:ascii="Arial" w:cs="Arial" w:eastAsia="Arial" w:hAnsi="Arial"/>
          <w:sz w:val="14"/>
          <w:szCs w:val="14"/>
          <w:color w:val="auto"/>
        </w:rPr>
      </w:pPr>
    </w:p>
    <w:p>
      <w:pPr>
        <w:ind w:left="540" w:right="300" w:hanging="424"/>
        <w:spacing w:after="0" w:line="237" w:lineRule="auto"/>
        <w:tabs>
          <w:tab w:leader="none" w:pos="5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Pursuant to the preferred stock purchase and exchange agreement, the stockholder elected to convert certain Series A convertible preferred stock shares into Series A-1 convertible preferred stock shares, as shown in the table below.</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Shares of</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Series A-1</w:t>
            </w: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Shares of</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4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Stock</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Series A</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Received</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Preferred</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Upon</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Stock</w:t>
            </w: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Series A-1</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Exchange of</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Exchanged</w:t>
            </w:r>
          </w:p>
        </w:tc>
        <w:tc>
          <w:tcPr>
            <w:tcW w:w="1140" w:type="dxa"/>
            <w:vAlign w:val="bottom"/>
            <w:gridSpan w:val="2"/>
            <w:vMerge w:val="continue"/>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of</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for Shares of</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Series A</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Series A-1</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Preferred</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80" w:type="dxa"/>
            <w:vAlign w:val="bottom"/>
            <w:vMerge w:val="restart"/>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780" w:type="dxa"/>
            <w:vAlign w:val="bottom"/>
            <w:vMerge w:val="continue"/>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PBM Capital Investments, LLC (1)</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524,274</w:t>
            </w: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524,274</w:t>
            </w: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1,675,847</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7"/>
              </w:rPr>
              <w:t>2,513,772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Knollwood Investment Fund LLC (2)</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1,675,999</w:t>
            </w:r>
          </w:p>
        </w:tc>
        <w:tc>
          <w:tcPr>
            <w:tcW w:w="32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w w:val="87"/>
              </w:rPr>
              <w:t>2,514,000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Robert D. Hardie (3)</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1,675,998</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2,514,000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Sands Capital Ventures Discovery Fund III, L.P. (4)</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1,675,847</w:t>
            </w:r>
          </w:p>
        </w:tc>
        <w:tc>
          <w:tcPr>
            <w:tcW w:w="32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w w:val="87"/>
              </w:rPr>
              <w:t>2,513,772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James B. Murray, Jr. (5)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600,567</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600,567</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857,823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1,025,487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right="420" w:hanging="424"/>
        <w:spacing w:after="0" w:line="230" w:lineRule="auto"/>
        <w:tabs>
          <w:tab w:leader="none" w:pos="5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PBM Capital Investments, LLC is affiliated with PBM Capital Group, LLC. Entities affiliated with PBM Capital Group, LLC collectively beneficially own more than 5% of our capital stock. Sean Stalfort, President of PBM Capital Group, LLC, is a director of the Company.</w:t>
      </w:r>
    </w:p>
    <w:p>
      <w:pPr>
        <w:ind w:left="540" w:hanging="424"/>
        <w:spacing w:after="0" w:line="221" w:lineRule="auto"/>
        <w:tabs>
          <w:tab w:leader="none" w:pos="5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Knollwood Investment Fund LLC is a beneficial owner of greater than 5% of our capital stock.</w:t>
      </w:r>
    </w:p>
    <w:p>
      <w:pPr>
        <w:ind w:left="540" w:right="60" w:hanging="424"/>
        <w:spacing w:after="0" w:line="221" w:lineRule="auto"/>
        <w:tabs>
          <w:tab w:leader="none" w:pos="5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Represents 837,999 shares of Series A-1 convertible preferred stock purchased by H7 Holdings, LLC and 837,999 shares of Series A-1 convertible preferred stock purchased by Level One Partners, LLC. Robert D. Hardie is the Manager of both H7 Holdings, LLC and Level One Partners, LLC. Entities affiliated with Robert D. Hardie collectively beneficially own more than 5% of our capital stock.</w:t>
      </w:r>
    </w:p>
    <w:p>
      <w:pPr>
        <w:ind w:left="540" w:right="140" w:hanging="424"/>
        <w:spacing w:after="0" w:line="221" w:lineRule="auto"/>
        <w:tabs>
          <w:tab w:leader="none" w:pos="5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Sands Capital Ventures eFund II, L.P. is affiliated with Sands Capital Management, LLC. Entities affiliated with Sands Capital Management, LLC collectively beneficially own more than 5% of our capital stock. Dr. Stephen Zachary, a Partner at Sands Capital Management, is a director of the Company.</w:t>
      </w:r>
    </w:p>
    <w:p>
      <w:pPr>
        <w:ind w:left="540" w:right="60" w:hanging="424"/>
        <w:spacing w:after="0" w:line="258" w:lineRule="auto"/>
        <w:tabs>
          <w:tab w:leader="none" w:pos="5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Represents (a) 1,249,251 shares of Series A-1 convertible preferred stock issued to James B. Murray, Jr. Revocable Trust U/A/D 8/5/1991 consisting of (i) 559,012 shares of Series A-1 convertible preferred stock issued in exchange for 559,012 shares of Series A convertible preferred stock, and (ii) 690,239 shares of Series A-1 convertible preferred stock issued upon purchase and conversion of $261,250 note principal and interest, and (b) 209,139 shares of Series A-1 convertible preferred stock issued to Praxis Technologies L.P consisting of</w:t>
      </w:r>
    </w:p>
    <w:p>
      <w:pPr>
        <w:ind w:left="540" w:right="640"/>
        <w:spacing w:after="0" w:line="271" w:lineRule="auto"/>
        <w:rPr>
          <w:rFonts w:ascii="Arial" w:cs="Arial" w:eastAsia="Arial" w:hAnsi="Arial"/>
          <w:sz w:val="12"/>
          <w:szCs w:val="12"/>
          <w:color w:val="auto"/>
        </w:rPr>
      </w:pPr>
      <w:r>
        <w:rPr>
          <w:rFonts w:ascii="Arial" w:cs="Arial" w:eastAsia="Arial" w:hAnsi="Arial"/>
          <w:sz w:val="13"/>
          <w:szCs w:val="13"/>
          <w:color w:val="auto"/>
        </w:rPr>
        <w:t>(i) 41,555 shares of Series A-1 convertible preferred stock issued in exchange for 41,555 shares of Series A convertible preferred stock, and (ii) 167,584 shares of Series A-1 convertible preferred stock issued upon purchase. Entities affiliated with James B. Murray, Jr. collectively beneficially own more than 5% of our capital stock.</w:t>
      </w:r>
    </w:p>
    <w:p>
      <w:pPr>
        <w:spacing w:after="0" w:line="168" w:lineRule="exact"/>
        <w:rPr>
          <w:sz w:val="20"/>
          <w:szCs w:val="20"/>
          <w:color w:val="auto"/>
        </w:rPr>
      </w:pPr>
    </w:p>
    <w:p>
      <w:pPr>
        <w:jc w:val="both"/>
        <w:ind w:left="120" w:right="340" w:firstLine="881"/>
        <w:spacing w:after="0" w:line="263" w:lineRule="auto"/>
        <w:rPr>
          <w:sz w:val="20"/>
          <w:szCs w:val="20"/>
          <w:color w:val="auto"/>
        </w:rPr>
      </w:pPr>
      <w:r>
        <w:rPr>
          <w:rFonts w:ascii="Arial" w:cs="Arial" w:eastAsia="Arial" w:hAnsi="Arial"/>
          <w:sz w:val="18"/>
          <w:szCs w:val="18"/>
          <w:color w:val="auto"/>
        </w:rPr>
        <w:t>In connection with the Series A/A-1 financing, we issued a warrant to purchase up to 666,666 shares of Series A-1 convertible preferred stock at an initial exercise price of $1.875 to PBM Capital Investments, LLC. PBM Capital Investments, LLC is affiliated with PBM Capital Group, LLC. Entities affiliated with PBM Capital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Group, LLC collectively beneficially own more than 5% of our capital stock. Sean Stalfort, President of PBM Capital Group, LLC, is a director of the Company.</w:t>
      </w:r>
    </w:p>
    <w:p>
      <w:pPr>
        <w:spacing w:after="0" w:line="176"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Series B</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Preferred</w:t>
            </w: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8"/>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5460" w:type="dxa"/>
            <w:vAlign w:val="bottom"/>
            <w:gridSpan w:val="2"/>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Entities Affiliated with RA Capital (1)</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7,058,824</w:t>
            </w:r>
          </w:p>
        </w:tc>
        <w:tc>
          <w:tcPr>
            <w:tcW w:w="3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18,000,001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PBM ACU Holdings II, LLC (2)</w:t>
            </w:r>
          </w:p>
        </w:tc>
        <w:tc>
          <w:tcPr>
            <w:tcW w:w="940" w:type="dxa"/>
            <w:vAlign w:val="bottom"/>
          </w:tcPr>
          <w:p>
            <w:pPr>
              <w:jc w:val="right"/>
              <w:spacing w:after="0"/>
              <w:rPr>
                <w:sz w:val="20"/>
                <w:szCs w:val="20"/>
                <w:color w:val="auto"/>
              </w:rPr>
            </w:pPr>
            <w:r>
              <w:rPr>
                <w:rFonts w:ascii="Arial" w:cs="Arial" w:eastAsia="Arial" w:hAnsi="Arial"/>
                <w:sz w:val="18"/>
                <w:szCs w:val="18"/>
                <w:color w:val="auto"/>
              </w:rPr>
              <w:t>1,955,882</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4,987,499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Knollwood Investment Fund LLC (3)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588,235</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Entities Affiliated with Sands Capital (4)</w:t>
            </w:r>
          </w:p>
        </w:tc>
        <w:tc>
          <w:tcPr>
            <w:tcW w:w="940" w:type="dxa"/>
            <w:vAlign w:val="bottom"/>
          </w:tcPr>
          <w:p>
            <w:pPr>
              <w:jc w:val="right"/>
              <w:spacing w:after="0"/>
              <w:rPr>
                <w:sz w:val="20"/>
                <w:szCs w:val="20"/>
                <w:color w:val="auto"/>
              </w:rPr>
            </w:pPr>
            <w:r>
              <w:rPr>
                <w:rFonts w:ascii="Arial" w:cs="Arial" w:eastAsia="Arial" w:hAnsi="Arial"/>
                <w:sz w:val="18"/>
                <w:szCs w:val="18"/>
                <w:color w:val="auto"/>
              </w:rPr>
              <w:t>1,647,058</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4,199,998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Murray, Jr. Revocable Trust U/A/D 8/5/1991 (5)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1,176,471</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Entities Affiliated with Robert D. Hardie (6)</w:t>
            </w:r>
          </w:p>
        </w:tc>
        <w:tc>
          <w:tcPr>
            <w:tcW w:w="940" w:type="dxa"/>
            <w:vAlign w:val="bottom"/>
          </w:tcPr>
          <w:p>
            <w:pPr>
              <w:jc w:val="right"/>
              <w:spacing w:after="0"/>
              <w:rPr>
                <w:sz w:val="20"/>
                <w:szCs w:val="20"/>
                <w:color w:val="auto"/>
              </w:rPr>
            </w:pPr>
            <w:r>
              <w:rPr>
                <w:rFonts w:ascii="Arial" w:cs="Arial" w:eastAsia="Arial" w:hAnsi="Arial"/>
                <w:sz w:val="18"/>
                <w:szCs w:val="18"/>
                <w:color w:val="auto"/>
              </w:rPr>
              <w:t>1,856,236</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4,733,402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40" w:hanging="424"/>
        <w:spacing w:after="0" w:line="243" w:lineRule="auto"/>
        <w:tabs>
          <w:tab w:leader="none" w:pos="54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Represents 5,473,567 shares of Series B convertible preferred stock purchased by RA Capital Healthcare Fund, L.P., 1,058,824 shares of Series B convertible preferred stock purchased by RA Capital Nexus Fund II, L.P., and 526,433 shares of Series B convertible preferred stock purchased by Blackwell Partners LLC – Series A. RA Capital Healthcare Fund, L.P., RA Capital Nexus Fund II, L.P., and Blackwell Partners LLC – Series A are affiliated with RA Capital Management, L.P. Entities affiliated with RA Capital Management, L.P. collectively beneficially own more than 5% of our capital stock. Dr. Laura Stoppel, a Principal at RA Capital Management, is a director of the Company.</w:t>
      </w:r>
    </w:p>
    <w:p>
      <w:pPr>
        <w:ind w:left="540" w:right="80" w:hanging="424"/>
        <w:spacing w:after="0" w:line="221" w:lineRule="auto"/>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PBM ACU Holdings II, LLC is affiliated with PBM Capital Group, LLC. Entities affiliated with PBM Capital Group, LLC collectively beneficially own more than 5% of our capital stock. Sean Stalfort, President of PBM Capital Group, LLC, is a director of the Company.</w:t>
      </w:r>
    </w:p>
    <w:p>
      <w:pPr>
        <w:ind w:left="540" w:hanging="424"/>
        <w:spacing w:after="0" w:line="221" w:lineRule="auto"/>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Knollwood Investment Fund LLC is a beneficial owner of greater than 5% of our capital stock.</w:t>
      </w:r>
    </w:p>
    <w:p>
      <w:pPr>
        <w:ind w:left="540" w:hanging="424"/>
        <w:spacing w:after="0" w:line="221" w:lineRule="auto"/>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Represents 823,529 shares of Series B convertible preferred stock purchased by Sands Capital Global Venture Fund II, L.P. and 823,529 shares of Series B convertible preferred stock purchased by Sands Capital Life Sciences Pulse Fund, LLC. Sands Capital Global Venture Fund II, L.P. and Sands Capital Life Sciences Pulse Fund, LLC are affiliated with Sands Capital Management, LLC. Entities affiliated with Sands Capital Management, LLC collectively beneficially own more than 5% of our capital stock. Dr. Stephen Zachary, a Partner at Sands Capital Management, is a director of the Company.</w:t>
      </w:r>
    </w:p>
    <w:p>
      <w:pPr>
        <w:spacing w:after="0" w:line="1" w:lineRule="exact"/>
        <w:rPr>
          <w:rFonts w:ascii="Arial" w:cs="Arial" w:eastAsia="Arial" w:hAnsi="Arial"/>
          <w:sz w:val="14"/>
          <w:szCs w:val="14"/>
          <w:color w:val="auto"/>
        </w:rPr>
      </w:pPr>
    </w:p>
    <w:p>
      <w:pPr>
        <w:ind w:left="540" w:right="140" w:hanging="424"/>
        <w:spacing w:after="0" w:line="221" w:lineRule="auto"/>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James B. Murray, Jr. is the trustee of James B. Murray, Jr. Revocable Trust U/A/D 8/5/1991, the purchaser. Entities affiliated with James B. Murray, Jr. collectively beneficially own more than 5% of our capital stock.</w:t>
      </w:r>
    </w:p>
    <w:p>
      <w:pPr>
        <w:ind w:left="540" w:hanging="424"/>
        <w:spacing w:after="0" w:line="232" w:lineRule="auto"/>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Represents 928,118 shares of Series B convertible preferred stock purchased by H7 Holdings, LLC and 928,118 shares of Series B convertible preferred stock purchased by Level One Partners, LLC. Robert D. Hardie is the Manager of both H7 Holdings, LLC and Level One Partners, LLC. Entities affiliated with Robert D. Hardie collectively beneficially own greater than 5% of our capital stock.</w:t>
      </w:r>
    </w:p>
    <w:p>
      <w:pPr>
        <w:spacing w:after="0" w:line="187"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Further, pursuant to the Series B purchase agreement, participating investors agreed to purchase 11,782,981 additional shares of Series B convertible preferred stock at a purchase price of $2.55 per share (as adjusted for stock splits, dividends and other similar events), for an aggregate purchase price of $30.0 million upon the occurrence of a milestone event, defined in the Series B purchase agreement as the successful completion of cohort 3 of the single ascending dose portion of the ACU193 Phase 1 clinical trial. On June 9, 2021, our board of directors and the holders of more than 67% of the outstanding shares of Series B preferred stock elected to waive the achievement of the milestone event. The second tranche of the Series B preferred stock financing is expected to close prior to the completion of this offering.</w:t>
      </w:r>
    </w:p>
    <w:p>
      <w:pPr>
        <w:spacing w:after="0" w:line="178"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table below sets forth the aggregate number of shares of Series B convertible preferred stock to be issued to our related parties upon the closing of the second tranche of the financing.</w:t>
      </w:r>
    </w:p>
    <w:p>
      <w:pPr>
        <w:spacing w:after="0" w:line="176"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Series B</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Preferred</w:t>
            </w: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080" w:type="dxa"/>
            <w:vAlign w:val="bottom"/>
            <w:vMerge w:val="restart"/>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080" w:type="dxa"/>
            <w:vAlign w:val="bottom"/>
            <w:vMerge w:val="continue"/>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RA Capital (1)</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4,705,882</w:t>
            </w:r>
          </w:p>
        </w:tc>
        <w:tc>
          <w:tcPr>
            <w:tcW w:w="3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11,999,999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PBM ACU Holdings II, LLC (2)</w:t>
            </w:r>
          </w:p>
        </w:tc>
        <w:tc>
          <w:tcPr>
            <w:tcW w:w="940" w:type="dxa"/>
            <w:vAlign w:val="bottom"/>
          </w:tcPr>
          <w:p>
            <w:pPr>
              <w:jc w:val="right"/>
              <w:spacing w:after="0"/>
              <w:rPr>
                <w:sz w:val="20"/>
                <w:szCs w:val="20"/>
                <w:color w:val="auto"/>
              </w:rPr>
            </w:pPr>
            <w:r>
              <w:rPr>
                <w:rFonts w:ascii="Arial" w:cs="Arial" w:eastAsia="Arial" w:hAnsi="Arial"/>
                <w:sz w:val="18"/>
                <w:szCs w:val="18"/>
                <w:color w:val="auto"/>
              </w:rPr>
              <w:t>1,303,922</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3,325,001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Knollwood Investment Fund LLC (3)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392,157</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Entities Affiliated with Sands Capital (4)</w:t>
            </w:r>
          </w:p>
        </w:tc>
        <w:tc>
          <w:tcPr>
            <w:tcW w:w="940" w:type="dxa"/>
            <w:vAlign w:val="bottom"/>
          </w:tcPr>
          <w:p>
            <w:pPr>
              <w:jc w:val="right"/>
              <w:spacing w:after="0"/>
              <w:rPr>
                <w:sz w:val="20"/>
                <w:szCs w:val="20"/>
                <w:color w:val="auto"/>
              </w:rPr>
            </w:pPr>
            <w:r>
              <w:rPr>
                <w:rFonts w:ascii="Arial" w:cs="Arial" w:eastAsia="Arial" w:hAnsi="Arial"/>
                <w:sz w:val="18"/>
                <w:szCs w:val="18"/>
                <w:color w:val="auto"/>
              </w:rPr>
              <w:t>1,098,040</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2,800,002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Murray, Jr. Revocable Trust U/A/D 8/5/1991 (5)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784,314</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Entities Affiliated with Robert D. Hardie (6)</w:t>
            </w:r>
          </w:p>
        </w:tc>
        <w:tc>
          <w:tcPr>
            <w:tcW w:w="940" w:type="dxa"/>
            <w:vAlign w:val="bottom"/>
          </w:tcPr>
          <w:p>
            <w:pPr>
              <w:jc w:val="right"/>
              <w:spacing w:after="0"/>
              <w:rPr>
                <w:sz w:val="20"/>
                <w:szCs w:val="20"/>
                <w:color w:val="auto"/>
              </w:rPr>
            </w:pPr>
            <w:r>
              <w:rPr>
                <w:rFonts w:ascii="Arial" w:cs="Arial" w:eastAsia="Arial" w:hAnsi="Arial"/>
                <w:sz w:val="18"/>
                <w:szCs w:val="18"/>
                <w:color w:val="auto"/>
              </w:rPr>
              <w:t>1,237,490</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3,155,600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460" w:type="dxa"/>
            <w:vAlign w:val="bottom"/>
            <w:gridSpan w:val="2"/>
          </w:tcPr>
          <w:p>
            <w:pPr>
              <w:ind w:left="3820"/>
              <w:spacing w:after="0"/>
              <w:rPr>
                <w:sz w:val="20"/>
                <w:szCs w:val="20"/>
                <w:color w:val="auto"/>
              </w:rPr>
            </w:pPr>
            <w:r>
              <w:rPr>
                <w:rFonts w:ascii="Arial" w:cs="Arial" w:eastAsia="Arial" w:hAnsi="Arial"/>
                <w:sz w:val="18"/>
                <w:szCs w:val="18"/>
                <w:color w:val="auto"/>
              </w:rPr>
              <w:t>158</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right="40" w:hanging="424"/>
        <w:spacing w:after="0" w:line="243" w:lineRule="auto"/>
        <w:tabs>
          <w:tab w:leader="none" w:pos="5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Represents 3,649,045 shares of Series B convertible preferred stock to be purchased by RA Capital Healthcare Fund, L.P., 705,882 shares of Series B convertible preferred stock to be purchased by RA Capital Nexus Fund II, L.P, and 350,955 shares of Series B convertible preferred stock to be purchased by Blackwell Partners LLC – Series A. RA Capital Healthcare Fund, L.P., RA Capital Nexus Fund II, L.P., and Blackwell Partners LLC – Series A are affiliated with RA Capital Management, L.P. Entities affiliated with RA Capital Management, L.P. collectively beneficially own more than 5% of our capital stock. Dr. Laura Stoppel, a Principal at RA Capital, is a director of the Company.</w:t>
      </w:r>
    </w:p>
    <w:p>
      <w:pPr>
        <w:ind w:left="540" w:right="100" w:hanging="424"/>
        <w:spacing w:after="0" w:line="221"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PBM ACU Holdings II, LLC is affiliated with PBM Capital Group, LLC. Entities affiliated with PBM Capital Group, LLC collectively beneficially own more than 5% of our capital stock. Sean Stalfort, President of PBM Capital, LLC, is a director of the Company.</w:t>
      </w:r>
    </w:p>
    <w:p>
      <w:pPr>
        <w:ind w:left="540" w:hanging="424"/>
        <w:spacing w:after="0" w:line="221"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Knollwood Investment Fund LLC is a beneficial owner of greater than 5% of our capital stock.</w:t>
      </w:r>
    </w:p>
    <w:p>
      <w:pPr>
        <w:ind w:left="540" w:right="40" w:hanging="424"/>
        <w:spacing w:after="0" w:line="221"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Represents 549,020 shares of Series B convertible preferred stock to be purchased by Sands Capital Global Venture Fund II, L.P. and 549,020 shares of Series B convertible preferred stock to be purchased by Sands Capital Life Sciences Pulse Fund, LLC. Sands Capital Global Venture Fund II, L.P. and Sands Capital Life Sciences Pulse Fund, LLC are affiliated with Sands Capital Management, LLC. Entities affiliated with Sands Capital Management, LLC collectively beneficially own more than 5% of our capital stock. Dr. Stephen Zachary, a Partner at Sands Capital Management, is a director of the Company.</w:t>
      </w:r>
    </w:p>
    <w:p>
      <w:pPr>
        <w:spacing w:after="0" w:line="1" w:lineRule="exact"/>
        <w:rPr>
          <w:rFonts w:ascii="Arial" w:cs="Arial" w:eastAsia="Arial" w:hAnsi="Arial"/>
          <w:sz w:val="14"/>
          <w:szCs w:val="14"/>
          <w:color w:val="auto"/>
        </w:rPr>
      </w:pPr>
    </w:p>
    <w:p>
      <w:pPr>
        <w:ind w:left="540" w:right="160" w:hanging="424"/>
        <w:spacing w:after="0" w:line="221"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James B. Murray, Jr. is the trustee of James B. Murray, Jr. Revocable Trust U/A/D 8/5/1991, the purchaser. Entities affiliated with James B. Murray, Jr. collectively beneficially own more than 5% of our capital stock.</w:t>
      </w:r>
    </w:p>
    <w:p>
      <w:pPr>
        <w:jc w:val="both"/>
        <w:ind w:left="540" w:hanging="424"/>
        <w:spacing w:after="0" w:line="232"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Represents 618,745 shares of Series B convertible preferred stock to be purchased by H7 Holdings, LLC and 618,745 shares of Series B convertible preferred stock to be purchased by Level One Partners, LLC. Robert D. Hardie is the Manager of both H7 Holdings, LLC and Level One Partners, LLC. Entities affiliated with Robert D. Hardie collectively beneficially own greater than 5% of our capital stock.</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Voting and Right of First Refusal Agreements</w:t>
      </w:r>
    </w:p>
    <w:p>
      <w:pPr>
        <w:spacing w:after="0" w:line="229" w:lineRule="exact"/>
        <w:rPr>
          <w:sz w:val="20"/>
          <w:szCs w:val="20"/>
          <w:color w:val="auto"/>
        </w:rPr>
      </w:pPr>
    </w:p>
    <w:p>
      <w:pPr>
        <w:ind w:left="120" w:right="180" w:firstLine="881"/>
        <w:spacing w:after="0" w:line="296" w:lineRule="auto"/>
        <w:rPr>
          <w:sz w:val="20"/>
          <w:szCs w:val="20"/>
          <w:color w:val="auto"/>
        </w:rPr>
      </w:pPr>
      <w:r>
        <w:rPr>
          <w:rFonts w:ascii="Arial" w:cs="Arial" w:eastAsia="Arial" w:hAnsi="Arial"/>
          <w:sz w:val="16"/>
          <w:szCs w:val="16"/>
          <w:color w:val="auto"/>
        </w:rPr>
        <w:t>In connection with the sales of convertible preferred stock described above, we entered into an amended and restated investors’ rights agreement, an amended and restated voting agreement and an amended and restated right of first refusal and co-sale agreement containing registration rights, information rights, voting rights and rights of first refusal, among other things, with the holders of our convertible preferred stock. These agreements will terminate upon the closing of this offering, except for the registration rights granted under our amended and restated investors’ rights agreement, as more fully described in the section of this prospectus titled “Description of Capital Stock—Registration Rights.”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w:t>
      </w:r>
    </w:p>
    <w:p>
      <w:pPr>
        <w:spacing w:after="0" w:line="229"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We have entered into employment agreements, consulting agreements or offer letter agreements with certain of our executive officers. For more information regarding our employment agreements and consulting agreements with Daniel O’Connell, Eric Siemers, and Russel Barton, see “Executive Compensation—Agreements with our Named Executive Officers and Potential Payments upon Termination of Employment.” We have also entered into an advisory board consulting agreement with Dr. Jeffrey Sevigny, one of our current board members. For more information regarding our consulting agreement with Dr. Sevigny, see “Management—Non-Employee Director Compensation.”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Our amended and restated certificate of incorporation that will be in effect upon the closing of this offering will contain provisions limiting the liability of directors, and our amended and restated bylaws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the board.</w:t>
      </w:r>
    </w:p>
    <w:p>
      <w:pPr>
        <w:spacing w:after="0" w:line="171"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In addition, we have entered into indemnification agreements with each of our directors, and we expect to enter into indemnification agreements with each of our executive officers prior to the closing of this offering. For more information regarding these agreements, see “Executive Compensation—Limitations on Liability and Indemnification Matters.”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229"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Prior to this offering, we have not had a formal policy regarding approval of transactions with related parties. In connection with this offering, we have adopted a related person transaction policy that sets forth our procedures for the identification, review, consideration and approval or ratification of related person transactions, which policy will become effective immediately upon the execution of the underwriting agreement for this offering. For purposes of our policy only, a related person transaction will be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will not be covered by this policy. A related person will be any executive officer, director or beneficial owner of more than 5% of any class of our voting securities, including any of their immediate family members and any entity owned or controlled by such persons.</w:t>
      </w:r>
    </w:p>
    <w:p>
      <w:pPr>
        <w:spacing w:after="0" w:line="178"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that we expect to adopt prior to the closing of this offering, our employees and directors will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w:t>
      </w:r>
    </w:p>
    <w:p>
      <w:pPr>
        <w:spacing w:after="0" w:line="206" w:lineRule="exact"/>
        <w:rPr>
          <w:sz w:val="20"/>
          <w:szCs w:val="20"/>
          <w:color w:val="auto"/>
        </w:rPr>
      </w:pPr>
    </w:p>
    <w:p>
      <w:pPr>
        <w:ind w:left="1420" w:hanging="319"/>
        <w:spacing w:after="0"/>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policy will require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187"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stockholders.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information regarding beneficial ownership of our capital stock by:</w:t>
      </w:r>
    </w:p>
    <w:p>
      <w:pPr>
        <w:spacing w:after="0" w:line="252" w:lineRule="exact"/>
        <w:rPr>
          <w:sz w:val="20"/>
          <w:szCs w:val="20"/>
          <w:color w:val="auto"/>
        </w:rPr>
      </w:pPr>
    </w:p>
    <w:p>
      <w:pPr>
        <w:ind w:left="1420" w:hanging="319"/>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named executive officer;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We have determined beneficial ownership in accordance with the rules of the SEC. Under these rules, beneficial ownership includes any shares of common stock as to which the individual or entity has sole or shared voting power or investment power. Applicable percentage ownership is based on 30,241,818 shares of common stock outstanding as of June 1, 2021, after giving effect to the conversion of all of our convertible preferred stock that was outstanding as of June 1, 2021, and does not give effect to the conversion of any Series B preferred stock issuable in the second tranche of the Series B financing. In computing the number of shares beneficially owned by an individual or entity and the percentage ownership of that person, shares of common stock subject to options held by such person that are currently exercisable or will become exercisable within 60 days of June 1, 2021 are considered outstanding, although these shares are not considered outstanding for purposes of computing the percentage ownership of any other person.</w:t>
      </w:r>
    </w:p>
    <w:p>
      <w:pPr>
        <w:spacing w:after="0" w:line="192" w:lineRule="exact"/>
        <w:rPr>
          <w:sz w:val="20"/>
          <w:szCs w:val="20"/>
          <w:color w:val="auto"/>
        </w:rPr>
      </w:pPr>
    </w:p>
    <w:p>
      <w:pPr>
        <w:ind w:left="120" w:right="340" w:firstLine="881"/>
        <w:spacing w:after="0" w:line="259" w:lineRule="auto"/>
        <w:rPr>
          <w:sz w:val="20"/>
          <w:szCs w:val="20"/>
          <w:color w:val="auto"/>
        </w:rPr>
      </w:pPr>
      <w:r>
        <w:rPr>
          <w:rFonts w:ascii="Arial" w:cs="Arial" w:eastAsia="Arial" w:hAnsi="Arial"/>
          <w:sz w:val="18"/>
          <w:szCs w:val="18"/>
          <w:color w:val="auto"/>
        </w:rPr>
        <w:t>The following table does not reflect any shares of our common stock that may be purchased pursuant to our reserved share program described under “Underwriting.” If any shares of our common stock are purchased by our existing principal stockholders, directors, officers or their affiliated entities, the number and percentage of shares of our common stock beneficially owned by them after this offering will differ from those set forth in the following table.</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Unless noted otherwise, the address of all listed stockholders is c/o Acumen Pharmaceuticals, Inc., 427 Park St., Charlottesville, Virginia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22902.</w:t>
      </w:r>
    </w:p>
    <w:p>
      <w:pPr>
        <w:spacing w:after="0" w:line="211"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Except as indicated by the footnotes below, we believe, based on information furnished to us, that each of the stockholders listed has sole voting and investment power with respect to the shares beneficially owned by the stockholder unless noted otherwise, subject to community property laws where applicable.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spacing w:after="0"/>
              <w:rPr>
                <w:sz w:val="20"/>
                <w:szCs w:val="20"/>
                <w:color w:val="auto"/>
              </w:rPr>
            </w:pPr>
            <w:r>
              <w:rPr>
                <w:rFonts w:ascii="Arial" w:cs="Arial" w:eastAsia="Arial" w:hAnsi="Arial"/>
                <w:sz w:val="14"/>
                <w:szCs w:val="14"/>
                <w:b w:val="1"/>
                <w:bCs w:val="1"/>
                <w:color w:val="auto"/>
              </w:rPr>
              <w:t>Percentage of Shares Beneficially</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4"/>
          </w:tcPr>
          <w:p>
            <w:pPr>
              <w:ind w:left="6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19"/>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1280" w:type="dxa"/>
            <w:vAlign w:val="bottom"/>
          </w:tcPr>
          <w:p>
            <w:pPr>
              <w:spacing w:after="0"/>
              <w:rPr>
                <w:sz w:val="10"/>
                <w:szCs w:val="10"/>
                <w:color w:val="auto"/>
              </w:rPr>
            </w:pPr>
          </w:p>
        </w:tc>
        <w:tc>
          <w:tcPr>
            <w:tcW w:w="2200" w:type="dxa"/>
            <w:vAlign w:val="bottom"/>
            <w:gridSpan w:val="3"/>
            <w:vMerge w:val="restart"/>
          </w:tcPr>
          <w:p>
            <w:pPr>
              <w:jc w:val="right"/>
              <w:ind w:right="9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7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Before</w:t>
            </w:r>
          </w:p>
        </w:tc>
        <w:tc>
          <w:tcPr>
            <w:tcW w:w="8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ind w:left="31"/>
              <w:spacing w:after="0" w:line="119" w:lineRule="exact"/>
              <w:rPr>
                <w:sz w:val="20"/>
                <w:szCs w:val="20"/>
                <w:color w:val="auto"/>
              </w:rPr>
            </w:pPr>
            <w:r>
              <w:rPr>
                <w:rFonts w:ascii="Arial" w:cs="Arial" w:eastAsia="Arial" w:hAnsi="Arial"/>
                <w:sz w:val="13"/>
                <w:szCs w:val="13"/>
                <w:b w:val="1"/>
                <w:bCs w:val="1"/>
                <w:color w:val="auto"/>
              </w:rPr>
              <w:t>After</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0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2200" w:type="dxa"/>
            <w:vAlign w:val="bottom"/>
            <w:gridSpan w:val="3"/>
            <w:vMerge w:val="continue"/>
          </w:tcPr>
          <w:p>
            <w:pPr>
              <w:spacing w:after="0"/>
              <w:rPr>
                <w:sz w:val="15"/>
                <w:szCs w:val="15"/>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5"/>
              </w:rPr>
              <w:t>Offering</w:t>
            </w:r>
          </w:p>
        </w:tc>
        <w:tc>
          <w:tcPr>
            <w:tcW w:w="880" w:type="dxa"/>
            <w:vAlign w:val="bottom"/>
          </w:tcPr>
          <w:p>
            <w:pPr>
              <w:spacing w:after="0"/>
              <w:rPr>
                <w:sz w:val="15"/>
                <w:szCs w:val="15"/>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216"/>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Greater than 5% Stockholders</w:t>
            </w:r>
          </w:p>
        </w:tc>
        <w:tc>
          <w:tcPr>
            <w:tcW w:w="1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Entities affiliated with RA Capital (2)</w:t>
            </w:r>
          </w:p>
        </w:tc>
        <w:tc>
          <w:tcPr>
            <w:tcW w:w="3480" w:type="dxa"/>
            <w:vAlign w:val="bottom"/>
            <w:gridSpan w:val="4"/>
          </w:tcPr>
          <w:p>
            <w:pPr>
              <w:jc w:val="right"/>
              <w:ind w:right="800"/>
              <w:spacing w:after="0"/>
              <w:rPr>
                <w:sz w:val="20"/>
                <w:szCs w:val="20"/>
                <w:color w:val="auto"/>
              </w:rPr>
            </w:pPr>
            <w:r>
              <w:rPr>
                <w:rFonts w:ascii="Arial" w:cs="Arial" w:eastAsia="Arial" w:hAnsi="Arial"/>
                <w:sz w:val="18"/>
                <w:szCs w:val="18"/>
                <w:color w:val="auto"/>
              </w:rPr>
              <w:t>7,058,824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23.3%</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Entities affiliated with PBM Capital Group, LLC (3)</w:t>
            </w:r>
          </w:p>
        </w:tc>
        <w:tc>
          <w:tcPr>
            <w:tcW w:w="3480" w:type="dxa"/>
            <w:vAlign w:val="bottom"/>
            <w:gridSpan w:val="4"/>
            <w:shd w:val="clear" w:color="auto" w:fill="CCEEFF"/>
          </w:tcPr>
          <w:p>
            <w:pPr>
              <w:jc w:val="right"/>
              <w:ind w:right="800"/>
              <w:spacing w:after="0"/>
              <w:rPr>
                <w:sz w:val="20"/>
                <w:szCs w:val="20"/>
                <w:color w:val="auto"/>
              </w:rPr>
            </w:pPr>
            <w:r>
              <w:rPr>
                <w:rFonts w:ascii="Arial" w:cs="Arial" w:eastAsia="Arial" w:hAnsi="Arial"/>
                <w:sz w:val="18"/>
                <w:szCs w:val="18"/>
                <w:color w:val="auto"/>
              </w:rPr>
              <w:t>4,980,001</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Entities affiliated with Robert D. Hardie (4)</w:t>
            </w:r>
          </w:p>
        </w:tc>
        <w:tc>
          <w:tcPr>
            <w:tcW w:w="3480" w:type="dxa"/>
            <w:vAlign w:val="bottom"/>
            <w:gridSpan w:val="4"/>
          </w:tcPr>
          <w:p>
            <w:pPr>
              <w:jc w:val="right"/>
              <w:ind w:right="800"/>
              <w:spacing w:after="0"/>
              <w:rPr>
                <w:sz w:val="20"/>
                <w:szCs w:val="20"/>
                <w:color w:val="auto"/>
              </w:rPr>
            </w:pPr>
            <w:r>
              <w:rPr>
                <w:rFonts w:ascii="Arial" w:cs="Arial" w:eastAsia="Arial" w:hAnsi="Arial"/>
                <w:sz w:val="18"/>
                <w:szCs w:val="18"/>
                <w:color w:val="auto"/>
              </w:rPr>
              <w:t>3,532,234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11.7%</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Entities affiliated with Sands Capital Management LLC (5)</w:t>
            </w:r>
          </w:p>
        </w:tc>
        <w:tc>
          <w:tcPr>
            <w:tcW w:w="3480" w:type="dxa"/>
            <w:vAlign w:val="bottom"/>
            <w:gridSpan w:val="4"/>
            <w:shd w:val="clear" w:color="auto" w:fill="CCEEFF"/>
          </w:tcPr>
          <w:p>
            <w:pPr>
              <w:jc w:val="right"/>
              <w:ind w:right="800"/>
              <w:spacing w:after="0"/>
              <w:rPr>
                <w:sz w:val="20"/>
                <w:szCs w:val="20"/>
                <w:color w:val="auto"/>
              </w:rPr>
            </w:pPr>
            <w:r>
              <w:rPr>
                <w:rFonts w:ascii="Arial" w:cs="Arial" w:eastAsia="Arial" w:hAnsi="Arial"/>
                <w:sz w:val="18"/>
                <w:szCs w:val="18"/>
                <w:color w:val="auto"/>
              </w:rPr>
              <w:t>3,322,905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Entities affiliated with James B. Murray, Jr. (6)</w:t>
            </w:r>
          </w:p>
        </w:tc>
        <w:tc>
          <w:tcPr>
            <w:tcW w:w="3480" w:type="dxa"/>
            <w:vAlign w:val="bottom"/>
            <w:gridSpan w:val="4"/>
          </w:tcPr>
          <w:p>
            <w:pPr>
              <w:jc w:val="right"/>
              <w:ind w:right="800"/>
              <w:spacing w:after="0"/>
              <w:rPr>
                <w:sz w:val="20"/>
                <w:szCs w:val="20"/>
                <w:color w:val="auto"/>
              </w:rPr>
            </w:pPr>
            <w:r>
              <w:rPr>
                <w:rFonts w:ascii="Arial" w:cs="Arial" w:eastAsia="Arial" w:hAnsi="Arial"/>
                <w:sz w:val="18"/>
                <w:szCs w:val="18"/>
                <w:color w:val="auto"/>
              </w:rPr>
              <w:t>2,852,999</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Knollwood Investment Fund LLC (7)</w:t>
            </w:r>
          </w:p>
        </w:tc>
        <w:tc>
          <w:tcPr>
            <w:tcW w:w="3480" w:type="dxa"/>
            <w:vAlign w:val="bottom"/>
            <w:gridSpan w:val="4"/>
            <w:shd w:val="clear" w:color="auto" w:fill="CCEEFF"/>
          </w:tcPr>
          <w:p>
            <w:pPr>
              <w:jc w:val="right"/>
              <w:ind w:right="800"/>
              <w:spacing w:after="0"/>
              <w:rPr>
                <w:sz w:val="20"/>
                <w:szCs w:val="20"/>
                <w:color w:val="auto"/>
              </w:rPr>
            </w:pPr>
            <w:r>
              <w:rPr>
                <w:rFonts w:ascii="Arial" w:cs="Arial" w:eastAsia="Arial" w:hAnsi="Arial"/>
                <w:sz w:val="18"/>
                <w:szCs w:val="18"/>
                <w:color w:val="auto"/>
              </w:rPr>
              <w:t>2,264,234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Daniel O’Connell (8)</w:t>
            </w:r>
          </w:p>
        </w:tc>
        <w:tc>
          <w:tcPr>
            <w:tcW w:w="3480" w:type="dxa"/>
            <w:vAlign w:val="bottom"/>
            <w:gridSpan w:val="4"/>
            <w:shd w:val="clear" w:color="auto" w:fill="CCEEFF"/>
          </w:tcPr>
          <w:p>
            <w:pPr>
              <w:jc w:val="right"/>
              <w:ind w:right="800"/>
              <w:spacing w:after="0"/>
              <w:rPr>
                <w:sz w:val="20"/>
                <w:szCs w:val="20"/>
                <w:color w:val="auto"/>
              </w:rPr>
            </w:pPr>
            <w:r>
              <w:rPr>
                <w:rFonts w:ascii="Arial" w:cs="Arial" w:eastAsia="Arial" w:hAnsi="Arial"/>
                <w:sz w:val="18"/>
                <w:szCs w:val="18"/>
                <w:color w:val="auto"/>
              </w:rPr>
              <w:t>645,143</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Eric Siemers, M.D. (9)</w:t>
            </w:r>
          </w:p>
        </w:tc>
        <w:tc>
          <w:tcPr>
            <w:tcW w:w="3480" w:type="dxa"/>
            <w:vAlign w:val="bottom"/>
            <w:gridSpan w:val="4"/>
          </w:tcPr>
          <w:p>
            <w:pPr>
              <w:jc w:val="right"/>
              <w:ind w:right="800"/>
              <w:spacing w:after="0"/>
              <w:rPr>
                <w:sz w:val="20"/>
                <w:szCs w:val="20"/>
                <w:color w:val="auto"/>
              </w:rPr>
            </w:pPr>
            <w:r>
              <w:rPr>
                <w:rFonts w:ascii="Arial" w:cs="Arial" w:eastAsia="Arial" w:hAnsi="Arial"/>
                <w:sz w:val="18"/>
                <w:szCs w:val="18"/>
                <w:color w:val="auto"/>
              </w:rPr>
              <w:t>255,138</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Russell Barton, MS (10)</w:t>
            </w:r>
          </w:p>
        </w:tc>
        <w:tc>
          <w:tcPr>
            <w:tcW w:w="3480" w:type="dxa"/>
            <w:vAlign w:val="bottom"/>
            <w:gridSpan w:val="4"/>
            <w:shd w:val="clear" w:color="auto" w:fill="CCEEFF"/>
          </w:tcPr>
          <w:p>
            <w:pPr>
              <w:jc w:val="right"/>
              <w:ind w:right="800"/>
              <w:spacing w:after="0"/>
              <w:rPr>
                <w:sz w:val="20"/>
                <w:szCs w:val="20"/>
                <w:color w:val="auto"/>
              </w:rPr>
            </w:pPr>
            <w:r>
              <w:rPr>
                <w:rFonts w:ascii="Arial" w:cs="Arial" w:eastAsia="Arial" w:hAnsi="Arial"/>
                <w:sz w:val="18"/>
                <w:szCs w:val="18"/>
                <w:color w:val="auto"/>
              </w:rPr>
              <w:t>51,874</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Jeffrey L. Ives, Ph.D. (11)</w:t>
            </w:r>
          </w:p>
        </w:tc>
        <w:tc>
          <w:tcPr>
            <w:tcW w:w="3480" w:type="dxa"/>
            <w:vAlign w:val="bottom"/>
            <w:gridSpan w:val="4"/>
          </w:tcPr>
          <w:p>
            <w:pPr>
              <w:jc w:val="right"/>
              <w:ind w:right="800"/>
              <w:spacing w:after="0"/>
              <w:rPr>
                <w:sz w:val="20"/>
                <w:szCs w:val="20"/>
                <w:color w:val="auto"/>
              </w:rPr>
            </w:pPr>
            <w:r>
              <w:rPr>
                <w:rFonts w:ascii="Arial" w:cs="Arial" w:eastAsia="Arial" w:hAnsi="Arial"/>
                <w:sz w:val="18"/>
                <w:szCs w:val="18"/>
                <w:color w:val="auto"/>
              </w:rPr>
              <w:t>67,223</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Jeffrey Sevigny, M.D. (12)</w:t>
            </w:r>
          </w:p>
        </w:tc>
        <w:tc>
          <w:tcPr>
            <w:tcW w:w="3480" w:type="dxa"/>
            <w:vAlign w:val="bottom"/>
            <w:gridSpan w:val="4"/>
            <w:shd w:val="clear" w:color="auto" w:fill="CCEEFF"/>
          </w:tcPr>
          <w:p>
            <w:pPr>
              <w:jc w:val="right"/>
              <w:ind w:right="800"/>
              <w:spacing w:after="0"/>
              <w:rPr>
                <w:sz w:val="20"/>
                <w:szCs w:val="20"/>
                <w:color w:val="auto"/>
              </w:rPr>
            </w:pPr>
            <w:r>
              <w:rPr>
                <w:rFonts w:ascii="Arial" w:cs="Arial" w:eastAsia="Arial" w:hAnsi="Arial"/>
                <w:sz w:val="18"/>
                <w:szCs w:val="18"/>
                <w:color w:val="auto"/>
              </w:rPr>
              <w:t>50,279</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Sean Stalfort</w:t>
            </w: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Laura Stoppel, Ph.D.</w:t>
            </w: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Stephen Zachary, Ph.D. (5)</w:t>
            </w:r>
          </w:p>
        </w:tc>
        <w:tc>
          <w:tcPr>
            <w:tcW w:w="3480" w:type="dxa"/>
            <w:vAlign w:val="bottom"/>
            <w:gridSpan w:val="4"/>
          </w:tcPr>
          <w:p>
            <w:pPr>
              <w:jc w:val="right"/>
              <w:ind w:right="800"/>
              <w:spacing w:after="0"/>
              <w:rPr>
                <w:sz w:val="20"/>
                <w:szCs w:val="20"/>
                <w:color w:val="auto"/>
              </w:rPr>
            </w:pPr>
            <w:r>
              <w:rPr>
                <w:rFonts w:ascii="Arial" w:cs="Arial" w:eastAsia="Arial" w:hAnsi="Arial"/>
                <w:sz w:val="18"/>
                <w:szCs w:val="18"/>
                <w:color w:val="auto"/>
              </w:rPr>
              <w:t>823,529</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6"/>
              </w:rPr>
              <w:t>All current executive officers and directors as a group (8 persons)</w:t>
            </w:r>
          </w:p>
        </w:tc>
        <w:tc>
          <w:tcPr>
            <w:tcW w:w="3480" w:type="dxa"/>
            <w:vAlign w:val="bottom"/>
            <w:gridSpan w:val="4"/>
            <w:shd w:val="clear" w:color="auto" w:fill="CCEEFF"/>
          </w:tcPr>
          <w:p>
            <w:pPr>
              <w:jc w:val="right"/>
              <w:ind w:right="800"/>
              <w:spacing w:after="0"/>
              <w:rPr>
                <w:sz w:val="20"/>
                <w:szCs w:val="20"/>
                <w:color w:val="auto"/>
              </w:rPr>
            </w:pPr>
            <w:r>
              <w:rPr>
                <w:rFonts w:ascii="Arial" w:cs="Arial" w:eastAsia="Arial" w:hAnsi="Arial"/>
                <w:sz w:val="18"/>
                <w:szCs w:val="18"/>
                <w:color w:val="auto"/>
              </w:rPr>
              <w:t>1,069,657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040" w:type="dxa"/>
            <w:vAlign w:val="bottom"/>
          </w:tcPr>
          <w:p>
            <w:pPr>
              <w:spacing w:after="0"/>
              <w:rPr>
                <w:sz w:val="24"/>
                <w:szCs w:val="24"/>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color w:val="auto"/>
              </w:rPr>
              <w:t>161</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sz w:val="20"/>
          <w:szCs w:val="20"/>
          <w:color w:val="auto"/>
        </w:rPr>
      </w:pPr>
    </w:p>
    <w:p>
      <w:pPr>
        <w:ind w:left="540" w:right="260" w:hanging="424"/>
        <w:spacing w:after="0" w:line="250" w:lineRule="auto"/>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directors and executive officers of the company is c/o Acumen Pharmaceuticals Inc., 427 Park St., Charlottesville, VA 22902.</w:t>
      </w:r>
    </w:p>
    <w:p>
      <w:pPr>
        <w:ind w:left="540" w:hanging="424"/>
        <w:spacing w:after="0" w:line="265" w:lineRule="auto"/>
        <w:tabs>
          <w:tab w:leader="none" w:pos="5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Consists of (a) 5,473,567 shares of common stock issuable upon conversion of Series B convertible preferred stock held by RA Capital Healthcare Fund, L.P. (“RACHF”), (b) 1,058,824 shares of common stock issuable upon conversion of Series B convertible preferred stock held by RA Capital Nexus Fund II, L.P. (“Nexus II”), and (c) 526,433 shares of common stock issuable upon conversion of Series B convertible preferred stock held by Blackwell Partners LLC – Series A (“Blackwell”). RA Capital Management, LP (“RACM”) is the investment adviser to RACHF, Nexus II and Blackwell. RA Capital Healthcare Fund GP, LLC is the general partner of RACHF. The general partner of Nexus II is RA Capital Nexus Fund II GP, LLC. Peter Kolchinsky and Rajeev Shah are the managing members of RACM, RA Capital Healthcare Fund GP, LLC and RA Capital Nexus Fund II GP, LLC and have the power to vote or dispose of the shares held by each entity. The address for Dr. Kolchinsky, Mr. Shah, RACHF and Nexus II is 200 Berkeley Street, 18</w:t>
      </w:r>
      <w:r>
        <w:rPr>
          <w:rFonts w:ascii="Arial" w:cs="Arial" w:eastAsia="Arial" w:hAnsi="Arial"/>
          <w:sz w:val="14"/>
          <w:szCs w:val="14"/>
          <w:color w:val="auto"/>
        </w:rPr>
        <w:t>th</w:t>
      </w:r>
      <w:r>
        <w:rPr>
          <w:rFonts w:ascii="Arial" w:cs="Arial" w:eastAsia="Arial" w:hAnsi="Arial"/>
          <w:sz w:val="17"/>
          <w:szCs w:val="17"/>
          <w:color w:val="auto"/>
        </w:rPr>
        <w:t xml:space="preserve"> Floor, Boston, Massachusetts 02116.</w:t>
      </w:r>
    </w:p>
    <w:p>
      <w:pPr>
        <w:spacing w:after="0" w:line="1" w:lineRule="exact"/>
        <w:rPr>
          <w:rFonts w:ascii="Arial" w:cs="Arial" w:eastAsia="Arial" w:hAnsi="Arial"/>
          <w:sz w:val="17"/>
          <w:szCs w:val="17"/>
          <w:color w:val="auto"/>
        </w:rPr>
      </w:pPr>
    </w:p>
    <w:p>
      <w:pPr>
        <w:ind w:left="540" w:right="100" w:hanging="424"/>
        <w:spacing w:after="0" w:line="250" w:lineRule="auto"/>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(a) 1,955,882 shares of common stock issuable upon conversion of Series B convertible preferred stock held by PBM ACU Holdings II, LLC, and (b) 2,200,121 shares of common stock issuable upon conversion of Series A-1 convertible preferred stock, 157,332 shares of common stock issuable upon the exercise of common stock warrants exercisable within 60 days of June 1, 2021 and 666,666 shares of common stock issuable upon the exercise and conversion of preferred stock warrants exercisable within 60 days of June 1, 2021 held by PBM ACU Holdings, LLC. The manager of PBM ACU Holdings II, LLC and PBM ACU Holdings, LLC is PBM Capital Group, LLC. Paul B. Manning is the Chief Executive Officer of PBM Capital Group, LLC and has the power to vote or dispose of the shares held by PBM ACU Holdings II, LLC and PBM ACU Holdings, LLC. The address for PBM ACU Holdings II, LLC, PBM ACU Holdings, LLC, and Paul B. Manning is 200 Garrett Street, Suite S, Charlottesville, VA 22902.</w:t>
      </w:r>
    </w:p>
    <w:p>
      <w:pPr>
        <w:spacing w:after="0" w:line="3"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(a) 928,118 shares of common stock issuable upon conversion of Series B convertible preferred stock and 837,999 shares of common stock issuable upon conversion of Series A-1 preferred stock held by H7 Holdings LLC, and (b) 928,118 shares of common stock issuable upon conversion of Series B convertible preferred stock and 837,999 shares of common stock issuable upon conversion of Series A-1 preferred stock held by Level One Partners, LLC. Robert D. Hardie is the Manager of both H7 Holdings, LLC and Level One Partners, LLC and has the power to vote or dispose of the shares held by each entity. The address for Robert D. Hardie, H7 Holdings, LLC and Level One Partners, LLC is 210 Ridge McIntire Road, Suite 350, Charlottesville, VA 22903.</w:t>
      </w:r>
    </w:p>
    <w:p>
      <w:pPr>
        <w:spacing w:after="0" w:line="2" w:lineRule="exact"/>
        <w:rPr>
          <w:rFonts w:ascii="Arial" w:cs="Arial" w:eastAsia="Arial" w:hAnsi="Arial"/>
          <w:sz w:val="18"/>
          <w:szCs w:val="18"/>
          <w:color w:val="auto"/>
        </w:rPr>
      </w:pPr>
    </w:p>
    <w:p>
      <w:pPr>
        <w:ind w:left="540" w:right="20" w:hanging="424"/>
        <w:spacing w:after="0" w:line="285" w:lineRule="auto"/>
        <w:tabs>
          <w:tab w:leader="none" w:pos="5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Consists of (a) 823,529 shares of common stock issuable upon conversion of Series B convertible preferred stock held by Sands Capital Global Venture Fund II, L.P., (b) 823,529 shares of common stock issuable upon conversion of Series B convertible preferred stock held by Sands Capital Life Sciences Pulse Fund, LLC, (c) 1,675,847 shares of common stock issuable upon conversion of Series A-1 convertible preferred stock held by Sands Capital Ventures Discovery Fund III, L.P. The sole general partner of Sands Capital Ventures Discovery Fund III, L.P. is Sands Capital Ventures Discovery Fund III-GP, LLC. The sole general partner of Sands Capital Global Venture Fund II, L.P. is Sands Capital Global Venture Fund II-GP, L.P., and the sole general partner of Sands Capital Global Venture Fund II-GP, L.P. is Sands Capital Global Venture Fund II-GP, LLC. Each of the funds is advised by Sands Capital Ventures, LLC, a registered investment adviser (the “Adviser”). The proxy voting power of the Adviser is exercised by the investment lead covering the company. Frank Sands Jr. holds dispositive power over the shares held by Sands Capital Ventures Discovery Fund III, L.P. Frank Sands Jr., Ian Ratcliffe, and Michael Graninger, acting unanimously, hold dispositive power over the shares held by Sands Capital Global Venture Fund II, L.P. Ian Ratcliffe and Stephen Zachary, a member of our Board, acting unanimously, hold dispositive power over the shares held by Sands Capital Life Sciences Pulse Fund, LLC. The address for Sands Capital Global Venture Fund II, L.P., Sands Capital Life Sciences Pulse Fund, LLC, and Sands Capital Ventures Discovery Fund III, L.P., Sands Capital Ventures, LLC and each above-named person holding dispositive power over the shares held by these entities is 1000 Wilson Blvd, Suite 3000, Arlington, VA 22209.</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67" w:lineRule="auto"/>
        <w:tabs>
          <w:tab w:leader="none" w:pos="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Consists of (a) 53 shares of common stock, 43,692 shares of common stock issuable upon conversion of Series A convertible preferred stock, 1,249,251 shares of common stock issuable upon conversion of Series A-1 convertible preferred stock, 1,176,471 shares of common stock issuable upon conversion of Series B convertible preferred stock, and 169,143 shares of common stock issuable upon the exercise of common stock warrants exercisable within 60 days of June 1, 2021 held by James B. Murray, Jr. Revocable Trust U/A/D 8/5/1991, and (b) 209,139 shares of common stock issuable upon conversion of Series A-1 convertible preferred stock and 5,250 shares of common stock issuable upon the exercise of common stock warrants exercisable within 60 days of June 1, 2021 held by Praxis Technologies L.P. James B. Murray, Jr. is the trustee of James B. Murray, Jr. Revocable Trust U/A/D 8/5/1991 and the Manager of Praxis Technologies, L.P. and has the power to vote or dispose of shares held by each entity. The address for James B. Murray, Jr., James B. Murray, Jr. Revocable Trust U/A/D 8/5/1991, and Praxis Technologies, L.P. is 427 Park St., Charlottesville, VA 22902.</w:t>
      </w:r>
    </w:p>
    <w:p>
      <w:pPr>
        <w:spacing w:after="0" w:line="1" w:lineRule="exact"/>
        <w:rPr>
          <w:rFonts w:ascii="Arial" w:cs="Arial" w:eastAsia="Arial" w:hAnsi="Arial"/>
          <w:sz w:val="17"/>
          <w:szCs w:val="17"/>
          <w:color w:val="auto"/>
        </w:rPr>
      </w:pPr>
    </w:p>
    <w:p>
      <w:pPr>
        <w:ind w:left="540" w:right="240" w:hanging="424"/>
        <w:spacing w:after="0" w:line="281" w:lineRule="auto"/>
        <w:tabs>
          <w:tab w:leader="none" w:pos="5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Consists of 588,235 shares of common stock issuable upon conversion of Series B convertible preferred stock and 1,675,999 shares of common stock issuable upon conversion of Series A-1 convertible preferred stock held by Knollwood Investment Fund LLC. Knollwood Investment Advisory, LLC is the Managing Member of Knollwood Investment Fund LLC. Kevin D. Irwin is the President of Knollwood Investment Advisory, LLC and has the power to vote or dispose of the shares held by Knollwood Investment Fund LLC. The address for Knollwood Investment Fund LLC., Knollwood Investment Advisory, LLC, and Kevin D. Irwin is 217 International Cir., Hunt Valley, MD 21030.</w:t>
      </w:r>
    </w:p>
    <w:p>
      <w:pPr>
        <w:spacing w:after="0" w:line="2" w:lineRule="exact"/>
        <w:rPr>
          <w:rFonts w:ascii="Arial" w:cs="Arial" w:eastAsia="Arial" w:hAnsi="Arial"/>
          <w:sz w:val="16"/>
          <w:szCs w:val="16"/>
          <w:color w:val="auto"/>
        </w:rPr>
      </w:pPr>
    </w:p>
    <w:p>
      <w:pPr>
        <w:ind w:left="540" w:right="180" w:hanging="424"/>
        <w:spacing w:after="0" w:line="265" w:lineRule="auto"/>
        <w:tabs>
          <w:tab w:leader="none" w:pos="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Consists of 2,110 shares of common stock, 184 shares of common stock issuable upon conversion of Series A convertible preferred stock, 53 shares of common stock issuable upon the exercise of common stock warrants exercisable within 60 days of June 1, 2021, and 642,796 shares of common stock issuable upon the exercise of options exercisable within 60 days of June 1, 2021.</w:t>
      </w:r>
    </w:p>
    <w:p>
      <w:pPr>
        <w:ind w:left="540" w:hanging="42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Consists of 255,138 shares of common stock issuable upon the exercise of options exercisable within 60 days of June 1,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Consists of 51,874 shares of common stock issuable upon the exercise of options exercisable within 60 days of June 1,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Consists of 67,223 shares of common stock issuable upon the exercise of options exercisable within 60 days of June 1,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Consists of 50,279 shares of common stock issuable upon the exercise of options exercisable within 60 days of June 1,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i w:val="1"/>
          <w:iCs w:val="1"/>
          <w:color w:val="auto"/>
        </w:rPr>
        <w:t>The following description of our capital stock, certain provisions of our amended and restated certificate of incorporation and amended and restated bylaws, as each will be in effect following the completion of this offering, and certain provisions of Delaware law are summaries. You should also refer to the amended and restated certificate of incorporation and the amended and restated bylaws, which are filed as exhibits to the registration statement of which this prospectus is part.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20" w:right="140" w:firstLine="881"/>
        <w:spacing w:after="0" w:line="274" w:lineRule="auto"/>
        <w:rPr>
          <w:sz w:val="20"/>
          <w:szCs w:val="20"/>
          <w:color w:val="auto"/>
        </w:rPr>
      </w:pPr>
      <w:r>
        <w:rPr>
          <w:rFonts w:ascii="Arial" w:cs="Arial" w:eastAsia="Arial" w:hAnsi="Arial"/>
          <w:sz w:val="17"/>
          <w:szCs w:val="17"/>
          <w:color w:val="auto"/>
        </w:rPr>
        <w:t>Upon the completion of this offering, our amended and restated certificate of incorporation will authorize us to issue up to shares of common stock, $0.0001 par value per share, and shares of preferred stock, $0.0001 par value per share, all of which shares of preferred</w:t>
      </w:r>
    </w:p>
    <w:p>
      <w:pPr>
        <w:ind w:left="120"/>
        <w:spacing w:after="0"/>
        <w:rPr>
          <w:sz w:val="20"/>
          <w:szCs w:val="20"/>
          <w:color w:val="auto"/>
        </w:rPr>
      </w:pPr>
      <w:r>
        <w:rPr>
          <w:rFonts w:ascii="Arial" w:cs="Arial" w:eastAsia="Arial" w:hAnsi="Arial"/>
          <w:sz w:val="18"/>
          <w:szCs w:val="18"/>
          <w:color w:val="auto"/>
        </w:rPr>
        <w:t>stock will be undesignated. Our board of directors may establish the rights and preferences of the preferred stock from time to time.</w:t>
      </w:r>
    </w:p>
    <w:p>
      <w:pPr>
        <w:spacing w:after="0" w:line="211"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As of March 31, 2021, we had outstanding 624,635 shares of common stock, held by 84 stockholders of record. As of March 31, 2021, after giving effect to the conversion of all of the outstanding shares of our convertible preferred stock, including 711,203 shares of our Series A convertible</w:t>
      </w:r>
    </w:p>
    <w:p>
      <w:pPr>
        <w:ind w:left="120" w:right="20"/>
        <w:spacing w:after="0" w:line="255" w:lineRule="auto"/>
        <w:rPr>
          <w:sz w:val="20"/>
          <w:szCs w:val="20"/>
          <w:color w:val="auto"/>
        </w:rPr>
      </w:pPr>
      <w:r>
        <w:rPr>
          <w:rFonts w:ascii="Arial" w:cs="Arial" w:eastAsia="Arial" w:hAnsi="Arial"/>
          <w:sz w:val="18"/>
          <w:szCs w:val="18"/>
          <w:color w:val="auto"/>
        </w:rPr>
        <w:t>preferred stock, 11,231,511 shares of our Series A-1 convertible preferred stock and shares of our Series B convertible preferred stock issued, into shares of common stock, there would have been shares of common stock issued and outstanding, held by stockholders of record.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left="120" w:right="100" w:firstLine="881"/>
        <w:spacing w:after="0" w:line="275"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The affirmative vote of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forum.</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120" w:right="460" w:firstLine="881"/>
        <w:spacing w:after="0" w:line="308" w:lineRule="auto"/>
        <w:rPr>
          <w:sz w:val="20"/>
          <w:szCs w:val="20"/>
          <w:color w:val="auto"/>
        </w:rPr>
      </w:pPr>
      <w:r>
        <w:rPr>
          <w:rFonts w:ascii="Arial" w:cs="Arial" w:eastAsia="Arial" w:hAnsi="Arial"/>
          <w:sz w:val="17"/>
          <w:szCs w:val="17"/>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we may designate in the future.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As of March 31, 2021, there were 29,617,183 shares of our preferred stock outstanding consisting of 711,203 shares of our Series A convertible preferred stock, 11,231,511 shares of our Series A-1 convertible preferred stock, and 17,674,469 shares of our Series B convertible preferred</w:t>
      </w:r>
    </w:p>
    <w:p>
      <w:pPr>
        <w:ind w:left="120" w:right="40"/>
        <w:spacing w:after="0" w:line="260" w:lineRule="auto"/>
        <w:rPr>
          <w:sz w:val="20"/>
          <w:szCs w:val="20"/>
          <w:color w:val="auto"/>
        </w:rPr>
      </w:pPr>
      <w:r>
        <w:rPr>
          <w:rFonts w:ascii="Arial" w:cs="Arial" w:eastAsia="Arial" w:hAnsi="Arial"/>
          <w:sz w:val="18"/>
          <w:szCs w:val="18"/>
          <w:color w:val="auto"/>
        </w:rPr>
        <w:t>stock. All currently outstanding shares of convertible preferred stock will be converted into an aggregate of shares of common stock upon the closing of this offering.</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Following the closing of this offering, our board of directors will have the authority under our amended and restated certificate of</w:t>
      </w:r>
    </w:p>
    <w:p>
      <w:pPr>
        <w:spacing w:after="0" w:line="35"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color w:val="auto"/>
        </w:rPr>
        <w:t>incorporation, without further action by our stockholders, to issue up to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93"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no present plans to issue any shares of preferred stock following the completion of this offering.</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ind w:left="120" w:right="120" w:firstLine="881"/>
        <w:spacing w:after="0" w:line="342" w:lineRule="auto"/>
        <w:rPr>
          <w:sz w:val="20"/>
          <w:szCs w:val="20"/>
          <w:color w:val="auto"/>
        </w:rPr>
      </w:pPr>
      <w:r>
        <w:rPr>
          <w:rFonts w:ascii="Arial" w:cs="Arial" w:eastAsia="Arial" w:hAnsi="Arial"/>
          <w:sz w:val="16"/>
          <w:szCs w:val="16"/>
          <w:color w:val="auto"/>
        </w:rPr>
        <w:t>As of March 31, 2021, there were options to purchase shares of common stock outstanding. For additional information regarding the terms of our Amended and Restated Stock Performance Plan and our 2021 Equity Incentive Plan, see “Executive Compensation—Equity Incentive Plans.”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left="120" w:right="160" w:firstLine="881"/>
        <w:spacing w:after="0" w:line="259" w:lineRule="auto"/>
        <w:rPr>
          <w:sz w:val="20"/>
          <w:szCs w:val="20"/>
          <w:color w:val="auto"/>
        </w:rPr>
      </w:pPr>
      <w:r>
        <w:rPr>
          <w:rFonts w:ascii="Arial" w:cs="Arial" w:eastAsia="Arial" w:hAnsi="Arial"/>
          <w:sz w:val="18"/>
          <w:szCs w:val="18"/>
          <w:color w:val="auto"/>
        </w:rPr>
        <w:t>As of March 31, 2021, there were outstanding immediately exercisable warrants to purchase up to 574,760 shares of our common stock at an exercise price of $3.00 per share and 666,666 shares of our Series A-1 preferred stock at an exercise price of $1.875 per share. Upon completion of this offering, the warrant to purchase shares of Series A-1 preferred stock will be automatically exercised for the purchase of an aggregate of shares of our common stock.</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the holders of our existing convertible preferred stock and certain holders of our existing common stock have entered into an amended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restated investors’ rights agreement. The registration rights provisions of this agreement provide those holders with demand, piggyback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Form S-3 registration rights with respect to the shares of common stock currently held by them and issuable to them upon conversion of our convertible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preferred stock in connection with our initial public offering. These shares are collectively referred to herein as registrable securities.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left="120" w:right="100" w:firstLine="881"/>
        <w:spacing w:after="0" w:line="285" w:lineRule="auto"/>
        <w:rPr>
          <w:sz w:val="20"/>
          <w:szCs w:val="20"/>
          <w:color w:val="auto"/>
        </w:rPr>
      </w:pPr>
      <w:r>
        <w:rPr>
          <w:rFonts w:ascii="Arial" w:cs="Arial" w:eastAsia="Arial" w:hAnsi="Arial"/>
          <w:sz w:val="16"/>
          <w:szCs w:val="16"/>
          <w:color w:val="auto"/>
        </w:rPr>
        <w:t>At any time beginning 180 days following the effective date of the registration statement of which this prospectus is a part, the holders of a majority of registrable securities then outstanding have the right to demand that we file a registration statement covering registrable securities then outstanding having an aggregate offering price of at least $5.0 million, net of certain selling expenses.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practicable, but in any event no later than 60 days after the</w:t>
      </w:r>
    </w:p>
    <w:p>
      <w:pPr>
        <w:spacing w:after="0" w:line="2" w:lineRule="exact"/>
        <w:rPr>
          <w:sz w:val="20"/>
          <w:szCs w:val="20"/>
          <w:color w:val="auto"/>
        </w:rPr>
      </w:pPr>
    </w:p>
    <w:p>
      <w:pPr>
        <w:ind w:left="120"/>
        <w:spacing w:after="0"/>
        <w:tabs>
          <w:tab w:leader="none" w:pos="3680" w:val="left"/>
        </w:tabs>
        <w:rPr>
          <w:sz w:val="20"/>
          <w:szCs w:val="20"/>
          <w:color w:val="auto"/>
        </w:rPr>
      </w:pPr>
      <w:r>
        <w:rPr>
          <w:rFonts w:ascii="Arial" w:cs="Arial" w:eastAsia="Arial" w:hAnsi="Arial"/>
          <w:sz w:val="18"/>
          <w:szCs w:val="18"/>
          <w:color w:val="auto"/>
        </w:rPr>
        <w:t>receipt of such request. An aggregate of</w:t>
      </w:r>
      <w:r>
        <w:rPr>
          <w:sz w:val="20"/>
          <w:szCs w:val="20"/>
          <w:color w:val="auto"/>
        </w:rPr>
        <w:tab/>
      </w:r>
      <w:r>
        <w:rPr>
          <w:rFonts w:ascii="Arial" w:cs="Arial" w:eastAsia="Arial" w:hAnsi="Arial"/>
          <w:sz w:val="16"/>
          <w:szCs w:val="16"/>
          <w:color w:val="auto"/>
        </w:rPr>
        <w:t>shares of common stock will be entitled to these demand registration rights.</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jc w:val="both"/>
        <w:ind w:left="120" w:right="180" w:firstLine="881"/>
        <w:spacing w:after="0" w:line="287" w:lineRule="auto"/>
        <w:rPr>
          <w:sz w:val="20"/>
          <w:szCs w:val="20"/>
          <w:color w:val="auto"/>
        </w:rPr>
      </w:pPr>
      <w:r>
        <w:rPr>
          <w:rFonts w:ascii="Arial" w:cs="Arial" w:eastAsia="Arial" w:hAnsi="Arial"/>
          <w:sz w:val="16"/>
          <w:szCs w:val="16"/>
          <w:color w:val="auto"/>
        </w:rPr>
        <w:t>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w:t>
      </w:r>
    </w:p>
    <w:p>
      <w:pPr>
        <w:spacing w:after="0" w:line="2"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limit the number of shares included in any such registration under specified circumstances. An aggregate of shares of common stock will be entitled to these piggyback registration rights.</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Registration on Form S-3</w:t>
      </w:r>
    </w:p>
    <w:p>
      <w:pPr>
        <w:spacing w:after="0" w:line="225"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At any time after we become eligible to file a registration statement on Form S-3, the holders of at least 30% of registrable securities then outstanding will be entitled to request to have such shares registered by us on a Form S-3 registration statement. These Form S-3 registration rights are subject to other specified conditions and limitations, including the condition that the anticipated aggregate offering price, net of certain selling expenses, is at least $5.0 million. Upon receipt of this request, the holders of registrable securities will each be entitled to participate in this registration. An</w:t>
      </w:r>
    </w:p>
    <w:p>
      <w:pPr>
        <w:spacing w:after="0" w:line="1" w:lineRule="exact"/>
        <w:rPr>
          <w:sz w:val="20"/>
          <w:szCs w:val="20"/>
          <w:color w:val="auto"/>
        </w:rPr>
      </w:pPr>
    </w:p>
    <w:p>
      <w:pPr>
        <w:ind w:left="120"/>
        <w:spacing w:after="0"/>
        <w:tabs>
          <w:tab w:leader="none" w:pos="1760" w:val="left"/>
        </w:tabs>
        <w:rPr>
          <w:sz w:val="20"/>
          <w:szCs w:val="20"/>
          <w:color w:val="auto"/>
        </w:rPr>
      </w:pPr>
      <w:r>
        <w:rPr>
          <w:rFonts w:ascii="Arial" w:cs="Arial" w:eastAsia="Arial" w:hAnsi="Arial"/>
          <w:sz w:val="18"/>
          <w:szCs w:val="18"/>
          <w:color w:val="auto"/>
        </w:rPr>
        <w:t>aggregate of</w:t>
      </w:r>
      <w:r>
        <w:rPr>
          <w:sz w:val="20"/>
          <w:szCs w:val="20"/>
          <w:color w:val="auto"/>
        </w:rPr>
        <w:tab/>
      </w:r>
      <w:r>
        <w:rPr>
          <w:rFonts w:ascii="Arial" w:cs="Arial" w:eastAsia="Arial" w:hAnsi="Arial"/>
          <w:sz w:val="16"/>
          <w:szCs w:val="16"/>
          <w:color w:val="auto"/>
        </w:rPr>
        <w:t>shares of common stock will be entitled to these Form S-3 registration rights.</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We are required to pay all expenses, including fees and expenses of one counsel to represent the selling stockholders (up to $50,000 total), relating to any demand, piggyback or Form S-3 registration, other than underwriting discounts and commissions, stock transfer taxes and any additional fees of counsel for the selling stockholders, subject to specified conditions and 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18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amended and restated investors’ rights agreement contains customary cross-indemnification provisions, pursuant to which we are obligated to indemnify the selling stockholders in the event of material misstatements or omissions in the applicable registration statement attributable to us, and the selling stockholders are obligated to indemnify us for material misstatements or omissions in the registration statement attributable to them, subject to certain limitations.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225" w:lineRule="exact"/>
        <w:rPr>
          <w:sz w:val="20"/>
          <w:szCs w:val="20"/>
          <w:color w:val="auto"/>
        </w:rPr>
      </w:pPr>
    </w:p>
    <w:p>
      <w:pPr>
        <w:ind w:left="120" w:right="320" w:firstLine="881"/>
        <w:spacing w:after="0" w:line="259" w:lineRule="auto"/>
        <w:rPr>
          <w:sz w:val="20"/>
          <w:szCs w:val="20"/>
          <w:color w:val="auto"/>
        </w:rPr>
      </w:pPr>
      <w:r>
        <w:rPr>
          <w:rFonts w:ascii="Arial" w:cs="Arial" w:eastAsia="Arial" w:hAnsi="Arial"/>
          <w:sz w:val="18"/>
          <w:szCs w:val="18"/>
          <w:color w:val="auto"/>
        </w:rPr>
        <w:t>The registration rights granted under the investors’ rights agreement will terminate with respect to any particular stockholder upon the earlier of (a) the closing of a deemed liquidation event, as defined in our certificate of incorporation, (b) the third anniversary of the closing of this offering and (c) with respect to each stockholder, at such time such stockholder is able to sell all of its shares pursuant to Rule 144 or another similar exemption under the Securities Act during a three-month period without registration.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11" w:lineRule="exact"/>
        <w:rPr>
          <w:sz w:val="20"/>
          <w:szCs w:val="20"/>
          <w:color w:val="auto"/>
        </w:rPr>
      </w:pPr>
    </w:p>
    <w:p>
      <w:pPr>
        <w:ind w:left="1420" w:right="60" w:hanging="319"/>
        <w:spacing w:after="0" w:line="277"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97" w:lineRule="exact"/>
        <w:rPr>
          <w:rFonts w:ascii="Arial" w:cs="Arial" w:eastAsia="Arial" w:hAnsi="Arial"/>
          <w:sz w:val="18"/>
          <w:szCs w:val="18"/>
          <w:color w:val="auto"/>
        </w:rPr>
      </w:pPr>
    </w:p>
    <w:p>
      <w:pPr>
        <w:ind w:left="1420" w:hanging="319"/>
        <w:spacing w:after="0" w:line="296" w:lineRule="auto"/>
        <w:tabs>
          <w:tab w:leader="none" w:pos="14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8" w:lineRule="exact"/>
        <w:rPr>
          <w:rFonts w:ascii="Arial" w:cs="Arial" w:eastAsia="Arial" w:hAnsi="Arial"/>
          <w:sz w:val="16"/>
          <w:szCs w:val="16"/>
          <w:color w:val="auto"/>
        </w:rPr>
      </w:pPr>
    </w:p>
    <w:p>
      <w:pPr>
        <w:ind w:left="1420" w:hanging="319"/>
        <w:spacing w:after="0" w:line="263"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that is not owned by the interested stockholder.</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52" w:lineRule="exact"/>
        <w:rPr>
          <w:sz w:val="20"/>
          <w:szCs w:val="20"/>
          <w:color w:val="auto"/>
        </w:rPr>
      </w:pPr>
    </w:p>
    <w:p>
      <w:pPr>
        <w:ind w:left="1420" w:right="140" w:hanging="319"/>
        <w:spacing w:after="0" w:line="277" w:lineRule="auto"/>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or any direct or indirect majority-owned subsidiary of the corporation and the interested stockholder;</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 (in one transaction or a series of transactions);</w:t>
      </w:r>
    </w:p>
    <w:p>
      <w:pPr>
        <w:spacing w:after="0" w:line="197" w:lineRule="exact"/>
        <w:rPr>
          <w:rFonts w:ascii="Arial" w:cs="Arial" w:eastAsia="Arial" w:hAnsi="Arial"/>
          <w:sz w:val="18"/>
          <w:szCs w:val="18"/>
          <w:color w:val="auto"/>
        </w:rPr>
      </w:pPr>
    </w:p>
    <w:p>
      <w:pPr>
        <w:ind w:left="1420" w:right="380" w:hanging="319"/>
        <w:spacing w:after="0" w:line="342" w:lineRule="auto"/>
        <w:tabs>
          <w:tab w:leader="none" w:pos="14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150" w:lineRule="exact"/>
        <w:rPr>
          <w:rFonts w:ascii="Arial" w:cs="Arial" w:eastAsia="Arial" w:hAnsi="Arial"/>
          <w:sz w:val="16"/>
          <w:szCs w:val="16"/>
          <w:color w:val="auto"/>
        </w:rPr>
      </w:pPr>
    </w:p>
    <w:p>
      <w:pPr>
        <w:ind w:left="1420" w:right="120" w:hanging="319"/>
        <w:spacing w:after="0" w:line="263" w:lineRule="auto"/>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210"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225" w:lineRule="exact"/>
        <w:rPr>
          <w:sz w:val="20"/>
          <w:szCs w:val="20"/>
          <w:color w:val="auto"/>
        </w:rPr>
      </w:pPr>
    </w:p>
    <w:p>
      <w:pPr>
        <w:jc w:val="both"/>
        <w:ind w:left="120" w:right="280" w:firstLine="881"/>
        <w:spacing w:after="0" w:line="263" w:lineRule="auto"/>
        <w:rPr>
          <w:sz w:val="20"/>
          <w:szCs w:val="20"/>
          <w:color w:val="auto"/>
        </w:rPr>
      </w:pPr>
      <w:r>
        <w:rPr>
          <w:rFonts w:ascii="Arial" w:cs="Arial" w:eastAsia="Arial" w:hAnsi="Arial"/>
          <w:sz w:val="18"/>
          <w:szCs w:val="18"/>
          <w:color w:val="auto"/>
        </w:rPr>
        <w:t>Our amended and restated certificate of incorporation to be in effect upon the completion of this offering, or our restated certificate, will provide for our board of directors to be divided into three classes with staggered three-year terms. Only one class of directors will be elected at each annual meeting of our stockholders, with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80"/>
          </w:cols>
          <w:pgMar w:left="320" w:top="459"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other classes continuing for the remainder of their respective three-year terms. Because our stockholders do not have cumulative voting rights, stockholders holding a majority of the shares of common stock outstanding will be able to elect all of our directors. Our restated certificate and our amended and restated bylaws to be effective upon the completion of this offering, or our restated bylaws, will also provide that directors may be removed by the stockholders only for cause upon the vote of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9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Under our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restated certificate and restated bylaws will also provide that all stockholder actions must be effected at a duly called meeting of stockholders and will eliminate the right of stockholders to act by written consent without a meeting. Our restated bylaws will also provide that only our Chairman of the board, Chief Executive Officer or the board of directors pursuant to a resolution adopted by a majority of the total number of authorized directors may call a special meeting of stockholders.</w:t>
      </w:r>
    </w:p>
    <w:p>
      <w:pPr>
        <w:spacing w:after="0" w:line="187"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Our restated bylaws will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spacing w:after="0" w:line="184" w:lineRule="exact"/>
        <w:rPr>
          <w:sz w:val="20"/>
          <w:szCs w:val="20"/>
          <w:color w:val="auto"/>
        </w:rPr>
      </w:pPr>
    </w:p>
    <w:p>
      <w:pPr>
        <w:ind w:left="120" w:right="80" w:firstLine="881"/>
        <w:spacing w:after="0" w:line="299" w:lineRule="auto"/>
        <w:rPr>
          <w:sz w:val="20"/>
          <w:szCs w:val="20"/>
          <w:color w:val="auto"/>
        </w:rPr>
      </w:pPr>
      <w:r>
        <w:rPr>
          <w:rFonts w:ascii="Arial" w:cs="Arial" w:eastAsia="Arial" w:hAnsi="Arial"/>
          <w:sz w:val="18"/>
          <w:szCs w:val="18"/>
          <w:color w:val="auto"/>
        </w:rPr>
        <w:t>Our restated certificate and restated bylaws will provide that the stockholders cannot amend many of the provisions described above except by a vote of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or more of our outstanding common stock.</w:t>
      </w:r>
    </w:p>
    <w:p>
      <w:pPr>
        <w:spacing w:after="0" w:line="1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As described in “—Preferred Stock” above, our restated certificate will give our board of directors the authority, without further action by</w:t>
      </w:r>
    </w:p>
    <w:p>
      <w:pPr>
        <w:spacing w:after="0" w:line="46" w:lineRule="exact"/>
        <w:rPr>
          <w:sz w:val="20"/>
          <w:szCs w:val="20"/>
          <w:color w:val="auto"/>
        </w:rPr>
      </w:pPr>
    </w:p>
    <w:p>
      <w:pPr>
        <w:ind w:left="120" w:right="660"/>
        <w:spacing w:after="0" w:line="260" w:lineRule="auto"/>
        <w:rPr>
          <w:sz w:val="20"/>
          <w:szCs w:val="20"/>
          <w:color w:val="auto"/>
        </w:rPr>
      </w:pPr>
      <w:r>
        <w:rPr>
          <w:rFonts w:ascii="Arial" w:cs="Arial" w:eastAsia="Arial" w:hAnsi="Arial"/>
          <w:sz w:val="18"/>
          <w:szCs w:val="18"/>
          <w:color w:val="auto"/>
        </w:rPr>
        <w:t>our stockholders, to issue up to shares of preferred stock in one or more series, with any rights, preferences and privileges as they may designate, including the right to approve an acquisition or other change in control.</w:t>
      </w:r>
    </w:p>
    <w:p>
      <w:pPr>
        <w:spacing w:after="0" w:line="18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229"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Our amended and restated certificate of incorporation to be effective on the completion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brought under Delaware statutory or common law: (1) any derivative claim or action brought on our behalf; (2) any claim or cause of action asserting a breach of fiduciary duty by any of our current or former director, officer or other employee; (3) any claim or cause of action asserting a claim against us arising out of, or pursuant to, the DGCL, our amended and restated certificate of incorporation or our amended and restated bylaws; (4) any claim or cause of action seeking to interpret, apply, enforce or determine the validity of our amended and restated certificate of incorporation or our amended and restated bylaws (including any right, obligation, or remedy thereunder); (5) any claim or cause of action as to which the DGCL confers jurisdiction to the Court of Chancery of the State of Delaware; or (6) any claim or cause of action asserting a claim against us or any of our directors, officers or other employees, that is governed by the internal affairs doctrine, in all cases to the fullest extent permitted by law and subject to the court having personal jurisdiction over the indispensable parties named as defendants. The aforementioned provision will not apply to claims or causes of action brought to enforce a duty or liability created by the Securities Act, the Exchange Act or any other claim for which the federal courts have exclusive jurisdiction.</w:t>
      </w:r>
    </w:p>
    <w:p>
      <w:pPr>
        <w:spacing w:after="0" w:line="174"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In addition, our amended and restated certificate of incorporation will further provide that, unless we consent writing to the selection of an alternative forum, the federal district courts of the United States of America will be the exclusive forum, to the fullest extent permitted by law,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78" w:lineRule="exact"/>
        <w:rPr>
          <w:sz w:val="20"/>
          <w:szCs w:val="20"/>
          <w:color w:val="auto"/>
        </w:rPr>
      </w:pPr>
    </w:p>
    <w:p>
      <w:pPr>
        <w:jc w:val="both"/>
        <w:ind w:left="120" w:right="480" w:firstLine="881"/>
        <w:spacing w:after="0" w:line="286" w:lineRule="auto"/>
        <w:rPr>
          <w:sz w:val="20"/>
          <w:szCs w:val="20"/>
          <w:color w:val="auto"/>
        </w:rPr>
      </w:pPr>
      <w:r>
        <w:rPr>
          <w:rFonts w:ascii="Arial" w:cs="Arial" w:eastAsia="Arial" w:hAnsi="Arial"/>
          <w:sz w:val="17"/>
          <w:szCs w:val="17"/>
          <w:color w:val="auto"/>
        </w:rPr>
        <w:t>The enforceability of similar choice of forum provisions in other companies’ certificates of incorporation has been challenged in legal proceedings, and it is possible that, in connection with one or more actions or proceedings described above, a court could find the choice of forum provisions contained in our amended and restated certificate of incorporation to be inapplicable or unenforceable.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000"/>
        <w:spacing w:after="0"/>
        <w:tabs>
          <w:tab w:leader="none" w:pos="5760" w:val="left"/>
          <w:tab w:leader="none" w:pos="874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8"/>
          <w:szCs w:val="18"/>
          <w:color w:val="auto"/>
        </w:rPr>
        <w:t>. The transfer agent’s address is</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applied to list our common stock on the Nasdaq Global Market under the trading symbol “ABOS.”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Prior to this offering, no public market existed for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Based on the number of shares outstanding as of March 31, 2021, upon the closing of this offering and assuming no exercise of the</w:t>
      </w:r>
    </w:p>
    <w:p>
      <w:pPr>
        <w:spacing w:after="0" w:line="35" w:lineRule="exact"/>
        <w:rPr>
          <w:sz w:val="20"/>
          <w:szCs w:val="20"/>
          <w:color w:val="auto"/>
        </w:rPr>
      </w:pPr>
    </w:p>
    <w:p>
      <w:pPr>
        <w:ind w:left="120" w:right="160"/>
        <w:spacing w:after="0" w:line="265" w:lineRule="auto"/>
        <w:rPr>
          <w:sz w:val="20"/>
          <w:szCs w:val="20"/>
          <w:color w:val="auto"/>
        </w:rPr>
      </w:pPr>
      <w:r>
        <w:rPr>
          <w:rFonts w:ascii="Arial" w:cs="Arial" w:eastAsia="Arial" w:hAnsi="Arial"/>
          <w:sz w:val="17"/>
          <w:szCs w:val="17"/>
          <w:color w:val="auto"/>
        </w:rPr>
        <w:t>underwriters’ option to purchase additional shares, shares of common stock will be outstanding, assuming no outstanding options are exercised. All of the shares of common stock sold in this offering will be freely tradable without restrictions or further registration under the Securities</w:t>
      </w:r>
    </w:p>
    <w:p>
      <w:pPr>
        <w:ind w:left="120" w:right="60"/>
        <w:spacing w:after="0" w:line="253" w:lineRule="auto"/>
        <w:rPr>
          <w:sz w:val="20"/>
          <w:szCs w:val="20"/>
          <w:color w:val="auto"/>
        </w:rPr>
      </w:pPr>
      <w:r>
        <w:rPr>
          <w:rFonts w:ascii="Arial" w:cs="Arial" w:eastAsia="Arial" w:hAnsi="Arial"/>
          <w:sz w:val="18"/>
          <w:szCs w:val="18"/>
          <w:color w:val="auto"/>
        </w:rPr>
        <w:t>Act, except for any shares sold to our “affiliates,” as that term is defined under Rule 144 under the Securities Act. The remaining shares of common stock held by existing stockholders are “restricted securities,” as that term is defined in Rule 144 under the Securities Act. Restricted securities may be sold in the public market only if registered or if their resale qualifies for exemption from registration described below under Rule 144 promulgated under the Securities Act or another available exemption.</w:t>
      </w:r>
    </w:p>
    <w:p>
      <w:pPr>
        <w:spacing w:after="0" w:line="193" w:lineRule="exact"/>
        <w:rPr>
          <w:sz w:val="20"/>
          <w:szCs w:val="20"/>
          <w:color w:val="auto"/>
        </w:rPr>
      </w:pPr>
    </w:p>
    <w:p>
      <w:pPr>
        <w:ind w:left="120" w:right="480" w:firstLine="881"/>
        <w:spacing w:after="0" w:line="308" w:lineRule="auto"/>
        <w:rPr>
          <w:sz w:val="20"/>
          <w:szCs w:val="20"/>
          <w:color w:val="auto"/>
        </w:rPr>
      </w:pPr>
      <w:r>
        <w:rPr>
          <w:rFonts w:ascii="Arial" w:cs="Arial" w:eastAsia="Arial" w:hAnsi="Arial"/>
          <w:sz w:val="17"/>
          <w:szCs w:val="17"/>
          <w:color w:val="auto"/>
        </w:rPr>
        <w:t>As a result of the lock-up agreements described below and the provisions of Rules 144 and 701 under the Securities Act, the shares of common stock that will be deemed restricted securities after this offering will be available for sale in the public market as follows:</w:t>
      </w:r>
    </w:p>
    <w:p>
      <w:pPr>
        <w:spacing w:after="0" w:line="173" w:lineRule="exact"/>
        <w:rPr>
          <w:sz w:val="20"/>
          <w:szCs w:val="20"/>
          <w:color w:val="auto"/>
        </w:rPr>
      </w:pPr>
    </w:p>
    <w:p>
      <w:pPr>
        <w:ind w:left="1420" w:hanging="319"/>
        <w:spacing w:after="0"/>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none of the existing shares will be eligible for immediate sale upon the completion of this offering; and</w:t>
      </w:r>
    </w:p>
    <w:p>
      <w:pPr>
        <w:spacing w:after="0" w:line="252" w:lineRule="exact"/>
        <w:rPr>
          <w:rFonts w:ascii="Arial" w:cs="Arial" w:eastAsia="Arial" w:hAnsi="Arial"/>
          <w:sz w:val="18"/>
          <w:szCs w:val="18"/>
          <w:color w:val="auto"/>
        </w:rPr>
      </w:pPr>
    </w:p>
    <w:p>
      <w:pPr>
        <w:ind w:left="1420" w:right="220" w:hanging="319"/>
        <w:spacing w:after="0" w:line="263" w:lineRule="auto"/>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shares will be eligible for sale in the public market upon expiration of lock-up agreements 180 days after the date of this prospectus, subject in certain circumstances to the volume, manner of sale and other limitations under Rule 144 and Rule 701 under the Securities Act, which are summarized below.</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 general, non-affiliate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Non-Affiliates</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restricted securities under Rule 144 if:</w:t>
      </w:r>
    </w:p>
    <w:p>
      <w:pPr>
        <w:spacing w:after="0" w:line="197" w:lineRule="exact"/>
        <w:rPr>
          <w:sz w:val="20"/>
          <w:szCs w:val="20"/>
          <w:color w:val="auto"/>
        </w:rPr>
      </w:pPr>
    </w:p>
    <w:p>
      <w:pPr>
        <w:ind w:left="1420" w:right="200" w:hanging="319"/>
        <w:spacing w:after="0" w:line="277" w:lineRule="auto"/>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restricted securities have been held for at least six months, including the holding period of any prior owner other than one of our affiliates (subject to certain exceptions);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we are current in our Exchange Act reporting at the time of sale.</w:t>
      </w:r>
    </w:p>
    <w:p>
      <w:pPr>
        <w:spacing w:after="0" w:line="22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Any person who is not deemed to have been an affiliate of ours at the time of, or at any time during the three months preceding, a sale and has held the restricted securities for at least one year, including the holding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period of any prior owner other than one of our affiliates, will be entitled to sell an unlimited number of restricted securities without regard to the length of time we have been subject to Exchange Act periodic reporting or whether we are current in our Exchange Act reporting. Non-affiliate resales are not subject to the manner of sale, volume limitation or notice filing provisions of Rule 144.</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Affiliates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ectPr>
          <w:pgSz w:w="11900" w:h="16838" w:orient="portrait"/>
          <w:cols w:equalWidth="0" w:num="1">
            <w:col w:w="11120"/>
          </w:cols>
          <w:pgMar w:left="320" w:top="459" w:right="459" w:bottom="1440" w:gutter="0" w:footer="0" w:header="0"/>
        </w:sectPr>
      </w:pPr>
    </w:p>
    <w:p>
      <w:pPr>
        <w:spacing w:after="0" w:line="21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shares of our common stock then outstanding, which will equal approximately the completion of this offering based on the number of shares outstanding as of March 31, 2021; or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w:t>
      </w:r>
    </w:p>
    <w:p>
      <w:pPr>
        <w:spacing w:after="0" w:line="491" w:lineRule="exact"/>
        <w:rPr>
          <w:sz w:val="20"/>
          <w:szCs w:val="20"/>
          <w:color w:val="auto"/>
        </w:rPr>
      </w:pPr>
    </w:p>
    <w:p>
      <w:pPr>
        <w:sectPr>
          <w:pgSz w:w="11900" w:h="16838" w:orient="portrait"/>
          <w:cols w:equalWidth="0" w:num="3">
            <w:col w:w="1160" w:space="260"/>
            <w:col w:w="7180" w:space="640"/>
            <w:col w:w="1880"/>
          </w:cols>
          <w:pgMar w:left="320" w:top="459" w:right="459" w:bottom="1440" w:gutter="0" w:footer="0" w:header="0"/>
          <w:type w:val="continuous"/>
        </w:sectPr>
      </w:pPr>
    </w:p>
    <w:p>
      <w:pPr>
        <w:ind w:left="1420" w:right="640" w:hanging="319"/>
        <w:spacing w:after="0" w:line="277" w:lineRule="auto"/>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stock exchange on which our shares are listed during the four calendar weeks preceding the filing of a notice on Form 144 with respect to the sale.</w:t>
      </w:r>
    </w:p>
    <w:p>
      <w:pPr>
        <w:spacing w:after="0" w:line="170" w:lineRule="exact"/>
        <w:rPr>
          <w:sz w:val="20"/>
          <w:szCs w:val="20"/>
          <w:color w:val="auto"/>
        </w:rPr>
      </w:pPr>
    </w:p>
    <w:p>
      <w:pPr>
        <w:ind w:left="120" w:right="340" w:firstLine="881"/>
        <w:spacing w:after="0" w:line="263" w:lineRule="auto"/>
        <w:rPr>
          <w:sz w:val="20"/>
          <w:szCs w:val="20"/>
          <w:color w:val="auto"/>
        </w:rPr>
      </w:pPr>
      <w:r>
        <w:rPr>
          <w:rFonts w:ascii="Arial" w:cs="Arial" w:eastAsia="Arial" w:hAnsi="Arial"/>
          <w:sz w:val="18"/>
          <w:szCs w:val="18"/>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“Underwriting” and will become eligible for sale upon the expiration of the restrictions set forth in those agreements.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S-8 Registration Statements</w:t>
      </w:r>
    </w:p>
    <w:p>
      <w:pPr>
        <w:spacing w:after="0" w:line="229"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subject to outstanding stock options and common stock issued or issuable under our equity plans. We expect to file the registration statement covering shares offered pursuant to our stock plans as soon as practicable after the closing of this offering, permitting the resale of such shares by non-affiliates in the public market without restriction under the Securities Act and the sale by affiliates in the public market, subject to compliance with the resale provisions of Rule 144 and expiration or release from the terms of the lock-up agreements described above.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120" w:firstLine="881"/>
        <w:spacing w:after="0" w:line="311" w:lineRule="auto"/>
        <w:rPr>
          <w:sz w:val="20"/>
          <w:szCs w:val="20"/>
          <w:color w:val="auto"/>
        </w:rPr>
      </w:pPr>
      <w:r>
        <w:rPr>
          <w:rFonts w:ascii="Arial" w:cs="Arial" w:eastAsia="Arial" w:hAnsi="Arial"/>
          <w:sz w:val="16"/>
          <w:szCs w:val="16"/>
          <w:color w:val="auto"/>
        </w:rPr>
        <w:t>We, our executive officers and directors and substantially all of the holders of our common stock outstanding on the date of this prospectus have entered into lock-up agreements with the underwriters or otherwise agreed, subject to certain exceptions, that we and they will not, directly or indirectly, offer, sell, contract to sell, pledge, grant any option to purchase, make any short sale, or otherwise dispose of or hedge any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type w:val="continuous"/>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of our shares of common stock, any options or warrants to purchase shares of our common stock, or any securities convertible into, or exchangeable for or that represent the right to receive shares of our common stock, without the prior written consent of BofA Securities, Inc. for a period of 180 days from the date of this prospectus.</w:t>
      </w:r>
    </w:p>
    <w:p>
      <w:pPr>
        <w:spacing w:after="0" w:line="184"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an agreement with the holders of our convertible preferred stock that contains market stand-off provisions imposing restrictions on the ability of such security holders to sell or otherwise transfer or dispose of any registrable securities for a period of 180 days following the date of this prospectus.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160" w:firstLine="881"/>
        <w:spacing w:after="0" w:line="275" w:lineRule="auto"/>
        <w:rPr>
          <w:sz w:val="20"/>
          <w:szCs w:val="20"/>
          <w:color w:val="auto"/>
        </w:rPr>
      </w:pPr>
      <w:r>
        <w:rPr>
          <w:rFonts w:ascii="Arial" w:cs="Arial" w:eastAsia="Arial" w:hAnsi="Arial"/>
          <w:sz w:val="17"/>
          <w:szCs w:val="17"/>
          <w:color w:val="auto"/>
        </w:rPr>
        <w:t>Upon the closing of this offering, the holders of shares of our common stock, including common stock issuable upon the conversion of our convertible preferred stock, or their transferees, will be entitled to specified rights with respect to the registration of their registrable shares under the Securities Act, subject to certain limitations and the expiration, waiver or termination of the lock-up agreements. Registration of these shares under the Securities Act would result in the shares becoming freely tradable without restriction under the Securities Act immediately upon effectiveness of the registration. See “Description of Capital Stock—Registration Rights” for additional information.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MATERIAL U.S. FEDERAL INCOME TAX CONSEQUENCES TO NON-U.S. HOLDERS</w:t>
      </w:r>
    </w:p>
    <w:p>
      <w:pPr>
        <w:spacing w:after="0" w:line="229"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The following is a summary of certain material U.S. federal income tax consequences to non-U.S. holders (as defined below) of the purchase,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Internal Revenue Code of 1986, as amended (the Code), Treasury Regulations promulgated thereunder, judicial decisions, and published rulings and administrative pronouncements of the Internal Revenue Service (IRS), all as in effect on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66"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an individual non-U.S. holder in light of such non-U.S. holder’s particular circumstances. This discussion also does not consider any specific facts or circumstances that may be relevant to non-U.S. holders subject to special rules under the U.S. federal income tax laws, including:</w:t>
      </w:r>
    </w:p>
    <w:p>
      <w:pPr>
        <w:spacing w:after="0" w:line="215" w:lineRule="exact"/>
        <w:rPr>
          <w:sz w:val="20"/>
          <w:szCs w:val="20"/>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252"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partnerships or other pass-through entities (entities or arrangements treated as partnerships for U.S. federal income tax purposes and investors therein);</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persons who hold or acquire our common stock through the exercise of an option or otherwise as compensation;</w:t>
      </w:r>
    </w:p>
    <w:p>
      <w:pPr>
        <w:spacing w:after="0" w:line="252" w:lineRule="exact"/>
        <w:rPr>
          <w:rFonts w:ascii="Arial" w:cs="Arial" w:eastAsia="Arial" w:hAnsi="Arial"/>
          <w:sz w:val="18"/>
          <w:szCs w:val="18"/>
          <w:color w:val="auto"/>
        </w:rPr>
      </w:pPr>
    </w:p>
    <w:p>
      <w:pPr>
        <w:ind w:left="1420" w:right="560" w:hanging="319"/>
        <w:spacing w:after="0" w:line="277" w:lineRule="auto"/>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persons subject to special tax accounting rules under Section 451(b) of the Code;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80"/>
          </w:cols>
          <w:pgMar w:left="320" w:top="459"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40" w:hanging="319"/>
        <w:spacing w:after="0" w:line="277" w:lineRule="auto"/>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If an entity or arrangement that is classified as a partnership for U.S. federal income tax purposes holds our common stock, the U.S. federal income tax treatment of a partner in the partnership will generally depend on the status of the partner, the activities of the partnership and certain determinations made at the partner level. Partnerships holding our common stock and the partners in such partnerships are urged to consult their tax advisors about the particular U.S. federal income tax consequences to them of holding and disposing of our common stock.</w:t>
      </w:r>
    </w:p>
    <w:p>
      <w:pPr>
        <w:spacing w:after="0" w:line="167" w:lineRule="exact"/>
        <w:rPr>
          <w:sz w:val="20"/>
          <w:szCs w:val="20"/>
          <w:color w:val="auto"/>
        </w:rPr>
      </w:pPr>
    </w:p>
    <w:p>
      <w:pPr>
        <w:jc w:val="both"/>
        <w:ind w:left="120" w:right="120"/>
        <w:spacing w:after="0" w:line="261"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Non-U.S. Holder</w:t>
      </w:r>
    </w:p>
    <w:p>
      <w:pPr>
        <w:spacing w:after="0" w:line="229"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not a “U.S. holder” or a partnership (including any entity or arrangement treated as a partnership) for U.S. federal income tax purposes. A U.S. holder is any person that, for U.S. federal income tax purposes, is or is treated as any of the following:</w:t>
      </w:r>
    </w:p>
    <w:p>
      <w:pPr>
        <w:spacing w:after="0" w:line="211" w:lineRule="exact"/>
        <w:rPr>
          <w:sz w:val="20"/>
          <w:szCs w:val="20"/>
          <w:color w:val="auto"/>
        </w:rPr>
      </w:pPr>
    </w:p>
    <w:p>
      <w:pPr>
        <w:ind w:left="1420" w:hanging="319"/>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52" w:lineRule="exact"/>
        <w:rPr>
          <w:rFonts w:ascii="Arial" w:cs="Arial" w:eastAsia="Arial" w:hAnsi="Arial"/>
          <w:sz w:val="18"/>
          <w:szCs w:val="18"/>
          <w:color w:val="auto"/>
        </w:rPr>
      </w:pPr>
    </w:p>
    <w:p>
      <w:pPr>
        <w:ind w:left="1420" w:hanging="319"/>
        <w:spacing w:after="0" w:line="286" w:lineRule="auto"/>
        <w:tabs>
          <w:tab w:leader="none" w:pos="14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trust (1) whose administration is subject to the primary supervision of a U.S. court and which has one or more U.S. persons (within the meaning of Section 7701(a)(30) of the Code) who have the authority to control all substantial decisions of the trust or (2) that has a valid election in effect under applicable Treasury Regulations to be treated as a U.S. person.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Common Stock</w:t>
      </w:r>
    </w:p>
    <w:p>
      <w:pPr>
        <w:spacing w:after="0" w:line="229"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As described under the section titled “Dividend Policy,” we do not anticipate declaring or paying, in the foreseeable future, any cash distributions on our capital stock. However, if we distribute cash or other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 —Gain on Disposition of Our Common Stock” below.</w:t>
      </w:r>
    </w:p>
    <w:p>
      <w:pPr>
        <w:spacing w:after="0" w:line="164"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Subject to the discussions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withholding agent with a valid IRS Form W-8BEN (in the case of individuals) or IRS Form W-8BEN-E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the case of entities), or other appropriate form, certifying such holder’s qualification for the reduced rate. This certification must be provided to us or our withholding agent before the payment of dividends and must be updated periodically. In the case of a non-U.S. Holder that is an entity, Treasury Regulations and the relevant tax treaty provide rules to determine whether, for purposes of determining the applicability of the tax treaty, dividends will be treated as paid to the entity or to those holding an interest in the entity. If the non-U.S. holder holds our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78"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88"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71"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 Non-U.S. holders should consult their tax advisors regarding any applicable income tax treaties that may provide for different rules.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229" w:lineRule="exact"/>
        <w:rPr>
          <w:sz w:val="20"/>
          <w:szCs w:val="20"/>
          <w:color w:val="auto"/>
        </w:rPr>
      </w:pPr>
    </w:p>
    <w:p>
      <w:pPr>
        <w:ind w:left="120" w:right="400" w:firstLine="881"/>
        <w:spacing w:after="0" w:line="308" w:lineRule="auto"/>
        <w:rPr>
          <w:sz w:val="20"/>
          <w:szCs w:val="20"/>
          <w:color w:val="auto"/>
        </w:rPr>
      </w:pPr>
      <w:r>
        <w:rPr>
          <w:rFonts w:ascii="Arial" w:cs="Arial" w:eastAsia="Arial" w:hAnsi="Arial"/>
          <w:sz w:val="17"/>
          <w:szCs w:val="17"/>
          <w:color w:val="auto"/>
        </w:rPr>
        <w:t>Subject to the discussions below regarding backup withholding and FATCA (as defined below), a non-U.S. holder generally will not be subject to U.S. federal income tax on any gain realized on the sale or other taxable disposition of our common stock, unless:</w:t>
      </w:r>
    </w:p>
    <w:p>
      <w:pPr>
        <w:spacing w:after="0" w:line="173" w:lineRule="exact"/>
        <w:rPr>
          <w:sz w:val="20"/>
          <w:szCs w:val="20"/>
          <w:color w:val="auto"/>
        </w:rPr>
      </w:pPr>
    </w:p>
    <w:p>
      <w:pPr>
        <w:ind w:left="1420" w:right="200" w:hanging="319"/>
        <w:spacing w:after="0" w:line="263" w:lineRule="auto"/>
        <w:tabs>
          <w:tab w:leader="none" w:pos="1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210"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97" w:lineRule="exact"/>
        <w:rPr>
          <w:rFonts w:ascii="Arial" w:cs="Arial" w:eastAsia="Arial" w:hAnsi="Arial"/>
          <w:sz w:val="18"/>
          <w:szCs w:val="18"/>
          <w:color w:val="auto"/>
        </w:rPr>
      </w:pPr>
    </w:p>
    <w:p>
      <w:pPr>
        <w:ind w:left="1420" w:right="80" w:hanging="319"/>
        <w:spacing w:after="0" w:line="279" w:lineRule="auto"/>
        <w:tabs>
          <w:tab w:leader="none" w:pos="14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our common stock constitutes a “United States real property interest” (USRPI) by reason of our status as a United States real property holding corporation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171"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Determining whether we are a USRPHC depends on the fair market value of our USRPIs interests relative to the fair market value of our other trade or business assets and our foreign real property interests. We believe that we are not currently and we do not anticipate becoming a USRPHC for U.S. federal income tax purposes, although there can be no assurance we will not in the future become a USRPHC.</w:t>
      </w:r>
    </w:p>
    <w:p>
      <w:pPr>
        <w:spacing w:after="0" w:line="16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except that the branch profits tax generally will not apply.</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Non-U.S. holders should consult their tax advisors regarding any applicable income tax treaties that may provide for different rules.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distributions on our common stock paid to such holder and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otherwise establishes an exemption, and if the payor does not have actual knowledge, or reason to know, that the holder is a U.S. person who is not an exempt recipient.</w:t>
      </w:r>
    </w:p>
    <w:p>
      <w:pPr>
        <w:spacing w:after="0" w:line="165"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on Foreign Entities</w:t>
      </w:r>
    </w:p>
    <w:p>
      <w:pPr>
        <w:spacing w:after="0" w:line="22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Sections 1471 through 1474 of the Code, which are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and would have applied also to payments of gross proceeds from the sale or other disposition of our common stock. The U.S. Treasury Department has released proposed regulations under FATCA providing for the elimination of the federal withholding tax of 30% applicable to gross proceeds of a sale or other disposition of our common stock. Under these proposed Treasury Regulations (which may be relied upon by taxpayers prior to finalization), FATCA will not apply to gross proceeds from sales or other dispositions of our common stock.</w:t>
      </w:r>
    </w:p>
    <w:p>
      <w:pPr>
        <w:spacing w:after="0" w:line="168" w:lineRule="exact"/>
        <w:rPr>
          <w:sz w:val="20"/>
          <w:szCs w:val="20"/>
          <w:color w:val="auto"/>
        </w:rPr>
      </w:pPr>
    </w:p>
    <w:p>
      <w:pPr>
        <w:ind w:left="120" w:right="720" w:firstLine="881"/>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common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140" w:firstLine="881"/>
        <w:spacing w:after="0" w:line="259" w:lineRule="auto"/>
        <w:rPr>
          <w:sz w:val="20"/>
          <w:szCs w:val="20"/>
          <w:color w:val="auto"/>
        </w:rPr>
      </w:pPr>
      <w:r>
        <w:rPr>
          <w:rFonts w:ascii="Arial" w:cs="Arial" w:eastAsia="Arial" w:hAnsi="Arial"/>
          <w:sz w:val="18"/>
          <w:szCs w:val="18"/>
          <w:color w:val="auto"/>
        </w:rPr>
        <w:t>BofA Securities, Inc., Credit Suisse Securities (USA) LLC and Stifel, Nicolaus &amp; Company, Incorporated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4580" w:type="dxa"/>
            <w:vAlign w:val="bottom"/>
            <w:gridSpan w:val="2"/>
          </w:tcPr>
          <w:p>
            <w:pPr>
              <w:jc w:val="center"/>
              <w:ind w:left="3808"/>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466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39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597471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5715</wp:posOffset>
            </wp:positionV>
            <wp:extent cx="56578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5974715" cy="1631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259" w:lineRule="exact"/>
        <w:rPr>
          <w:sz w:val="20"/>
          <w:szCs w:val="20"/>
          <w:color w:val="auto"/>
        </w:rPr>
      </w:pPr>
    </w:p>
    <w:p>
      <w:pPr>
        <w:ind w:left="120" w:right="460" w:firstLine="88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w:t>
      </w:r>
    </w:p>
    <w:p>
      <w:pPr>
        <w:spacing w:after="0" w:line="46"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forth on the cover page of this prospectus and to dealers at that price less a concession not in excess of $ per share. After the initial offering, the public offering price, concession or any other term of the offering may be changed.</w:t>
      </w:r>
    </w:p>
    <w:p>
      <w:pPr>
        <w:spacing w:after="0" w:line="185"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000" w:type="dxa"/>
            <w:vAlign w:val="bottom"/>
            <w:gridSpan w:val="2"/>
          </w:tcPr>
          <w:p>
            <w:pPr>
              <w:ind w:left="1380"/>
              <w:spacing w:after="0"/>
              <w:rPr>
                <w:sz w:val="20"/>
                <w:szCs w:val="20"/>
                <w:color w:val="auto"/>
              </w:rPr>
            </w:pPr>
            <w:r>
              <w:rPr>
                <w:rFonts w:ascii="Arial" w:cs="Arial" w:eastAsia="Arial" w:hAnsi="Arial"/>
                <w:sz w:val="14"/>
                <w:szCs w:val="14"/>
                <w:b w:val="1"/>
                <w:bCs w:val="1"/>
                <w:color w:val="auto"/>
                <w:w w:val="91"/>
              </w:rPr>
              <w:t>Per Share</w:t>
            </w:r>
          </w:p>
        </w:tc>
        <w:tc>
          <w:tcPr>
            <w:tcW w:w="1940" w:type="dxa"/>
            <w:vAlign w:val="bottom"/>
            <w:gridSpan w:val="2"/>
          </w:tcPr>
          <w:p>
            <w:pPr>
              <w:ind w:left="940"/>
              <w:spacing w:after="0"/>
              <w:rPr>
                <w:sz w:val="20"/>
                <w:szCs w:val="20"/>
                <w:color w:val="auto"/>
              </w:rPr>
            </w:pPr>
            <w:r>
              <w:rPr>
                <w:rFonts w:ascii="Arial" w:cs="Arial" w:eastAsia="Arial" w:hAnsi="Arial"/>
                <w:sz w:val="14"/>
                <w:szCs w:val="14"/>
                <w:b w:val="1"/>
                <w:bCs w:val="1"/>
                <w:color w:val="auto"/>
                <w:w w:val="96"/>
              </w:rPr>
              <w:t>Without Option</w:t>
            </w:r>
          </w:p>
        </w:tc>
        <w:tc>
          <w:tcPr>
            <w:tcW w:w="1780" w:type="dxa"/>
            <w:vAlign w:val="bottom"/>
            <w:gridSpan w:val="3"/>
          </w:tcPr>
          <w:p>
            <w:pPr>
              <w:ind w:left="940"/>
              <w:spacing w:after="0"/>
              <w:rPr>
                <w:sz w:val="20"/>
                <w:szCs w:val="20"/>
                <w:color w:val="auto"/>
              </w:rPr>
            </w:pPr>
            <w:r>
              <w:rPr>
                <w:rFonts w:ascii="Arial" w:cs="Arial" w:eastAsia="Arial" w:hAnsi="Arial"/>
                <w:sz w:val="14"/>
                <w:szCs w:val="14"/>
                <w:b w:val="1"/>
                <w:bCs w:val="1"/>
                <w:color w:val="auto"/>
              </w:rPr>
              <w:t>With Option</w:t>
            </w:r>
          </w:p>
        </w:tc>
      </w:tr>
      <w:tr>
        <w:trPr>
          <w:trHeight w:val="20"/>
        </w:trPr>
        <w:tc>
          <w:tcPr>
            <w:tcW w:w="3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Underwriting discount</w:t>
            </w:r>
          </w:p>
        </w:tc>
        <w:tc>
          <w:tcPr>
            <w:tcW w:w="200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0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expenses of the offering, not including the underwriting discount, are estimated at $ and are payable by us. We have agreed to reimburse the underwriters for expenses relating to clearance of this offering with the Financial Industry Regulatory Authority and other regulatory fees</w:t>
      </w:r>
    </w:p>
    <w:p>
      <w:pPr>
        <w:ind w:left="120"/>
        <w:spacing w:after="0"/>
        <w:tabs>
          <w:tab w:leader="none" w:pos="1320" w:val="left"/>
        </w:tabs>
        <w:rPr>
          <w:sz w:val="20"/>
          <w:szCs w:val="20"/>
          <w:color w:val="auto"/>
        </w:rPr>
      </w:pPr>
      <w:r>
        <w:rPr>
          <w:rFonts w:ascii="Arial" w:cs="Arial" w:eastAsia="Arial" w:hAnsi="Arial"/>
          <w:sz w:val="18"/>
          <w:szCs w:val="18"/>
          <w:color w:val="auto"/>
        </w:rPr>
        <w:t>up to $</w:t>
      </w:r>
      <w:r>
        <w:rPr>
          <w:sz w:val="20"/>
          <w:szCs w:val="20"/>
          <w:color w:val="auto"/>
        </w:rPr>
        <w:tab/>
      </w:r>
      <w:r>
        <w:rPr>
          <w:rFonts w:ascii="Arial" w:cs="Arial" w:eastAsia="Arial" w:hAnsi="Arial"/>
          <w:sz w:val="13"/>
          <w:szCs w:val="13"/>
          <w:color w:val="auto"/>
        </w:rPr>
        <w:t>.</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80"/>
          </w:cols>
          <w:pgMar w:left="320" w:top="459"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w:t>
      </w:r>
    </w:p>
    <w:p>
      <w:pPr>
        <w:spacing w:after="0" w:line="23"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Reserved Shares</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At our request, an affiliate of BofA Securities, Inc., a participating underwriter, has reserved for sale, at the initial public offering price, up to 5% of the shares of common stock offered by this prospectus for sale to certain of our directors, officers, employees, distributors, dealers, business associates and related persons. If these persons purchase reserved shares, this will reduce the number of shares of our common stock available for sale to the general public. Any reserved shares that are not so purchased will be offered by the underwriters to the general public on the same terms as the other shares offered by this prospectus.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We, our executive officers and directors and our other existing security holders that collectively own % of our stock before this offering have agreed not to sell or transfer any common stock or securities convertible into, exchangeable for, exercisable for, or repayable with common stock, for 180 days after the date of this prospectus without first obtaining the written consent of BofA Securities, Inc. Specifically, we and these other persons have agreed, with certain limited exceptions, not to directly or indirectly</w:t>
      </w:r>
    </w:p>
    <w:p>
      <w:pPr>
        <w:spacing w:after="0" w:line="214" w:lineRule="exact"/>
        <w:rPr>
          <w:sz w:val="20"/>
          <w:szCs w:val="20"/>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request or demand that we file or make a confidential submission of a registration statement related to the common stock, or</w:t>
      </w:r>
    </w:p>
    <w:p>
      <w:pPr>
        <w:spacing w:after="0" w:line="263" w:lineRule="exact"/>
        <w:rPr>
          <w:rFonts w:ascii="Arial" w:cs="Arial" w:eastAsia="Arial" w:hAnsi="Arial"/>
          <w:sz w:val="17"/>
          <w:szCs w:val="17"/>
          <w:color w:val="auto"/>
        </w:rPr>
      </w:pPr>
    </w:p>
    <w:p>
      <w:pPr>
        <w:ind w:left="1420" w:right="280" w:hanging="319"/>
        <w:spacing w:after="0" w:line="342" w:lineRule="auto"/>
        <w:tabs>
          <w:tab w:leader="none" w:pos="14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24"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or the Lock-Up Securities. It also applies to common stock owned now or acquired later by the person executing the agreement or for which the person executing the agreement later acquires the power of disposition.</w:t>
      </w:r>
    </w:p>
    <w:p>
      <w:pPr>
        <w:spacing w:after="0" w:line="184" w:lineRule="exact"/>
        <w:rPr>
          <w:sz w:val="20"/>
          <w:szCs w:val="20"/>
          <w:color w:val="auto"/>
        </w:rPr>
      </w:pPr>
    </w:p>
    <w:p>
      <w:pPr>
        <w:jc w:val="both"/>
        <w:ind w:left="120" w:right="320" w:firstLine="881"/>
        <w:spacing w:after="0" w:line="291" w:lineRule="auto"/>
        <w:rPr>
          <w:sz w:val="20"/>
          <w:szCs w:val="20"/>
          <w:color w:val="auto"/>
        </w:rPr>
      </w:pPr>
      <w:r>
        <w:rPr>
          <w:rFonts w:ascii="Arial" w:cs="Arial" w:eastAsia="Arial" w:hAnsi="Arial"/>
          <w:sz w:val="16"/>
          <w:szCs w:val="16"/>
          <w:color w:val="auto"/>
        </w:rPr>
        <w:t xml:space="preserve">The agreements of our officers, directors and holders of substantially all of our common stock do not apply to (a) (i) transfers made as a </w:t>
      </w:r>
      <w:r>
        <w:rPr>
          <w:rFonts w:ascii="Arial" w:cs="Arial" w:eastAsia="Arial" w:hAnsi="Arial"/>
          <w:sz w:val="16"/>
          <w:szCs w:val="16"/>
          <w:i w:val="1"/>
          <w:iCs w:val="1"/>
          <w:color w:val="auto"/>
        </w:rPr>
        <w:t xml:space="preserve">bona fide </w:t>
      </w:r>
      <w:r>
        <w:rPr>
          <w:rFonts w:ascii="Arial" w:cs="Arial" w:eastAsia="Arial" w:hAnsi="Arial"/>
          <w:sz w:val="16"/>
          <w:szCs w:val="16"/>
          <w:color w:val="auto"/>
        </w:rPr>
        <w:t>gift or gifts, including, without limitation, to a charitable organization or educational institution, or for</w:t>
      </w:r>
      <w:r>
        <w:rPr>
          <w:rFonts w:ascii="Arial" w:cs="Arial" w:eastAsia="Arial" w:hAnsi="Arial"/>
          <w:sz w:val="16"/>
          <w:szCs w:val="16"/>
          <w:i w:val="1"/>
          <w:iCs w:val="1"/>
          <w:color w:val="auto"/>
        </w:rPr>
        <w:t xml:space="preserve"> bona fide </w:t>
      </w:r>
      <w:r>
        <w:rPr>
          <w:rFonts w:ascii="Arial" w:cs="Arial" w:eastAsia="Arial" w:hAnsi="Arial"/>
          <w:sz w:val="16"/>
          <w:szCs w:val="16"/>
          <w:color w:val="auto"/>
        </w:rPr>
        <w:t>estate planning purposes,</w:t>
      </w:r>
    </w:p>
    <w:p>
      <w:pPr>
        <w:ind w:left="120" w:right="180" w:hanging="4"/>
        <w:spacing w:after="0" w:line="260" w:lineRule="auto"/>
        <w:tabs>
          <w:tab w:leader="none" w:pos="38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transfers to any immediate family member of such holder or to any trust for the direct or indirect benefit of such holder or the immediate family of such holder, (iii) if such holder is a trust, transfers to a trustor, trustee or beneficiary of such trust or to</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 xml:space="preserve">the estate of a trustor, trustee or beneficiary of such trust, (iv) transfers made as a distribution to partners, members, managers, equity holders or stockholders of such holder, or (v) transfers to such holder’s affiliates or to any investment fund or other entity controlled or managed by, controlling or managing, or under common control with, such holder or affiliates of such holder,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transferee or distributee agrees to such restrictions for the remainder of the 180-day period, any such transfer does not involve a disposition for value, and such transfers or distributions are not required to be reported with the SEC on Form 4 and no public filing or report regarding such transfers is voluntarily effected during the remainder of the 180-day period; (b) transfers made (i) by will, other testamentary document or intestate succession to the legal representative, heir, beneficiary or any immediate family of such holder, (ii) pursuant to a court or regulatory agency order, a qualified domestic order or in connection with a divorce settlement; or (iii) to us pursuant to any contractual arrangement that provides us with an option to repurchase such Lock-Up Securities in connection with the termination of such holder’s employment or other service relationship with us, or pursuant to a right of first refusal with respect to transfers of such Lock-Up Securities or to cover taxes due upon or the consideration required in connection with the vesting, conversion or exercise of securities issued under an equity incentive plan or stock purchase plan of the Company, including through the withholding of shares by, or surrender of shares to, us pursuant to a “cashless” or “net exercise” settlement feature,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transferee or distributee agrees to such restrictions for the remainder of the 180-day period, in the case of any transfer pursuant to (b)(i) above, such transfer does not involve a disposition for value, and any filing under the Exchange Act required to be made during the remainder of the 180-day period shall clearly indicate in the footnotes thereto that the filing relates to circumstances described above; (c) prevent or restrict (i) the exercise, vesting or settlement of any outstanding warrant, or any option to purchase common stock or other equity awards pursuant to any stock incentive plan or stock purchase plan of the Company (including in each case by “net” or “cashless” exercise),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the underlying shares shall continue to be subject to the transfer restrictions, (ii) the establishment of a plan of disposition that complies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Rule 10b5-1 under the Exchange Act (a “10b5-1 Plan”), or the amendment of an existing 10b5-1 Plan, so long as such plan does not provide for sales of Lock-Up Securities during the remainder of the 180-day period; and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establishment of a 10b5-1 Plan or the amendment of a 10b5-1 Plan, in either case, providing for sales of Lock-Up Securities shall only be permitted if (1) the establishment or amendment of such plan is not required to be reported during the Lock-Up Period in any public report or filing with the SEC or otherwise, and (2) such holder does not otherwise voluntarily effect any public filing or report regarding the establishment or amendment of such plan during the remainder of the 180-day period, (iii) the conversion of the outstanding shares of preferred stock of the Company into shares of common stock, provided that any such shares of common stock received upon such conversion shall be subject to the transfer restrictions, or (iv) the transfer of Lock-Up Securities pursuant to a bona fide third party tender offer, merger, consolidation or other similar transaction made to all holders of common stock and involving a change of control of the Company, provided that in the event that the tender offer, merger, consolidation or other such transaction is not complete, the Lock-Up Securities owned by such shall remain subject to the restrictions contained in the lock-up agreement; (d) sales of common stock purchased by such holder in this offering if and only if (i) such sales are not required to be reported in any public report or filing with the SEC, or otherwise and (2) such holder does not otherwise voluntarily effect any public filing or report regarding such sales; or (e) sales of common stock purchased by such holder in the open market after the date of this prospectus, provided that any filing under the Exchange Act required to be made during the reminder of the 180-day period with respect to such sale shall clearly indicate in the footnotes thereto that such common stock was purchased in the open market after the date of this offering and is not subject to the terms of the transfer restrictions.</w:t>
      </w:r>
    </w:p>
    <w:p>
      <w:pPr>
        <w:spacing w:after="0" w:line="3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 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expect the shares to be approved for listing on the Nasdaq Global Market, subject to notice of issuance, under the symbol “ABOS.”</w:t>
      </w:r>
    </w:p>
    <w:p>
      <w:pPr>
        <w:spacing w:after="0" w:line="248"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 assessment of our management, its past and present operations, and the prospects for, and timing of, our future revenues,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authority.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2"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87"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left="120" w:right="160" w:firstLine="881"/>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4"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In relation to each Member State of the European Economic Area (each a “Relevant State”), no offer of shares which are the subject of this offering has been, or will be, made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03" w:lineRule="exact"/>
        <w:rPr>
          <w:sz w:val="20"/>
          <w:szCs w:val="20"/>
          <w:color w:val="auto"/>
        </w:rPr>
      </w:pPr>
    </w:p>
    <w:p>
      <w:pPr>
        <w:ind w:left="1960" w:hanging="535"/>
        <w:spacing w:after="0"/>
        <w:tabs>
          <w:tab w:leader="none" w:pos="1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52" w:lineRule="exact"/>
        <w:rPr>
          <w:rFonts w:ascii="Arial" w:cs="Arial" w:eastAsia="Arial" w:hAnsi="Arial"/>
          <w:sz w:val="18"/>
          <w:szCs w:val="18"/>
          <w:color w:val="auto"/>
        </w:rPr>
      </w:pPr>
    </w:p>
    <w:p>
      <w:pPr>
        <w:ind w:left="1960" w:right="140" w:hanging="535"/>
        <w:spacing w:after="0" w:line="277" w:lineRule="auto"/>
        <w:tabs>
          <w:tab w:leader="none" w:pos="1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97" w:lineRule="exact"/>
        <w:rPr>
          <w:rFonts w:ascii="Arial" w:cs="Arial" w:eastAsia="Arial" w:hAnsi="Arial"/>
          <w:sz w:val="18"/>
          <w:szCs w:val="18"/>
          <w:color w:val="auto"/>
        </w:rPr>
      </w:pPr>
    </w:p>
    <w:p>
      <w:pPr>
        <w:ind w:left="1960" w:hanging="535"/>
        <w:spacing w:after="0"/>
        <w:tabs>
          <w:tab w:leader="none" w:pos="1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740" w:firstLine="881"/>
        <w:spacing w:after="0" w:line="277" w:lineRule="auto"/>
        <w:rPr>
          <w:sz w:val="20"/>
          <w:szCs w:val="20"/>
          <w:color w:val="auto"/>
        </w:rPr>
      </w:pPr>
      <w:r>
        <w:rPr>
          <w:rFonts w:ascii="Arial" w:cs="Arial" w:eastAsia="Arial" w:hAnsi="Arial"/>
          <w:sz w:val="18"/>
          <w:szCs w:val="18"/>
          <w:color w:val="auto"/>
        </w:rPr>
        <w:t>provided that no such offer of shares shall require the Issuer or any underwriter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100" w:firstLine="881"/>
        <w:spacing w:after="0" w:line="342" w:lineRule="auto"/>
        <w:rPr>
          <w:sz w:val="20"/>
          <w:szCs w:val="20"/>
          <w:color w:val="auto"/>
        </w:rPr>
      </w:pPr>
      <w:r>
        <w:rPr>
          <w:rFonts w:ascii="Arial" w:cs="Arial" w:eastAsia="Arial" w:hAnsi="Arial"/>
          <w:sz w:val="16"/>
          <w:szCs w:val="16"/>
          <w:color w:val="auto"/>
        </w:rPr>
        <w:t>Each person in a Relevant State who initially acquires any shares or to whom any offer is made will be deemed to have represented, acknowledged and agreed to and with the Company and the underwriters that it is a qualified investor within the meaning of the Prospectus Regulation.</w:t>
      </w:r>
    </w:p>
    <w:p>
      <w:pPr>
        <w:spacing w:after="0" w:line="124"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In relation to the United Kingdom, or the UK, no offer of shares which are the subject of this offering has been, or will be, made to the public in the UK prior to the publication of a prospectus in relation to the shares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214" w:lineRule="exact"/>
        <w:rPr>
          <w:sz w:val="20"/>
          <w:szCs w:val="20"/>
          <w:color w:val="auto"/>
        </w:rPr>
      </w:pPr>
    </w:p>
    <w:p>
      <w:pPr>
        <w:ind w:left="1960" w:hanging="535"/>
        <w:spacing w:after="0"/>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252" w:lineRule="exact"/>
        <w:rPr>
          <w:rFonts w:ascii="Arial" w:cs="Arial" w:eastAsia="Arial" w:hAnsi="Arial"/>
          <w:sz w:val="18"/>
          <w:szCs w:val="18"/>
          <w:color w:val="auto"/>
        </w:rPr>
      </w:pPr>
    </w:p>
    <w:p>
      <w:pPr>
        <w:ind w:left="1960" w:right="380" w:hanging="535"/>
        <w:spacing w:after="0" w:line="277" w:lineRule="auto"/>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197" w:lineRule="exact"/>
        <w:rPr>
          <w:rFonts w:ascii="Arial" w:cs="Arial" w:eastAsia="Arial" w:hAnsi="Arial"/>
          <w:sz w:val="18"/>
          <w:szCs w:val="18"/>
          <w:color w:val="auto"/>
        </w:rPr>
      </w:pPr>
    </w:p>
    <w:p>
      <w:pPr>
        <w:ind w:left="1960" w:hanging="535"/>
        <w:spacing w:after="0"/>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at any time in other circumstances falling within section 86 of the FSMA,</w:t>
      </w:r>
    </w:p>
    <w:p>
      <w:pPr>
        <w:spacing w:after="0" w:line="225" w:lineRule="exact"/>
        <w:rPr>
          <w:sz w:val="20"/>
          <w:szCs w:val="20"/>
          <w:color w:val="auto"/>
        </w:rPr>
      </w:pPr>
    </w:p>
    <w:p>
      <w:pPr>
        <w:ind w:left="120" w:right="80" w:firstLine="881"/>
        <w:spacing w:after="0" w:line="308" w:lineRule="auto"/>
        <w:rPr>
          <w:sz w:val="20"/>
          <w:szCs w:val="20"/>
          <w:color w:val="auto"/>
        </w:rPr>
      </w:pPr>
      <w:r>
        <w:rPr>
          <w:rFonts w:ascii="Arial" w:cs="Arial" w:eastAsia="Arial" w:hAnsi="Arial"/>
          <w:sz w:val="17"/>
          <w:szCs w:val="17"/>
          <w:color w:val="auto"/>
        </w:rPr>
        <w:t>provided that no such offer of shares shall require the Issuer or any underwriter to publish a prospectus pursuant to Section 85 of the FSMA or Article 3 of the UK Prospectus Regulation or supplement a prospectus pursuant to Article 23 of the UK Prospectus Regulation.</w:t>
      </w:r>
    </w:p>
    <w:p>
      <w:pPr>
        <w:spacing w:after="0" w:line="146" w:lineRule="exact"/>
        <w:rPr>
          <w:sz w:val="20"/>
          <w:szCs w:val="20"/>
          <w:color w:val="auto"/>
        </w:rPr>
      </w:pPr>
    </w:p>
    <w:p>
      <w:pPr>
        <w:ind w:left="120" w:right="200" w:firstLine="881"/>
        <w:spacing w:after="0" w:line="342" w:lineRule="auto"/>
        <w:rPr>
          <w:sz w:val="20"/>
          <w:szCs w:val="20"/>
          <w:color w:val="auto"/>
        </w:rPr>
      </w:pPr>
      <w:r>
        <w:rPr>
          <w:rFonts w:ascii="Arial" w:cs="Arial" w:eastAsia="Arial" w:hAnsi="Arial"/>
          <w:sz w:val="16"/>
          <w:szCs w:val="16"/>
          <w:color w:val="auto"/>
        </w:rPr>
        <w:t>Each person in the UK who initially acquires any shares or to whom any offer is made will be deemed to have represented, acknowledged and agreed to and with the Company and the underwriters that it is a qualified investor within the meaning of the UK Prospectus Regulation.</w:t>
      </w:r>
    </w:p>
    <w:p>
      <w:pPr>
        <w:spacing w:after="0" w:line="124"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representatives has been obtained to each such proposed offer or resale.</w:t>
      </w:r>
    </w:p>
    <w:p>
      <w:pPr>
        <w:spacing w:after="0" w:line="188"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70" w:lineRule="exact"/>
        <w:rPr>
          <w:sz w:val="20"/>
          <w:szCs w:val="20"/>
          <w:color w:val="auto"/>
        </w:rPr>
      </w:pPr>
    </w:p>
    <w:p>
      <w:pPr>
        <w:ind w:left="120" w:right="40" w:firstLine="881"/>
        <w:spacing w:after="0" w:line="253" w:lineRule="auto"/>
        <w:rPr>
          <w:sz w:val="20"/>
          <w:szCs w:val="20"/>
          <w:color w:val="auto"/>
        </w:rPr>
      </w:pPr>
      <w:r>
        <w:rPr>
          <w:rFonts w:ascii="Arial" w:cs="Arial" w:eastAsia="Arial" w:hAnsi="Arial"/>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ind w:left="120" w:right="460" w:firstLine="88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jc w:val="both"/>
        <w:ind w:left="120" w:right="120" w:firstLine="88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52" w:lineRule="exact"/>
        <w:rPr>
          <w:sz w:val="20"/>
          <w:szCs w:val="20"/>
          <w:color w:val="auto"/>
        </w:rPr>
      </w:pPr>
    </w:p>
    <w:p>
      <w:pPr>
        <w:ind w:left="1960" w:hanging="535"/>
        <w:spacing w:after="0" w:line="263" w:lineRule="auto"/>
        <w:tabs>
          <w:tab w:leader="none" w:pos="1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10" w:lineRule="exact"/>
        <w:rPr>
          <w:rFonts w:ascii="Arial" w:cs="Arial" w:eastAsia="Arial" w:hAnsi="Arial"/>
          <w:sz w:val="18"/>
          <w:szCs w:val="18"/>
          <w:color w:val="auto"/>
        </w:rPr>
      </w:pPr>
    </w:p>
    <w:p>
      <w:pPr>
        <w:ind w:left="1960" w:right="160" w:hanging="535"/>
        <w:spacing w:after="0" w:line="277" w:lineRule="auto"/>
        <w:tabs>
          <w:tab w:leader="none" w:pos="1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11" w:lineRule="exact"/>
        <w:rPr>
          <w:sz w:val="20"/>
          <w:szCs w:val="20"/>
          <w:color w:val="auto"/>
        </w:rPr>
      </w:pPr>
    </w:p>
    <w:p>
      <w:pPr>
        <w:ind w:left="1960" w:right="380" w:hanging="535"/>
        <w:spacing w:after="0" w:line="277" w:lineRule="auto"/>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1960" w:hanging="535"/>
        <w:spacing w:after="0"/>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960" w:hanging="535"/>
        <w:spacing w:after="0"/>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52" w:lineRule="exact"/>
        <w:rPr>
          <w:rFonts w:ascii="Arial" w:cs="Arial" w:eastAsia="Arial" w:hAnsi="Arial"/>
          <w:sz w:val="18"/>
          <w:szCs w:val="18"/>
          <w:color w:val="auto"/>
        </w:rPr>
      </w:pPr>
    </w:p>
    <w:p>
      <w:pPr>
        <w:ind w:left="1960" w:hanging="535"/>
        <w:spacing w:after="0"/>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80" w:firstLine="88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representatives are not required to comply with the disclosure requirements of NI 33-105 regarding underwriter conflicts of interest in connection with this offering.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The validity of the shares of common stock offered hereby will be passed upon for us by Cooley LLP, Reston, Virginia. Certain legal matters will be passed upon for the underwriters by Ropes &amp; Gray LLP, Boston, Massachusetts.</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financial statements of Acumen Pharmaceuticals, Inc. as of December 31, 2019 and 2020 and for the years then ended,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You can read our SEC filings, including the registration statement, over the internet at the SEC’s website at www.sec.gov. Upon completion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65"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We also maintain a website at www.acumenpharm.com,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in this prospectus solely as an inactive textual reference.</w:t>
      </w: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07"/>
        </w:trPr>
        <w:tc>
          <w:tcPr>
            <w:tcW w:w="10720" w:type="dxa"/>
            <w:vAlign w:val="bottom"/>
            <w:gridSpan w:val="1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52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rPr>
              <w:t>ACUMEN PHARMACEUTICALS, INC.</w:t>
            </w:r>
          </w:p>
        </w:tc>
        <w:tc>
          <w:tcPr>
            <w:tcW w:w="36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520" w:type="dxa"/>
            <w:vAlign w:val="bottom"/>
            <w:gridSpan w:val="6"/>
          </w:tcPr>
          <w:p>
            <w:pPr>
              <w:jc w:val="center"/>
              <w:ind w:right="2680"/>
              <w:spacing w:after="0"/>
              <w:rPr>
                <w:sz w:val="20"/>
                <w:szCs w:val="20"/>
                <w:color w:val="auto"/>
              </w:rPr>
            </w:pPr>
            <w:r>
              <w:rPr>
                <w:rFonts w:ascii="Arial" w:cs="Arial" w:eastAsia="Arial" w:hAnsi="Arial"/>
                <w:sz w:val="18"/>
                <w:szCs w:val="18"/>
                <w:b w:val="1"/>
                <w:bCs w:val="1"/>
                <w:color w:val="auto"/>
              </w:rPr>
              <w:t>INDEX TO FINANCIAL STATEMENTS</w:t>
            </w:r>
          </w:p>
        </w:tc>
        <w:tc>
          <w:tcPr>
            <w:tcW w:w="36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42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91">
              <w:r>
                <w:rPr>
                  <w:rFonts w:ascii="Arial" w:cs="Arial" w:eastAsia="Arial" w:hAnsi="Arial"/>
                  <w:sz w:val="18"/>
                  <w:szCs w:val="18"/>
                  <w:color w:val="0000EE"/>
                  <w:w w:val="91"/>
                </w:rPr>
                <w:t>Report of Independent Registered Public Accounting Firm</w:t>
              </w:r>
            </w:hyperlink>
          </w:p>
        </w:tc>
        <w:tc>
          <w:tcPr>
            <w:tcW w:w="6380" w:type="dxa"/>
            <w:vAlign w:val="bottom"/>
            <w:gridSpan w:val="5"/>
          </w:tcPr>
          <w:p>
            <w:pPr>
              <w:spacing w:after="0"/>
              <w:rPr>
                <w:sz w:val="24"/>
                <w:szCs w:val="24"/>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w w:val="88"/>
              </w:rPr>
              <w:t>F-2</w:t>
            </w:r>
          </w:p>
        </w:tc>
      </w:tr>
      <w:tr>
        <w:trPr>
          <w:trHeight w:val="196"/>
        </w:trPr>
        <w:tc>
          <w:tcPr>
            <w:tcW w:w="120" w:type="dxa"/>
            <w:vAlign w:val="bottom"/>
          </w:tcPr>
          <w:p>
            <w:pPr>
              <w:spacing w:after="0"/>
              <w:rPr>
                <w:sz w:val="17"/>
                <w:szCs w:val="17"/>
                <w:color w:val="auto"/>
              </w:rPr>
            </w:pPr>
          </w:p>
        </w:tc>
        <w:tc>
          <w:tcPr>
            <w:tcW w:w="10600" w:type="dxa"/>
            <w:vAlign w:val="bottom"/>
            <w:gridSpan w:val="10"/>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Balance Sheets as of December 31, 2019 and 2020 and March 31, 2021</w:t>
              </w:r>
            </w:hyperlink>
          </w:p>
        </w:tc>
        <w:tc>
          <w:tcPr>
            <w:tcW w:w="360" w:type="dxa"/>
            <w:vAlign w:val="bottom"/>
          </w:tcPr>
          <w:p>
            <w:pPr>
              <w:ind w:left="100"/>
              <w:spacing w:after="0" w:line="196" w:lineRule="exact"/>
              <w:rPr>
                <w:sz w:val="20"/>
                <w:szCs w:val="20"/>
                <w:color w:val="auto"/>
              </w:rPr>
            </w:pPr>
            <w:r>
              <w:rPr>
                <w:rFonts w:ascii="Arial" w:cs="Arial" w:eastAsia="Arial" w:hAnsi="Arial"/>
                <w:sz w:val="18"/>
                <w:szCs w:val="18"/>
                <w:color w:val="auto"/>
                <w:w w:val="88"/>
              </w:rPr>
              <w:t>F-3</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00" w:type="dxa"/>
            <w:vAlign w:val="bottom"/>
            <w:gridSpan w:val="10"/>
          </w:tcPr>
          <w:p>
            <w:pPr>
              <w:spacing w:after="0" w:line="196" w:lineRule="exact"/>
              <w:rPr>
                <w:rFonts w:ascii="Arial" w:cs="Arial" w:eastAsia="Arial" w:hAnsi="Arial"/>
                <w:sz w:val="18"/>
                <w:szCs w:val="18"/>
                <w:color w:val="0000EE"/>
                <w:w w:val="98"/>
              </w:rPr>
            </w:pPr>
            <w:hyperlink w:anchor="page193">
              <w:r>
                <w:rPr>
                  <w:rFonts w:ascii="Arial" w:cs="Arial" w:eastAsia="Arial" w:hAnsi="Arial"/>
                  <w:sz w:val="18"/>
                  <w:szCs w:val="18"/>
                  <w:color w:val="0000EE"/>
                  <w:w w:val="98"/>
                </w:rPr>
                <w:t>Statements of Operations for the years ended December 31, 2019 and 2020 and for the three months ended March 31, 2020 and 2021</w:t>
              </w:r>
            </w:hyperlink>
          </w:p>
        </w:tc>
        <w:tc>
          <w:tcPr>
            <w:tcW w:w="360" w:type="dxa"/>
            <w:vAlign w:val="bottom"/>
          </w:tcPr>
          <w:p>
            <w:pPr>
              <w:ind w:left="100"/>
              <w:spacing w:after="0" w:line="196" w:lineRule="exact"/>
              <w:rPr>
                <w:sz w:val="20"/>
                <w:szCs w:val="20"/>
                <w:color w:val="auto"/>
              </w:rPr>
            </w:pPr>
            <w:r>
              <w:rPr>
                <w:rFonts w:ascii="Arial" w:cs="Arial" w:eastAsia="Arial" w:hAnsi="Arial"/>
                <w:sz w:val="18"/>
                <w:szCs w:val="18"/>
                <w:color w:val="auto"/>
                <w:w w:val="88"/>
              </w:rPr>
              <w:t>F-4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5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00" w:type="dxa"/>
            <w:vAlign w:val="bottom"/>
            <w:gridSpan w:val="10"/>
          </w:tcPr>
          <w:p>
            <w:pPr>
              <w:spacing w:after="0" w:line="196" w:lineRule="exact"/>
              <w:rPr>
                <w:rFonts w:ascii="Arial" w:cs="Arial" w:eastAsia="Arial" w:hAnsi="Arial"/>
                <w:sz w:val="18"/>
                <w:szCs w:val="18"/>
                <w:color w:val="0000EE"/>
                <w:w w:val="90"/>
              </w:rPr>
            </w:pPr>
            <w:hyperlink w:anchor="page194">
              <w:r>
                <w:rPr>
                  <w:rFonts w:ascii="Arial" w:cs="Arial" w:eastAsia="Arial" w:hAnsi="Arial"/>
                  <w:sz w:val="18"/>
                  <w:szCs w:val="18"/>
                  <w:color w:val="0000EE"/>
                  <w:w w:val="90"/>
                </w:rPr>
                <w:t>Statement of Changes in Convertible Preferred Stock and Stockholders’ Equity for the years ended December 31, 2019 and 2020 and for the three</w:t>
              </w:r>
            </w:hyperlink>
          </w:p>
        </w:tc>
        <w:tc>
          <w:tcPr>
            <w:tcW w:w="3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94">
              <w:r>
                <w:rPr>
                  <w:rFonts w:ascii="Arial" w:cs="Arial" w:eastAsia="Arial" w:hAnsi="Arial"/>
                  <w:sz w:val="18"/>
                  <w:szCs w:val="18"/>
                  <w:color w:val="0000EE"/>
                  <w:w w:val="88"/>
                </w:rPr>
                <w:t>months ended March 31, 2020 and 2021</w:t>
              </w:r>
            </w:hyperlink>
          </w:p>
        </w:tc>
        <w:tc>
          <w:tcPr>
            <w:tcW w:w="7420" w:type="dxa"/>
            <w:vAlign w:val="bottom"/>
            <w:tcBorders>
              <w:top w:val="single" w:sz="8" w:color="0000EE"/>
            </w:tcBorders>
            <w:gridSpan w:val="5"/>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ind w:left="10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120" w:type="dxa"/>
            <w:vAlign w:val="bottom"/>
          </w:tcPr>
          <w:p>
            <w:pPr>
              <w:spacing w:after="0"/>
              <w:rPr>
                <w:sz w:val="17"/>
                <w:szCs w:val="17"/>
                <w:color w:val="auto"/>
              </w:rPr>
            </w:pPr>
          </w:p>
        </w:tc>
        <w:tc>
          <w:tcPr>
            <w:tcW w:w="96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95">
              <w:r>
                <w:rPr>
                  <w:rFonts w:ascii="Arial" w:cs="Arial" w:eastAsia="Arial" w:hAnsi="Arial"/>
                  <w:sz w:val="18"/>
                  <w:szCs w:val="18"/>
                  <w:color w:val="0000EE"/>
                  <w:w w:val="89"/>
                </w:rPr>
                <w:t>Statements of Cash Flows for the years ended December 31, 2019 and 2020 and for the three months ended March 31, 2020 and 2021</w:t>
              </w:r>
            </w:hyperlink>
          </w:p>
        </w:tc>
        <w:tc>
          <w:tcPr>
            <w:tcW w:w="920" w:type="dxa"/>
            <w:vAlign w:val="bottom"/>
            <w:gridSpan w:val="2"/>
          </w:tcPr>
          <w:p>
            <w:pPr>
              <w:spacing w:after="0"/>
              <w:rPr>
                <w:sz w:val="17"/>
                <w:szCs w:val="17"/>
                <w:color w:val="auto"/>
              </w:rPr>
            </w:pPr>
          </w:p>
        </w:tc>
        <w:tc>
          <w:tcPr>
            <w:tcW w:w="360" w:type="dxa"/>
            <w:vAlign w:val="bottom"/>
          </w:tcPr>
          <w:p>
            <w:pPr>
              <w:ind w:left="10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120" w:type="dxa"/>
            <w:vAlign w:val="bottom"/>
          </w:tcPr>
          <w:p>
            <w:pPr>
              <w:spacing w:after="0"/>
              <w:rPr>
                <w:sz w:val="17"/>
                <w:szCs w:val="17"/>
                <w:color w:val="auto"/>
              </w:rPr>
            </w:pPr>
          </w:p>
        </w:tc>
        <w:tc>
          <w:tcPr>
            <w:tcW w:w="10600" w:type="dxa"/>
            <w:vAlign w:val="bottom"/>
            <w:gridSpan w:val="10"/>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Notes to Financial Statements</w:t>
              </w:r>
            </w:hyperlink>
          </w:p>
        </w:tc>
        <w:tc>
          <w:tcPr>
            <w:tcW w:w="360" w:type="dxa"/>
            <w:vAlign w:val="bottom"/>
          </w:tcPr>
          <w:p>
            <w:pPr>
              <w:ind w:left="100"/>
              <w:spacing w:after="0" w:line="196" w:lineRule="exact"/>
              <w:rPr>
                <w:sz w:val="20"/>
                <w:szCs w:val="20"/>
                <w:color w:val="auto"/>
              </w:rPr>
            </w:pPr>
            <w:r>
              <w:rPr>
                <w:rFonts w:ascii="Arial" w:cs="Arial" w:eastAsia="Arial" w:hAnsi="Arial"/>
                <w:sz w:val="18"/>
                <w:szCs w:val="18"/>
                <w:color w:val="auto"/>
                <w:w w:val="88"/>
              </w:rPr>
              <w:t>F-7</w:t>
            </w:r>
          </w:p>
        </w:tc>
      </w:tr>
      <w:tr>
        <w:trPr>
          <w:trHeight w:val="385"/>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20" w:type="dxa"/>
            <w:vAlign w:val="bottom"/>
            <w:gridSpan w:val="4"/>
          </w:tcPr>
          <w:p>
            <w:pPr>
              <w:jc w:val="center"/>
              <w:ind w:right="4780"/>
              <w:spacing w:after="0"/>
              <w:rPr>
                <w:sz w:val="20"/>
                <w:szCs w:val="20"/>
                <w:color w:val="auto"/>
              </w:rPr>
            </w:pPr>
            <w:r>
              <w:rPr>
                <w:rFonts w:ascii="Arial" w:cs="Arial" w:eastAsia="Arial" w:hAnsi="Arial"/>
                <w:sz w:val="18"/>
                <w:szCs w:val="18"/>
                <w:color w:val="auto"/>
                <w:w w:val="88"/>
              </w:rPr>
              <w:t>F-1</w:t>
            </w:r>
          </w:p>
        </w:tc>
        <w:tc>
          <w:tcPr>
            <w:tcW w:w="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Acumen Pharmaceuticals,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have audited the accompanying balance sheets of Acumen Pharmaceuticals, Inc. (the Company) as of December 31, 2020 and 2019, the related statements of operations, changes in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auditors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9, 2021</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43,777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41,407</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Grant receivable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44,429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44,429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42,373</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531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Preferred stock tranche rights liability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5,033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26,557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warrant liability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A convertible preferred stock, $0.0001 par value; 802,972, 711,203 and 711,203 shares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authorized as of December 31, 2019 and 2020 and March 31, 2021 (unaudited), respectively;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711,203 shares issued and outstanding as of December 31, 2019 and 2020 and March 31, 2021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 liquidation preference of $1,067 as of March 31, 2021 (unaudited)</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02"/>
        </w:trPr>
        <w:tc>
          <w:tcPr>
            <w:tcW w:w="7580" w:type="dxa"/>
            <w:vAlign w:val="bottom"/>
          </w:tcPr>
          <w:p>
            <w:pPr>
              <w:spacing w:after="0" w:line="201" w:lineRule="exact"/>
              <w:rPr>
                <w:sz w:val="20"/>
                <w:szCs w:val="20"/>
                <w:color w:val="auto"/>
              </w:rPr>
            </w:pPr>
            <w:r>
              <w:rPr>
                <w:rFonts w:ascii="Arial" w:cs="Arial" w:eastAsia="Arial" w:hAnsi="Arial"/>
                <w:sz w:val="18"/>
                <w:szCs w:val="18"/>
                <w:color w:val="auto"/>
                <w:w w:val="96"/>
              </w:rPr>
              <w:t>Series A-1 convertible preferred stock, $0.0001 par value; 12,710,059, 11,898,177 and 11,898,177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w w:val="92"/>
              </w:rPr>
              <w:t>shares authorized as of December 31, 2019 and 2020 and March 31, 2021 (unaudited), respectively;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w w:val="93"/>
              </w:rPr>
              <w:t>11,231,511 shares issued and outstanding as of December 31, 2019 and 2020 and March 31, 2021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(unaudited); liquidation preference of $16,847 as of March 31, 2021 (unaudited)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16,333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16,333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16,333</w:t>
            </w:r>
          </w:p>
        </w:tc>
        <w:tc>
          <w:tcPr>
            <w:tcW w:w="0" w:type="dxa"/>
            <w:vAlign w:val="bottom"/>
          </w:tcPr>
          <w:p>
            <w:pPr>
              <w:spacing w:after="0"/>
              <w:rPr>
                <w:sz w:val="1"/>
                <w:szCs w:val="1"/>
                <w:color w:val="auto"/>
              </w:rPr>
            </w:pPr>
          </w:p>
        </w:tc>
      </w:tr>
      <w:tr>
        <w:trPr>
          <w:trHeight w:val="202"/>
        </w:trPr>
        <w:tc>
          <w:tcPr>
            <w:tcW w:w="7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B convertible preferred stock, $0.0001 par value; 0, 29,457,450 and 29,457,450 shares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authorized as of December 31, 2019 and 2020 and March 31, 2021 (unaudited), respectively; 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17,674,469 and 17,674,469 shares issued and outstanding as of December 31, 2019 and 2020 and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March 31, 2021 (unaudited), respectively; liquidation preference of $45,070 as of March 31, 2021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39,253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39,253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Stockholders’ deficit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Common stock, $0.0001 par value; 17,400,000, 50,500,000 and 50,500,000 shares authorized as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of December 31, 2019 and 2020 and March 31, 2021 (unaudited), respectively; 624,635 shares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issued and outstanding as of December 31, 2019 and 2020 and March 31, 2021 (unaudited)</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8,220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8,374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(19,640)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(26,965)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(53,962)</w:t>
            </w:r>
          </w:p>
        </w:tc>
        <w:tc>
          <w:tcPr>
            <w:tcW w:w="0" w:type="dxa"/>
            <w:vAlign w:val="bottom"/>
          </w:tcPr>
          <w:p>
            <w:pPr>
              <w:spacing w:after="0"/>
              <w:rPr>
                <w:sz w:val="1"/>
                <w:szCs w:val="1"/>
                <w:color w:val="auto"/>
              </w:rPr>
            </w:pPr>
          </w:p>
        </w:tc>
      </w:tr>
      <w:tr>
        <w:trPr>
          <w:trHeight w:val="230"/>
        </w:trPr>
        <w:tc>
          <w:tcPr>
            <w:tcW w:w="758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(11,420)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(18,591)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44,429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42,373</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7"/>
          </w:tcPr>
          <w:p>
            <w:pPr>
              <w:jc w:val="right"/>
              <w:ind w:right="541"/>
              <w:spacing w:after="0"/>
              <w:rPr>
                <w:sz w:val="20"/>
                <w:szCs w:val="20"/>
                <w:color w:val="auto"/>
              </w:rPr>
            </w:pPr>
            <w:r>
              <w:rPr>
                <w:rFonts w:ascii="Arial" w:cs="Arial" w:eastAsia="Arial" w:hAnsi="Arial"/>
                <w:sz w:val="14"/>
                <w:szCs w:val="14"/>
                <w:b w:val="1"/>
                <w:bCs w:val="1"/>
                <w:color w:val="auto"/>
              </w:rPr>
              <w:t>For the Year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jc w:val="center"/>
              <w:ind w:right="201"/>
              <w:spacing w:after="0"/>
              <w:rPr>
                <w:sz w:val="20"/>
                <w:szCs w:val="20"/>
                <w:color w:val="auto"/>
              </w:rPr>
            </w:pPr>
            <w:r>
              <w:rPr>
                <w:rFonts w:ascii="Arial" w:cs="Arial" w:eastAsia="Arial" w:hAnsi="Arial"/>
                <w:sz w:val="14"/>
                <w:szCs w:val="14"/>
                <w:b w:val="1"/>
                <w:bCs w:val="1"/>
                <w:color w:val="auto"/>
                <w:w w:val="93"/>
              </w:rPr>
              <w:t>For the Three Months Ended</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7"/>
          </w:tcPr>
          <w:p>
            <w:pPr>
              <w:jc w:val="right"/>
              <w:ind w:right="721"/>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jc w:val="center"/>
              <w:ind w:left="414"/>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left="434"/>
              <w:spacing w:after="0" w:line="142" w:lineRule="exact"/>
              <w:rPr>
                <w:sz w:val="20"/>
                <w:szCs w:val="20"/>
                <w:color w:val="auto"/>
              </w:rPr>
            </w:pPr>
            <w:r>
              <w:rPr>
                <w:rFonts w:ascii="Arial" w:cs="Arial" w:eastAsia="Arial" w:hAnsi="Arial"/>
                <w:sz w:val="14"/>
                <w:szCs w:val="14"/>
                <w:b w:val="1"/>
                <w:bCs w:val="1"/>
                <w:color w:val="auto"/>
                <w:w w:val="94"/>
              </w:rPr>
              <w:t>(unaudited)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Grant and other revenue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1,436</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7,997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2,050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926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1,351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21"/>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2,272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(7,805)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(2,046)</w:t>
            </w: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21"/>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60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Change in fair value of preferred stock tranche rights liability and preferred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 warrant liability</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586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(23,217)</w:t>
            </w: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(23,204)</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(7,907)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 related to common stock exchanged for Series A convertible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(7,686</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(11.73)</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642,053</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624,635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624,635</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624,635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CHANGES IN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2280" w:type="dxa"/>
            <w:vAlign w:val="bottom"/>
          </w:tcPr>
          <w:p>
            <w:pPr>
              <w:spacing w:after="0"/>
              <w:rPr>
                <w:sz w:val="3"/>
                <w:szCs w:val="3"/>
                <w:color w:val="auto"/>
              </w:rPr>
            </w:pPr>
          </w:p>
        </w:tc>
        <w:tc>
          <w:tcPr>
            <w:tcW w:w="1140" w:type="dxa"/>
            <w:vAlign w:val="bottom"/>
            <w:gridSpan w:val="7"/>
            <w:vMerge w:val="restart"/>
          </w:tcPr>
          <w:p>
            <w:pPr>
              <w:jc w:val="center"/>
              <w:ind w:left="81"/>
              <w:spacing w:after="0"/>
              <w:rPr>
                <w:sz w:val="20"/>
                <w:szCs w:val="20"/>
                <w:color w:val="auto"/>
              </w:rPr>
            </w:pPr>
            <w:r>
              <w:rPr>
                <w:rFonts w:ascii="Arial" w:cs="Arial" w:eastAsia="Arial" w:hAnsi="Arial"/>
                <w:sz w:val="14"/>
                <w:szCs w:val="14"/>
                <w:b w:val="1"/>
                <w:bCs w:val="1"/>
                <w:color w:val="auto"/>
                <w:w w:val="89"/>
              </w:rPr>
              <w:t>Series A</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760" w:type="dxa"/>
            <w:vAlign w:val="bottom"/>
            <w:gridSpan w:val="3"/>
            <w:vMerge w:val="restart"/>
          </w:tcPr>
          <w:p>
            <w:pPr>
              <w:jc w:val="right"/>
              <w:ind w:right="41"/>
              <w:spacing w:after="0"/>
              <w:rPr>
                <w:sz w:val="20"/>
                <w:szCs w:val="20"/>
                <w:color w:val="auto"/>
              </w:rPr>
            </w:pPr>
            <w:r>
              <w:rPr>
                <w:rFonts w:ascii="Arial" w:cs="Arial" w:eastAsia="Arial" w:hAnsi="Arial"/>
                <w:sz w:val="14"/>
                <w:szCs w:val="14"/>
                <w:b w:val="1"/>
                <w:bCs w:val="1"/>
                <w:color w:val="auto"/>
                <w:w w:val="90"/>
              </w:rPr>
              <w:t>Series A-1</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700" w:type="dxa"/>
            <w:vAlign w:val="bottom"/>
            <w:gridSpan w:val="5"/>
            <w:vMerge w:val="restart"/>
          </w:tcPr>
          <w:p>
            <w:pPr>
              <w:jc w:val="center"/>
              <w:ind w:right="46"/>
              <w:spacing w:after="0"/>
              <w:rPr>
                <w:sz w:val="20"/>
                <w:szCs w:val="20"/>
                <w:color w:val="auto"/>
              </w:rPr>
            </w:pPr>
            <w:r>
              <w:rPr>
                <w:rFonts w:ascii="Arial" w:cs="Arial" w:eastAsia="Arial" w:hAnsi="Arial"/>
                <w:sz w:val="14"/>
                <w:szCs w:val="14"/>
                <w:b w:val="1"/>
                <w:bCs w:val="1"/>
                <w:color w:val="auto"/>
                <w:w w:val="89"/>
              </w:rPr>
              <w:t>Series B</w:t>
            </w: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280" w:type="dxa"/>
            <w:vAlign w:val="bottom"/>
          </w:tcPr>
          <w:p>
            <w:pPr>
              <w:spacing w:after="0"/>
              <w:rPr>
                <w:sz w:val="10"/>
                <w:szCs w:val="10"/>
                <w:color w:val="auto"/>
              </w:rPr>
            </w:pPr>
          </w:p>
        </w:tc>
        <w:tc>
          <w:tcPr>
            <w:tcW w:w="1140" w:type="dxa"/>
            <w:vAlign w:val="bottom"/>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700" w:type="dxa"/>
            <w:vAlign w:val="bottom"/>
            <w:gridSpan w:val="5"/>
            <w:vMerge w:val="continue"/>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1140" w:type="dxa"/>
            <w:vAlign w:val="bottom"/>
            <w:gridSpan w:val="7"/>
          </w:tcPr>
          <w:p>
            <w:pPr>
              <w:jc w:val="center"/>
              <w:ind w:left="61"/>
              <w:spacing w:after="0" w:line="158" w:lineRule="exact"/>
              <w:rPr>
                <w:sz w:val="20"/>
                <w:szCs w:val="20"/>
                <w:color w:val="auto"/>
              </w:rPr>
            </w:pPr>
            <w:r>
              <w:rPr>
                <w:rFonts w:ascii="Arial" w:cs="Arial" w:eastAsia="Arial" w:hAnsi="Arial"/>
                <w:sz w:val="14"/>
                <w:szCs w:val="14"/>
                <w:b w:val="1"/>
                <w:bCs w:val="1"/>
                <w:color w:val="auto"/>
                <w:w w:val="93"/>
              </w:rPr>
              <w:t>Convertible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4"/>
          </w:tcPr>
          <w:p>
            <w:pPr>
              <w:jc w:val="right"/>
              <w:ind w:right="1"/>
              <w:spacing w:after="0" w:line="158"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6"/>
          </w:tcPr>
          <w:p>
            <w:pPr>
              <w:jc w:val="center"/>
              <w:spacing w:after="0" w:line="158" w:lineRule="exact"/>
              <w:rPr>
                <w:sz w:val="20"/>
                <w:szCs w:val="20"/>
                <w:color w:val="auto"/>
              </w:rPr>
            </w:pPr>
            <w:r>
              <w:rPr>
                <w:rFonts w:ascii="Arial" w:cs="Arial" w:eastAsia="Arial" w:hAnsi="Arial"/>
                <w:sz w:val="14"/>
                <w:szCs w:val="14"/>
                <w:b w:val="1"/>
                <w:bCs w:val="1"/>
                <w:color w:val="auto"/>
                <w:w w:val="96"/>
              </w:rPr>
              <w:t>Convertible</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7"/>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3"/>
                <w:szCs w:val="13"/>
                <w:color w:val="auto"/>
              </w:rPr>
            </w:pPr>
          </w:p>
        </w:tc>
        <w:tc>
          <w:tcPr>
            <w:tcW w:w="820" w:type="dxa"/>
            <w:vAlign w:val="bottom"/>
            <w:gridSpan w:val="4"/>
          </w:tcPr>
          <w:p>
            <w:pPr>
              <w:jc w:val="right"/>
              <w:ind w:right="160"/>
              <w:spacing w:after="0" w:line="158" w:lineRule="exact"/>
              <w:rPr>
                <w:sz w:val="20"/>
                <w:szCs w:val="20"/>
                <w:color w:val="auto"/>
              </w:rPr>
            </w:pPr>
            <w:r>
              <w:rPr>
                <w:rFonts w:ascii="Arial" w:cs="Arial" w:eastAsia="Arial" w:hAnsi="Arial"/>
                <w:sz w:val="14"/>
                <w:szCs w:val="14"/>
                <w:b w:val="1"/>
                <w:bCs w:val="1"/>
                <w:color w:val="auto"/>
                <w:w w:val="93"/>
              </w:rPr>
              <w:t>Additional</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140" w:type="dxa"/>
            <w:vAlign w:val="bottom"/>
            <w:gridSpan w:val="7"/>
          </w:tcPr>
          <w:p>
            <w:pPr>
              <w:jc w:val="center"/>
              <w:ind w:left="81"/>
              <w:spacing w:after="0"/>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9"/>
          </w:tcPr>
          <w:p>
            <w:pPr>
              <w:ind w:left="220"/>
              <w:spacing w:after="0"/>
              <w:rPr>
                <w:sz w:val="20"/>
                <w:szCs w:val="20"/>
                <w:color w:val="auto"/>
              </w:rPr>
            </w:pPr>
            <w:r>
              <w:rPr>
                <w:rFonts w:ascii="Arial" w:cs="Arial" w:eastAsia="Arial" w:hAnsi="Arial"/>
                <w:sz w:val="14"/>
                <w:szCs w:val="14"/>
                <w:b w:val="1"/>
                <w:bCs w:val="1"/>
                <w:color w:val="auto"/>
              </w:rPr>
              <w:t>Preferred Stock</w:t>
            </w:r>
          </w:p>
        </w:tc>
        <w:tc>
          <w:tcPr>
            <w:tcW w:w="1620" w:type="dxa"/>
            <w:vAlign w:val="bottom"/>
            <w:tcBorders>
              <w:right w:val="single" w:sz="8" w:color="auto"/>
            </w:tcBorders>
            <w:gridSpan w:val="11"/>
          </w:tcPr>
          <w:p>
            <w:pPr>
              <w:jc w:val="center"/>
              <w:ind w:right="200"/>
              <w:spacing w:after="0"/>
              <w:rPr>
                <w:sz w:val="20"/>
                <w:szCs w:val="20"/>
                <w:color w:val="auto"/>
              </w:rPr>
            </w:pPr>
            <w:r>
              <w:rPr>
                <w:rFonts w:ascii="Arial" w:cs="Arial" w:eastAsia="Arial" w:hAnsi="Arial"/>
                <w:sz w:val="14"/>
                <w:szCs w:val="14"/>
                <w:b w:val="1"/>
                <w:bCs w:val="1"/>
                <w:color w:val="auto"/>
                <w:w w:val="93"/>
              </w:rPr>
              <w:t>Preferred Stock</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Paid-in</w:t>
            </w:r>
          </w:p>
        </w:tc>
        <w:tc>
          <w:tcPr>
            <w:tcW w:w="9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720" w:type="dxa"/>
            <w:vAlign w:val="bottom"/>
            <w:tcBorders>
              <w:top w:val="single" w:sz="8" w:color="auto"/>
            </w:tcBorders>
            <w:gridSpan w:val="3"/>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760" w:type="dxa"/>
            <w:vAlign w:val="bottom"/>
            <w:tcBorders>
              <w:top w:val="single" w:sz="8" w:color="auto"/>
            </w:tcBorders>
            <w:gridSpan w:val="4"/>
          </w:tcPr>
          <w:p>
            <w:pPr>
              <w:jc w:val="right"/>
              <w:ind w:right="102"/>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880" w:type="dxa"/>
            <w:vAlign w:val="bottom"/>
            <w:tcBorders>
              <w:top w:val="single" w:sz="8" w:color="auto"/>
            </w:tcBorders>
            <w:gridSpan w:val="6"/>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96"/>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Balance as of December 31, 2018</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774,352</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6"/>
                <w:szCs w:val="16"/>
                <w:color w:val="auto"/>
                <w:w w:val="93"/>
              </w:rPr>
              <w:t>$ 1,162</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6,959,649</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3"/>
              </w:rPr>
              <w:t>$ 9,929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center"/>
              <w:ind w:right="86"/>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666,687</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8,116</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(11,733)</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720" w:type="dxa"/>
            <w:vAlign w:val="bottom"/>
            <w:gridSpan w:val="3"/>
          </w:tcPr>
          <w:p>
            <w:pPr>
              <w:jc w:val="right"/>
              <w:ind w:right="108"/>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80" w:type="dxa"/>
            <w:vAlign w:val="bottom"/>
            <w:gridSpan w:val="6"/>
          </w:tcPr>
          <w:p>
            <w:pPr>
              <w:jc w:val="center"/>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3"/>
          </w:tcPr>
          <w:p>
            <w:pPr>
              <w:jc w:val="center"/>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w:t>
            </w:r>
          </w:p>
        </w:tc>
        <w:tc>
          <w:tcPr>
            <w:tcW w:w="72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80" w:type="dxa"/>
            <w:vAlign w:val="bottom"/>
            <w:gridSpan w:val="6"/>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9,463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3"/>
        </w:trPr>
        <w:tc>
          <w:tcPr>
            <w:tcW w:w="2280" w:type="dxa"/>
            <w:vAlign w:val="bottom"/>
          </w:tcPr>
          <w:p>
            <w:pPr>
              <w:spacing w:after="0"/>
              <w:rPr>
                <w:sz w:val="20"/>
                <w:szCs w:val="20"/>
                <w:color w:val="auto"/>
              </w:rPr>
            </w:pPr>
            <w:r>
              <w:rPr>
                <w:rFonts w:ascii="Arial" w:cs="Arial" w:eastAsia="Arial" w:hAnsi="Arial"/>
                <w:sz w:val="16"/>
                <w:szCs w:val="16"/>
                <w:color w:val="auto"/>
              </w:rPr>
              <w:t>Exchange of common stock for</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60"/>
              <w:spacing w:after="0"/>
              <w:rPr>
                <w:sz w:val="20"/>
                <w:szCs w:val="20"/>
                <w:color w:val="auto"/>
              </w:rPr>
            </w:pPr>
            <w:r>
              <w:rPr>
                <w:rFonts w:ascii="Arial" w:cs="Arial" w:eastAsia="Arial" w:hAnsi="Arial"/>
                <w:sz w:val="16"/>
                <w:szCs w:val="16"/>
                <w:color w:val="auto"/>
                <w:w w:val="99"/>
              </w:rPr>
              <w:t>Series A convertible preferred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tcPr>
          <w:p>
            <w:pPr>
              <w:ind w:left="160"/>
              <w:spacing w:after="0"/>
              <w:rPr>
                <w:sz w:val="20"/>
                <w:szCs w:val="20"/>
                <w:color w:val="auto"/>
              </w:rPr>
            </w:pPr>
            <w:r>
              <w:rPr>
                <w:rFonts w:ascii="Arial" w:cs="Arial" w:eastAsia="Arial" w:hAnsi="Arial"/>
                <w:sz w:val="16"/>
                <w:szCs w:val="16"/>
                <w:color w:val="auto"/>
              </w:rPr>
              <w:t>stock</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51,515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78"/>
              </w:rPr>
              <w:t>77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center"/>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center"/>
              <w:spacing w:after="0"/>
              <w:rPr>
                <w:sz w:val="20"/>
                <w:szCs w:val="20"/>
                <w:color w:val="auto"/>
              </w:rPr>
            </w:pPr>
            <w:r>
              <w:rPr>
                <w:rFonts w:ascii="Arial" w:cs="Arial" w:eastAsia="Arial" w:hAnsi="Arial"/>
                <w:sz w:val="16"/>
                <w:szCs w:val="16"/>
                <w:color w:val="auto"/>
                <w:w w:val="93"/>
              </w:rPr>
              <w:t>(51,515)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rPr>
              <w:t>(77)</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96"/>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w w:val="95"/>
              </w:rPr>
              <w:t>Exchange of Series A convertible</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preferred stock for Series A-1</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convertible preferred stock</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6"/>
              </w:rPr>
              <w:t>(114,664)</w:t>
            </w:r>
          </w:p>
        </w:tc>
        <w:tc>
          <w:tcPr>
            <w:tcW w:w="740" w:type="dxa"/>
            <w:vAlign w:val="bottom"/>
            <w:gridSpan w:val="7"/>
            <w:shd w:val="clear" w:color="auto" w:fill="CCEEFF"/>
          </w:tcPr>
          <w:p>
            <w:pPr>
              <w:jc w:val="right"/>
              <w:ind w:right="120"/>
              <w:spacing w:after="0"/>
              <w:rPr>
                <w:sz w:val="20"/>
                <w:szCs w:val="20"/>
                <w:color w:val="auto"/>
              </w:rPr>
            </w:pPr>
            <w:r>
              <w:rPr>
                <w:rFonts w:ascii="Arial" w:cs="Arial" w:eastAsia="Arial" w:hAnsi="Arial"/>
                <w:sz w:val="16"/>
                <w:szCs w:val="16"/>
                <w:color w:val="auto"/>
              </w:rPr>
              <w:t>(172)</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114,664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82"/>
              </w:rPr>
              <w:t>172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lef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280" w:type="dxa"/>
            <w:vAlign w:val="bottom"/>
          </w:tcPr>
          <w:p>
            <w:pPr>
              <w:spacing w:after="0"/>
              <w:rPr>
                <w:sz w:val="20"/>
                <w:szCs w:val="20"/>
                <w:color w:val="auto"/>
              </w:rPr>
            </w:pPr>
            <w:r>
              <w:rPr>
                <w:rFonts w:ascii="Arial" w:cs="Arial" w:eastAsia="Arial" w:hAnsi="Arial"/>
                <w:sz w:val="16"/>
                <w:szCs w:val="16"/>
                <w:color w:val="auto"/>
              </w:rPr>
              <w:t>Issuance of Series A-1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60"/>
              <w:spacing w:after="0"/>
              <w:rPr>
                <w:sz w:val="20"/>
                <w:szCs w:val="20"/>
                <w:color w:val="auto"/>
              </w:rPr>
            </w:pPr>
            <w:r>
              <w:rPr>
                <w:rFonts w:ascii="Arial" w:cs="Arial" w:eastAsia="Arial" w:hAnsi="Arial"/>
                <w:sz w:val="16"/>
                <w:szCs w:val="16"/>
                <w:color w:val="auto"/>
                <w:w w:val="95"/>
              </w:rPr>
              <w:t>convertible preferred stock, net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tcPr>
          <w:p>
            <w:pPr>
              <w:ind w:left="160"/>
              <w:spacing w:after="0"/>
              <w:rPr>
                <w:sz w:val="20"/>
                <w:szCs w:val="20"/>
                <w:color w:val="auto"/>
              </w:rPr>
            </w:pPr>
            <w:r>
              <w:rPr>
                <w:rFonts w:ascii="Arial" w:cs="Arial" w:eastAsia="Arial" w:hAnsi="Arial"/>
                <w:sz w:val="16"/>
                <w:szCs w:val="16"/>
                <w:color w:val="auto"/>
              </w:rPr>
              <w:t>of $4 issuance costs</w:t>
            </w:r>
          </w:p>
        </w:tc>
        <w:tc>
          <w:tcPr>
            <w:tcW w:w="720" w:type="dxa"/>
            <w:vAlign w:val="bottom"/>
            <w:gridSpan w:val="3"/>
          </w:tcPr>
          <w:p>
            <w:pPr>
              <w:jc w:val="right"/>
              <w:ind w:right="108"/>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80" w:type="dxa"/>
            <w:vAlign w:val="bottom"/>
            <w:gridSpan w:val="6"/>
          </w:tcPr>
          <w:p>
            <w:pPr>
              <w:jc w:val="center"/>
              <w:spacing w:after="0"/>
              <w:rPr>
                <w:sz w:val="20"/>
                <w:szCs w:val="20"/>
                <w:color w:val="auto"/>
              </w:rPr>
            </w:pPr>
            <w:r>
              <w:rPr>
                <w:rFonts w:ascii="Arial" w:cs="Arial" w:eastAsia="Arial" w:hAnsi="Arial"/>
                <w:sz w:val="16"/>
                <w:szCs w:val="16"/>
                <w:color w:val="auto"/>
                <w:w w:val="99"/>
              </w:rPr>
              <w:t>—</w:t>
            </w:r>
          </w:p>
        </w:tc>
        <w:tc>
          <w:tcPr>
            <w:tcW w:w="760" w:type="dxa"/>
            <w:vAlign w:val="bottom"/>
            <w:gridSpan w:val="4"/>
          </w:tcPr>
          <w:p>
            <w:pPr>
              <w:jc w:val="right"/>
              <w:spacing w:after="0"/>
              <w:rPr>
                <w:sz w:val="20"/>
                <w:szCs w:val="20"/>
                <w:color w:val="auto"/>
              </w:rPr>
            </w:pPr>
            <w:r>
              <w:rPr>
                <w:rFonts w:ascii="Arial" w:cs="Arial" w:eastAsia="Arial" w:hAnsi="Arial"/>
                <w:sz w:val="16"/>
                <w:szCs w:val="16"/>
                <w:color w:val="auto"/>
              </w:rPr>
              <w:t>4,157,198</w:t>
            </w:r>
          </w:p>
        </w:tc>
        <w:tc>
          <w:tcPr>
            <w:tcW w:w="640" w:type="dxa"/>
            <w:vAlign w:val="bottom"/>
            <w:gridSpan w:val="4"/>
          </w:tcPr>
          <w:p>
            <w:pPr>
              <w:jc w:val="right"/>
              <w:spacing w:after="0"/>
              <w:rPr>
                <w:sz w:val="20"/>
                <w:szCs w:val="20"/>
                <w:color w:val="auto"/>
              </w:rPr>
            </w:pPr>
            <w:r>
              <w:rPr>
                <w:rFonts w:ascii="Arial" w:cs="Arial" w:eastAsia="Arial" w:hAnsi="Arial"/>
                <w:sz w:val="16"/>
                <w:szCs w:val="16"/>
                <w:color w:val="auto"/>
              </w:rPr>
              <w:t>6,232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center"/>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6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5"/>
            <w:shd w:val="clear" w:color="auto" w:fill="CCEEFF"/>
          </w:tcPr>
          <w:p>
            <w:pPr>
              <w:jc w:val="center"/>
              <w:ind w:left="1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(7,907)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(7,907)</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6"/>
                <w:szCs w:val="16"/>
                <w:color w:val="auto"/>
                <w:w w:val="93"/>
              </w:rPr>
              <w:t>Balance as of December 31, 2019</w:t>
            </w: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280" w:type="dxa"/>
            <w:vAlign w:val="bottom"/>
            <w:vMerge w:val="continue"/>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711,203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5"/>
          </w:tcPr>
          <w:p>
            <w:pPr>
              <w:jc w:val="right"/>
              <w:spacing w:after="0"/>
              <w:rPr>
                <w:sz w:val="20"/>
                <w:szCs w:val="20"/>
                <w:color w:val="auto"/>
              </w:rPr>
            </w:pPr>
            <w:r>
              <w:rPr>
                <w:rFonts w:ascii="Arial" w:cs="Arial" w:eastAsia="Arial" w:hAnsi="Arial"/>
                <w:sz w:val="16"/>
                <w:szCs w:val="16"/>
                <w:color w:val="auto"/>
              </w:rPr>
              <w:t>1,067</w:t>
            </w:r>
          </w:p>
        </w:tc>
        <w:tc>
          <w:tcPr>
            <w:tcW w:w="16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6"/>
                <w:szCs w:val="16"/>
                <w:color w:val="auto"/>
                <w:w w:val="92"/>
              </w:rPr>
              <w:t>11,231,511</w:t>
            </w:r>
          </w:p>
        </w:tc>
        <w:tc>
          <w:tcPr>
            <w:tcW w:w="12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16,333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gridSpan w:val="2"/>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624,635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8,220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(19,640)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(11,420)</w:t>
            </w:r>
          </w:p>
        </w:tc>
        <w:tc>
          <w:tcPr>
            <w:tcW w:w="0" w:type="dxa"/>
            <w:vAlign w:val="bottom"/>
          </w:tcPr>
          <w:p>
            <w:pPr>
              <w:spacing w:after="0"/>
              <w:rPr>
                <w:sz w:val="1"/>
                <w:szCs w:val="1"/>
                <w:color w:val="auto"/>
              </w:rPr>
            </w:pPr>
          </w:p>
        </w:tc>
      </w:tr>
      <w:tr>
        <w:trPr>
          <w:trHeight w:val="196"/>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w w:val="98"/>
              </w:rPr>
              <w:t>Issuance of Series B convertible</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preferred stock for cash, net of</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costs of $395</w:t>
            </w:r>
          </w:p>
        </w:tc>
        <w:tc>
          <w:tcPr>
            <w:tcW w:w="72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w w:val="97"/>
              </w:rPr>
              <w:t>17,674,469</w:t>
            </w: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39,253</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lef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720" w:type="dxa"/>
            <w:vAlign w:val="bottom"/>
            <w:gridSpan w:val="3"/>
          </w:tcPr>
          <w:p>
            <w:pPr>
              <w:jc w:val="right"/>
              <w:ind w:right="108"/>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80" w:type="dxa"/>
            <w:vAlign w:val="bottom"/>
            <w:gridSpan w:val="6"/>
          </w:tcPr>
          <w:p>
            <w:pPr>
              <w:jc w:val="center"/>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3"/>
          </w:tcPr>
          <w:p>
            <w:pPr>
              <w:jc w:val="center"/>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6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5"/>
            <w:shd w:val="clear" w:color="auto" w:fill="CCEEFF"/>
          </w:tcPr>
          <w:p>
            <w:pPr>
              <w:jc w:val="center"/>
              <w:ind w:left="1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auto"/>
            </w:tcBorders>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(7,325)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(7,325)</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6"/>
                <w:szCs w:val="16"/>
                <w:color w:val="auto"/>
                <w:w w:val="93"/>
              </w:rPr>
              <w:t>Balance as of December 31, 2020</w:t>
            </w: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80" w:type="dxa"/>
            <w:vAlign w:val="bottom"/>
            <w:vMerge w:val="continue"/>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711,203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5"/>
          </w:tcPr>
          <w:p>
            <w:pPr>
              <w:jc w:val="right"/>
              <w:spacing w:after="0"/>
              <w:rPr>
                <w:sz w:val="20"/>
                <w:szCs w:val="20"/>
                <w:color w:val="auto"/>
              </w:rPr>
            </w:pPr>
            <w:r>
              <w:rPr>
                <w:rFonts w:ascii="Arial" w:cs="Arial" w:eastAsia="Arial" w:hAnsi="Arial"/>
                <w:sz w:val="16"/>
                <w:szCs w:val="16"/>
                <w:color w:val="auto"/>
              </w:rPr>
              <w:t>1,067</w:t>
            </w:r>
          </w:p>
        </w:tc>
        <w:tc>
          <w:tcPr>
            <w:tcW w:w="16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6"/>
                <w:szCs w:val="16"/>
                <w:color w:val="auto"/>
                <w:w w:val="92"/>
              </w:rPr>
              <w:t>11,231,511</w:t>
            </w:r>
          </w:p>
        </w:tc>
        <w:tc>
          <w:tcPr>
            <w:tcW w:w="12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16,333</w:t>
            </w:r>
          </w:p>
        </w:tc>
        <w:tc>
          <w:tcPr>
            <w:tcW w:w="100" w:type="dxa"/>
            <w:vAlign w:val="bottom"/>
          </w:tcPr>
          <w:p>
            <w:pPr>
              <w:spacing w:after="0"/>
              <w:rPr>
                <w:sz w:val="17"/>
                <w:szCs w:val="17"/>
                <w:color w:val="auto"/>
              </w:rPr>
            </w:pPr>
          </w:p>
        </w:tc>
        <w:tc>
          <w:tcPr>
            <w:tcW w:w="780" w:type="dxa"/>
            <w:vAlign w:val="bottom"/>
            <w:gridSpan w:val="4"/>
          </w:tcPr>
          <w:p>
            <w:pPr>
              <w:ind w:left="40"/>
              <w:spacing w:after="0"/>
              <w:rPr>
                <w:sz w:val="20"/>
                <w:szCs w:val="20"/>
                <w:color w:val="auto"/>
              </w:rPr>
            </w:pPr>
            <w:r>
              <w:rPr>
                <w:rFonts w:ascii="Arial" w:cs="Arial" w:eastAsia="Arial" w:hAnsi="Arial"/>
                <w:sz w:val="16"/>
                <w:szCs w:val="16"/>
                <w:color w:val="auto"/>
                <w:w w:val="89"/>
              </w:rPr>
              <w:t>17,674,469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39,253</w:t>
            </w:r>
          </w:p>
        </w:tc>
        <w:tc>
          <w:tcPr>
            <w:tcW w:w="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624,635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8,374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(26,965)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(18,591)</w:t>
            </w:r>
          </w:p>
        </w:tc>
        <w:tc>
          <w:tcPr>
            <w:tcW w:w="0" w:type="dxa"/>
            <w:vAlign w:val="bottom"/>
          </w:tcPr>
          <w:p>
            <w:pPr>
              <w:spacing w:after="0"/>
              <w:rPr>
                <w:sz w:val="1"/>
                <w:szCs w:val="1"/>
                <w:color w:val="auto"/>
              </w:rPr>
            </w:pPr>
          </w:p>
        </w:tc>
      </w:tr>
      <w:tr>
        <w:trPr>
          <w:trHeight w:val="196"/>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(unaudited)</w:t>
            </w:r>
          </w:p>
        </w:tc>
        <w:tc>
          <w:tcPr>
            <w:tcW w:w="72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680" w:type="dxa"/>
            <w:vAlign w:val="bottom"/>
            <w:gridSpan w:val="6"/>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lef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20"/>
                <w:szCs w:val="20"/>
                <w:color w:val="auto"/>
              </w:rPr>
            </w:pPr>
            <w:r>
              <w:rPr>
                <w:rFonts w:ascii="Arial" w:cs="Arial" w:eastAsia="Arial" w:hAnsi="Arial"/>
                <w:sz w:val="16"/>
                <w:szCs w:val="16"/>
                <w:color w:val="auto"/>
              </w:rPr>
              <w:t>Net loss (unaudited)</w:t>
            </w:r>
          </w:p>
        </w:tc>
        <w:tc>
          <w:tcPr>
            <w:tcW w:w="720" w:type="dxa"/>
            <w:vAlign w:val="bottom"/>
            <w:gridSpan w:val="3"/>
          </w:tcPr>
          <w:p>
            <w:pPr>
              <w:jc w:val="right"/>
              <w:ind w:right="108"/>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680" w:type="dxa"/>
            <w:vAlign w:val="bottom"/>
            <w:gridSpan w:val="6"/>
          </w:tcPr>
          <w:p>
            <w:pPr>
              <w:jc w:val="center"/>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center"/>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(26,997)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(26,997)</w:t>
            </w:r>
          </w:p>
        </w:tc>
        <w:tc>
          <w:tcPr>
            <w:tcW w:w="0" w:type="dxa"/>
            <w:vAlign w:val="bottom"/>
          </w:tcPr>
          <w:p>
            <w:pPr>
              <w:spacing w:after="0"/>
              <w:rPr>
                <w:sz w:val="1"/>
                <w:szCs w:val="1"/>
                <w:color w:val="auto"/>
              </w:rPr>
            </w:pPr>
          </w:p>
        </w:tc>
      </w:tr>
      <w:tr>
        <w:trPr>
          <w:trHeight w:val="193"/>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Balance as of March 31, 2021</w:t>
            </w: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tcBorders>
              <w:top w:val="single" w:sz="8" w:color="auto"/>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left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(unaudited)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711,203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w w:val="93"/>
              </w:rPr>
              <w:t>$ 1,067</w:t>
            </w: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92"/>
              </w:rPr>
              <w:t>11,231,511</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16,333</w:t>
            </w: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w w:val="97"/>
              </w:rPr>
              <w:t>17,674,469</w:t>
            </w: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39,253</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624,635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(53,962)</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(45,462)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6"/>
            <w:vMerge w:val="restart"/>
          </w:tcPr>
          <w:p>
            <w:pPr>
              <w:jc w:val="center"/>
              <w:ind w:right="20"/>
              <w:spacing w:after="0"/>
              <w:rPr>
                <w:sz w:val="20"/>
                <w:szCs w:val="20"/>
                <w:color w:val="auto"/>
              </w:rPr>
            </w:pPr>
            <w:r>
              <w:rPr>
                <w:rFonts w:ascii="Arial" w:cs="Arial" w:eastAsia="Arial" w:hAnsi="Arial"/>
                <w:sz w:val="14"/>
                <w:szCs w:val="14"/>
                <w:b w:val="1"/>
                <w:bCs w:val="1"/>
                <w:color w:val="auto"/>
                <w:w w:val="89"/>
              </w:rPr>
              <w:t>Series A</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3"/>
              </w:rPr>
              <w:t>Series A-1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9"/>
            <w:vMerge w:val="restart"/>
          </w:tcPr>
          <w:p>
            <w:pPr>
              <w:jc w:val="center"/>
              <w:ind w:right="220"/>
              <w:spacing w:after="0"/>
              <w:rPr>
                <w:sz w:val="20"/>
                <w:szCs w:val="20"/>
                <w:color w:val="auto"/>
              </w:rPr>
            </w:pPr>
            <w:r>
              <w:rPr>
                <w:rFonts w:ascii="Arial" w:cs="Arial" w:eastAsia="Arial" w:hAnsi="Arial"/>
                <w:sz w:val="14"/>
                <w:szCs w:val="14"/>
                <w:b w:val="1"/>
                <w:bCs w:val="1"/>
                <w:color w:val="auto"/>
                <w:w w:val="89"/>
              </w:rPr>
              <w:t>Series B</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6"/>
            <w:vMerge w:val="continue"/>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gridSpan w:val="5"/>
            <w:vMerge w:val="continue"/>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9"/>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9"/>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Convertible</w:t>
            </w:r>
          </w:p>
        </w:tc>
        <w:tc>
          <w:tcPr>
            <w:tcW w:w="80" w:type="dxa"/>
            <w:vAlign w:val="bottom"/>
          </w:tcPr>
          <w:p>
            <w:pPr>
              <w:spacing w:after="0"/>
              <w:rPr>
                <w:sz w:val="13"/>
                <w:szCs w:val="13"/>
                <w:color w:val="auto"/>
              </w:rPr>
            </w:pPr>
          </w:p>
        </w:tc>
        <w:tc>
          <w:tcPr>
            <w:tcW w:w="1120" w:type="dxa"/>
            <w:vAlign w:val="bottom"/>
            <w:gridSpan w:val="6"/>
          </w:tcPr>
          <w:p>
            <w:pPr>
              <w:jc w:val="center"/>
              <w:ind w:left="202"/>
              <w:spacing w:after="0" w:line="158" w:lineRule="exact"/>
              <w:rPr>
                <w:sz w:val="20"/>
                <w:szCs w:val="20"/>
                <w:color w:val="auto"/>
              </w:rPr>
            </w:pPr>
            <w:r>
              <w:rPr>
                <w:rFonts w:ascii="Arial" w:cs="Arial" w:eastAsia="Arial" w:hAnsi="Arial"/>
                <w:sz w:val="14"/>
                <w:szCs w:val="14"/>
                <w:b w:val="1"/>
                <w:bCs w:val="1"/>
                <w:color w:val="auto"/>
                <w:w w:val="93"/>
              </w:rPr>
              <w:t>Convertible</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9"/>
          </w:tcPr>
          <w:p>
            <w:pPr>
              <w:ind w:left="160"/>
              <w:spacing w:after="0" w:line="158" w:lineRule="exact"/>
              <w:rPr>
                <w:sz w:val="20"/>
                <w:szCs w:val="20"/>
                <w:color w:val="auto"/>
              </w:rPr>
            </w:pPr>
            <w:r>
              <w:rPr>
                <w:rFonts w:ascii="Arial" w:cs="Arial" w:eastAsia="Arial" w:hAnsi="Arial"/>
                <w:sz w:val="14"/>
                <w:szCs w:val="14"/>
                <w:b w:val="1"/>
                <w:bCs w:val="1"/>
                <w:color w:val="auto"/>
              </w:rPr>
              <w:t>Convertible</w:t>
            </w:r>
          </w:p>
        </w:tc>
        <w:tc>
          <w:tcPr>
            <w:tcW w:w="20" w:type="dxa"/>
            <w:vAlign w:val="bottom"/>
            <w:shd w:val="clear" w:color="auto" w:fill="000000"/>
          </w:tcPr>
          <w:p>
            <w:pPr>
              <w:spacing w:after="0"/>
              <w:rPr>
                <w:sz w:val="13"/>
                <w:szCs w:val="13"/>
                <w:color w:val="auto"/>
              </w:rPr>
            </w:pPr>
          </w:p>
        </w:tc>
        <w:tc>
          <w:tcPr>
            <w:tcW w:w="1280" w:type="dxa"/>
            <w:vAlign w:val="bottom"/>
            <w:gridSpan w:val="7"/>
            <w:vMerge w:val="restart"/>
          </w:tcPr>
          <w:p>
            <w:pPr>
              <w:ind w:left="2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3"/>
                <w:szCs w:val="13"/>
                <w:color w:val="auto"/>
              </w:rPr>
            </w:pPr>
          </w:p>
        </w:tc>
        <w:tc>
          <w:tcPr>
            <w:tcW w:w="820" w:type="dxa"/>
            <w:vAlign w:val="bottom"/>
            <w:gridSpan w:val="4"/>
          </w:tcPr>
          <w:p>
            <w:pPr>
              <w:jc w:val="right"/>
              <w:ind w:right="120"/>
              <w:spacing w:after="0" w:line="158" w:lineRule="exact"/>
              <w:rPr>
                <w:sz w:val="20"/>
                <w:szCs w:val="20"/>
                <w:color w:val="auto"/>
              </w:rPr>
            </w:pPr>
            <w:r>
              <w:rPr>
                <w:rFonts w:ascii="Arial" w:cs="Arial" w:eastAsia="Arial" w:hAnsi="Arial"/>
                <w:sz w:val="14"/>
                <w:szCs w:val="14"/>
                <w:b w:val="1"/>
                <w:bCs w:val="1"/>
                <w:color w:val="auto"/>
                <w:w w:val="99"/>
              </w:rPr>
              <w:t>Additional</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10"/>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80" w:type="dxa"/>
            <w:vAlign w:val="bottom"/>
          </w:tcPr>
          <w:p>
            <w:pPr>
              <w:spacing w:after="0"/>
              <w:rPr>
                <w:sz w:val="14"/>
                <w:szCs w:val="14"/>
                <w:color w:val="auto"/>
              </w:rPr>
            </w:pPr>
          </w:p>
        </w:tc>
        <w:tc>
          <w:tcPr>
            <w:tcW w:w="144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2"/>
              </w:rPr>
              <w:t>Preferred Stock</w:t>
            </w:r>
          </w:p>
        </w:tc>
        <w:tc>
          <w:tcPr>
            <w:tcW w:w="100" w:type="dxa"/>
            <w:vAlign w:val="bottom"/>
          </w:tcPr>
          <w:p>
            <w:pPr>
              <w:spacing w:after="0"/>
              <w:rPr>
                <w:sz w:val="14"/>
                <w:szCs w:val="14"/>
                <w:color w:val="auto"/>
              </w:rPr>
            </w:pPr>
          </w:p>
        </w:tc>
        <w:tc>
          <w:tcPr>
            <w:tcW w:w="12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2"/>
              </w:rPr>
              <w:t>Preferred Stock</w:t>
            </w:r>
          </w:p>
        </w:tc>
        <w:tc>
          <w:tcPr>
            <w:tcW w:w="20" w:type="dxa"/>
            <w:vAlign w:val="bottom"/>
            <w:shd w:val="clear" w:color="auto" w:fill="000000"/>
          </w:tcPr>
          <w:p>
            <w:pPr>
              <w:spacing w:after="0"/>
              <w:rPr>
                <w:sz w:val="14"/>
                <w:szCs w:val="14"/>
                <w:color w:val="auto"/>
              </w:rPr>
            </w:pPr>
          </w:p>
        </w:tc>
        <w:tc>
          <w:tcPr>
            <w:tcW w:w="128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Paid-in</w:t>
            </w:r>
          </w:p>
        </w:tc>
        <w:tc>
          <w:tcPr>
            <w:tcW w:w="9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gridSpan w:val="6"/>
          </w:tcPr>
          <w:p>
            <w:pPr>
              <w:jc w:val="right"/>
              <w:ind w:right="140"/>
              <w:spacing w:after="0" w:line="142" w:lineRule="exact"/>
              <w:rPr>
                <w:sz w:val="20"/>
                <w:szCs w:val="20"/>
                <w:color w:val="auto"/>
              </w:rPr>
            </w:pPr>
            <w:r>
              <w:rPr>
                <w:rFonts w:ascii="Arial" w:cs="Arial" w:eastAsia="Arial" w:hAnsi="Arial"/>
                <w:sz w:val="14"/>
                <w:szCs w:val="14"/>
                <w:b w:val="1"/>
                <w:bCs w:val="1"/>
                <w:color w:val="auto"/>
                <w:w w:val="98"/>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gridSpan w:val="3"/>
          </w:tcPr>
          <w:p>
            <w:pPr>
              <w:jc w:val="right"/>
              <w:ind w:right="101"/>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5"/>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gridSpan w:val="2"/>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6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96"/>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Balance as of December 31, 2019</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w w:val="93"/>
              </w:rPr>
              <w:t>711,203</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w w:val="93"/>
              </w:rPr>
              <w:t>$ 1,067</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2"/>
              </w:rPr>
              <w:t>11,231,511</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w w:val="89"/>
              </w:rPr>
              <w:t>$16,333</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640" w:type="dxa"/>
            <w:vAlign w:val="bottom"/>
            <w:tcBorders>
              <w:top w:val="single" w:sz="8" w:color="auto"/>
              <w:left w:val="single" w:sz="8" w:color="CCEEFF"/>
            </w:tcBorders>
            <w:gridSpan w:val="2"/>
            <w:shd w:val="clear" w:color="auto" w:fill="CCEEFF"/>
          </w:tcPr>
          <w:p>
            <w:pPr>
              <w:jc w:val="center"/>
              <w:ind w:left="21"/>
              <w:spacing w:after="0"/>
              <w:rPr>
                <w:sz w:val="20"/>
                <w:szCs w:val="20"/>
                <w:color w:val="auto"/>
              </w:rPr>
            </w:pPr>
            <w:r>
              <w:rPr>
                <w:rFonts w:ascii="Arial" w:cs="Arial" w:eastAsia="Arial" w:hAnsi="Arial"/>
                <w:sz w:val="16"/>
                <w:szCs w:val="16"/>
                <w:color w:val="auto"/>
                <w:w w:val="93"/>
              </w:rPr>
              <w:t>624,635</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8,220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(19,640)</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gridSpan w:val="4"/>
          </w:tcPr>
          <w:p>
            <w:pPr>
              <w:spacing w:after="0"/>
              <w:rPr>
                <w:sz w:val="20"/>
                <w:szCs w:val="20"/>
                <w:color w:val="auto"/>
              </w:rPr>
            </w:pPr>
            <w:r>
              <w:rPr>
                <w:rFonts w:ascii="Arial" w:cs="Arial" w:eastAsia="Arial" w:hAnsi="Arial"/>
                <w:sz w:val="16"/>
                <w:szCs w:val="16"/>
                <w:color w:val="auto"/>
              </w:rPr>
              <w:t>Share-based compensation (unaudited)</w:t>
            </w:r>
          </w:p>
        </w:tc>
        <w:tc>
          <w:tcPr>
            <w:tcW w:w="60" w:type="dxa"/>
            <w:vAlign w:val="bottom"/>
          </w:tcPr>
          <w:p>
            <w:pPr>
              <w:spacing w:after="0"/>
              <w:rPr>
                <w:sz w:val="17"/>
                <w:szCs w:val="17"/>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ind w:right="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6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4"/>
          </w:tcPr>
          <w:p>
            <w:pPr>
              <w:ind w:lef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Net loss (unaudited)</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4"/>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68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(2,045)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(2,045)</w:t>
            </w:r>
          </w:p>
        </w:tc>
        <w:tc>
          <w:tcPr>
            <w:tcW w:w="0" w:type="dxa"/>
            <w:vAlign w:val="bottom"/>
          </w:tcPr>
          <w:p>
            <w:pPr>
              <w:spacing w:after="0"/>
              <w:rPr>
                <w:sz w:val="1"/>
                <w:szCs w:val="1"/>
                <w:color w:val="auto"/>
              </w:rPr>
            </w:pPr>
          </w:p>
        </w:tc>
      </w:tr>
      <w:tr>
        <w:trPr>
          <w:trHeight w:val="200"/>
        </w:trPr>
        <w:tc>
          <w:tcPr>
            <w:tcW w:w="2280" w:type="dxa"/>
            <w:vAlign w:val="bottom"/>
          </w:tcPr>
          <w:p>
            <w:pPr>
              <w:spacing w:after="0"/>
              <w:rPr>
                <w:sz w:val="20"/>
                <w:szCs w:val="20"/>
                <w:color w:val="auto"/>
              </w:rPr>
            </w:pPr>
            <w:r>
              <w:rPr>
                <w:rFonts w:ascii="Arial" w:cs="Arial" w:eastAsia="Arial" w:hAnsi="Arial"/>
                <w:sz w:val="16"/>
                <w:szCs w:val="16"/>
                <w:color w:val="auto"/>
              </w:rPr>
              <w:t>Balance as of March 31, 2020</w:t>
            </w:r>
          </w:p>
        </w:tc>
        <w:tc>
          <w:tcPr>
            <w:tcW w:w="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tcPr>
          <w:p>
            <w:pPr>
              <w:ind w:left="160"/>
              <w:spacing w:after="0"/>
              <w:rPr>
                <w:sz w:val="20"/>
                <w:szCs w:val="20"/>
                <w:color w:val="auto"/>
              </w:rPr>
            </w:pPr>
            <w:r>
              <w:rPr>
                <w:rFonts w:ascii="Arial" w:cs="Arial" w:eastAsia="Arial" w:hAnsi="Arial"/>
                <w:sz w:val="16"/>
                <w:szCs w:val="16"/>
                <w:color w:val="auto"/>
              </w:rPr>
              <w:t>(unaudited)</w:t>
            </w:r>
          </w:p>
        </w:tc>
        <w:tc>
          <w:tcPr>
            <w:tcW w:w="1100" w:type="dxa"/>
            <w:vAlign w:val="bottom"/>
            <w:gridSpan w:val="6"/>
          </w:tcPr>
          <w:p>
            <w:pPr>
              <w:jc w:val="right"/>
              <w:ind w:right="20"/>
              <w:spacing w:after="0"/>
              <w:rPr>
                <w:sz w:val="20"/>
                <w:szCs w:val="20"/>
                <w:color w:val="auto"/>
              </w:rPr>
            </w:pPr>
            <w:r>
              <w:rPr>
                <w:rFonts w:ascii="Arial" w:cs="Arial" w:eastAsia="Arial" w:hAnsi="Arial"/>
                <w:sz w:val="16"/>
                <w:szCs w:val="16"/>
                <w:color w:val="auto"/>
              </w:rPr>
              <w:t>711,203</w:t>
            </w:r>
          </w:p>
        </w:tc>
        <w:tc>
          <w:tcPr>
            <w:tcW w:w="40" w:type="dxa"/>
            <w:vAlign w:val="bottom"/>
          </w:tcPr>
          <w:p>
            <w:pPr>
              <w:spacing w:after="0"/>
              <w:rPr>
                <w:sz w:val="18"/>
                <w:szCs w:val="18"/>
                <w:color w:val="auto"/>
              </w:rPr>
            </w:pPr>
          </w:p>
        </w:tc>
        <w:tc>
          <w:tcPr>
            <w:tcW w:w="620" w:type="dxa"/>
            <w:vAlign w:val="bottom"/>
            <w:gridSpan w:val="5"/>
          </w:tcPr>
          <w:p>
            <w:pPr>
              <w:ind w:left="60"/>
              <w:spacing w:after="0"/>
              <w:rPr>
                <w:sz w:val="20"/>
                <w:szCs w:val="20"/>
                <w:color w:val="auto"/>
              </w:rPr>
            </w:pPr>
            <w:r>
              <w:rPr>
                <w:rFonts w:ascii="Arial" w:cs="Arial" w:eastAsia="Arial" w:hAnsi="Arial"/>
                <w:sz w:val="16"/>
                <w:szCs w:val="16"/>
                <w:color w:val="auto"/>
              </w:rPr>
              <w:t>$ 1,067</w:t>
            </w:r>
          </w:p>
        </w:tc>
        <w:tc>
          <w:tcPr>
            <w:tcW w:w="840" w:type="dxa"/>
            <w:vAlign w:val="bottom"/>
            <w:gridSpan w:val="4"/>
          </w:tcPr>
          <w:p>
            <w:pPr>
              <w:jc w:val="right"/>
              <w:spacing w:after="0"/>
              <w:rPr>
                <w:sz w:val="20"/>
                <w:szCs w:val="20"/>
                <w:color w:val="auto"/>
              </w:rPr>
            </w:pPr>
            <w:r>
              <w:rPr>
                <w:rFonts w:ascii="Arial" w:cs="Arial" w:eastAsia="Arial" w:hAnsi="Arial"/>
                <w:sz w:val="16"/>
                <w:szCs w:val="16"/>
                <w:color w:val="auto"/>
              </w:rPr>
              <w:t>11,231,511</w:t>
            </w:r>
          </w:p>
        </w:tc>
        <w:tc>
          <w:tcPr>
            <w:tcW w:w="680" w:type="dxa"/>
            <w:vAlign w:val="bottom"/>
            <w:gridSpan w:val="5"/>
          </w:tcPr>
          <w:p>
            <w:pPr>
              <w:ind w:left="120"/>
              <w:spacing w:after="0"/>
              <w:rPr>
                <w:sz w:val="20"/>
                <w:szCs w:val="20"/>
                <w:color w:val="auto"/>
              </w:rPr>
            </w:pPr>
            <w:r>
              <w:rPr>
                <w:rFonts w:ascii="Arial" w:cs="Arial" w:eastAsia="Arial" w:hAnsi="Arial"/>
                <w:sz w:val="16"/>
                <w:szCs w:val="16"/>
                <w:u w:val="single" w:color="auto"/>
                <w:color w:val="auto"/>
                <w:w w:val="93"/>
              </w:rPr>
              <w:t>$</w:t>
            </w:r>
            <w:r>
              <w:rPr>
                <w:rFonts w:ascii="Arial" w:cs="Arial" w:eastAsia="Arial" w:hAnsi="Arial"/>
                <w:sz w:val="16"/>
                <w:szCs w:val="16"/>
                <w:color w:val="auto"/>
                <w:w w:val="93"/>
              </w:rPr>
              <w:t>16,333</w:t>
            </w:r>
          </w:p>
        </w:tc>
        <w:tc>
          <w:tcPr>
            <w:tcW w:w="100" w:type="dxa"/>
            <w:vAlign w:val="bottom"/>
          </w:tcPr>
          <w:p>
            <w:pPr>
              <w:spacing w:after="0"/>
              <w:rPr>
                <w:sz w:val="18"/>
                <w:szCs w:val="18"/>
                <w:color w:val="auto"/>
              </w:rPr>
            </w:pPr>
          </w:p>
        </w:tc>
        <w:tc>
          <w:tcPr>
            <w:tcW w:w="46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540" w:type="dxa"/>
            <w:vAlign w:val="bottom"/>
            <w:gridSpan w:val="4"/>
          </w:tcPr>
          <w:p>
            <w:pPr>
              <w:ind w:lef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8"/>
                <w:szCs w:val="18"/>
                <w:color w:val="auto"/>
              </w:rPr>
            </w:pPr>
          </w:p>
        </w:tc>
        <w:tc>
          <w:tcPr>
            <w:tcW w:w="680" w:type="dxa"/>
            <w:vAlign w:val="bottom"/>
            <w:gridSpan w:val="3"/>
          </w:tcPr>
          <w:p>
            <w:pPr>
              <w:jc w:val="center"/>
              <w:spacing w:after="0"/>
              <w:rPr>
                <w:sz w:val="20"/>
                <w:szCs w:val="20"/>
                <w:color w:val="auto"/>
              </w:rPr>
            </w:pPr>
            <w:r>
              <w:rPr>
                <w:rFonts w:ascii="Arial" w:cs="Arial" w:eastAsia="Arial" w:hAnsi="Arial"/>
                <w:sz w:val="16"/>
                <w:szCs w:val="16"/>
                <w:color w:val="auto"/>
                <w:w w:val="93"/>
              </w:rPr>
              <w:t>624,635</w:t>
            </w:r>
          </w:p>
        </w:tc>
        <w:tc>
          <w:tcPr>
            <w:tcW w:w="240" w:type="dxa"/>
            <w:vAlign w:val="bottom"/>
            <w:gridSpan w:val="2"/>
          </w:tcPr>
          <w:p>
            <w:pPr>
              <w:jc w:val="right"/>
              <w:ind w:right="12"/>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8,259</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(21,685)</w:t>
            </w:r>
          </w:p>
        </w:tc>
        <w:tc>
          <w:tcPr>
            <w:tcW w:w="1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(13,426)</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8"/>
              </w:rPr>
              <w:t>For the Year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For the Three Months Ended</w:t>
            </w:r>
          </w:p>
        </w:tc>
        <w:tc>
          <w:tcPr>
            <w:tcW w:w="0" w:type="dxa"/>
            <w:vAlign w:val="bottom"/>
          </w:tcPr>
          <w:p>
            <w:pPr>
              <w:spacing w:after="0"/>
              <w:rPr>
                <w:sz w:val="1"/>
                <w:szCs w:val="1"/>
                <w:color w:val="auto"/>
              </w:rPr>
            </w:pPr>
          </w:p>
        </w:tc>
      </w:t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center"/>
              <w:ind w:left="413"/>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2019</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left="433"/>
              <w:spacing w:after="0" w:line="142" w:lineRule="exact"/>
              <w:rPr>
                <w:sz w:val="20"/>
                <w:szCs w:val="20"/>
                <w:color w:val="auto"/>
              </w:rPr>
            </w:pPr>
            <w:r>
              <w:rPr>
                <w:rFonts w:ascii="Arial" w:cs="Arial" w:eastAsia="Arial" w:hAnsi="Arial"/>
                <w:sz w:val="14"/>
                <w:szCs w:val="14"/>
                <w:b w:val="1"/>
                <w:bCs w:val="1"/>
                <w:color w:val="auto"/>
                <w:w w:val="94"/>
              </w:rPr>
              <w:t>(unaudited)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(7,907)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(7,325)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(2,045)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(26,997)</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60" w:type="dxa"/>
            <w:vAlign w:val="bottom"/>
          </w:tcPr>
          <w:p>
            <w:pPr>
              <w:ind w:left="360"/>
              <w:spacing w:after="0" w:line="201" w:lineRule="exact"/>
              <w:rPr>
                <w:sz w:val="20"/>
                <w:szCs w:val="20"/>
                <w:color w:val="auto"/>
              </w:rPr>
            </w:pPr>
            <w:r>
              <w:rPr>
                <w:rFonts w:ascii="Arial" w:cs="Arial" w:eastAsia="Arial" w:hAnsi="Arial"/>
                <w:sz w:val="18"/>
                <w:szCs w:val="18"/>
                <w:color w:val="auto"/>
                <w:w w:val="99"/>
              </w:rPr>
              <w:t>Change in fair value of preferred stock tranche rights liability and preferred 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540"/>
              <w:spacing w:after="0"/>
              <w:rPr>
                <w:sz w:val="20"/>
                <w:szCs w:val="20"/>
                <w:color w:val="auto"/>
              </w:rPr>
            </w:pPr>
            <w:r>
              <w:rPr>
                <w:rFonts w:ascii="Arial" w:cs="Arial" w:eastAsia="Arial" w:hAnsi="Arial"/>
                <w:sz w:val="18"/>
                <w:szCs w:val="18"/>
                <w:color w:val="auto"/>
              </w:rPr>
              <w:t>warrant liability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23,217</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Grant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76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(6,818)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(7,450)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6,232</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44,675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 exercises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6,239</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44,675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37,225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(1,816)</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7,131</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6,552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6,552</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43,777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6,552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43,777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4,736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41,407</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Cash paid for interest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Exchange of common stock for Series A convertible preferred stock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Exchange of Series A convertible preferred stock for Series A-1 convertible preferred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Deferred offering costs in accrued expenses and other current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1"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Acumen Pharmaceuticals, Inc. (“Acumen” or the “Company”) was incorporated in 1996 in the state of Delaware. Acumen discovers and develops targeted therapies for the treatment of Alzheimer’s disease. Acumen’s lead drug candidate, ACU193, is a subclass monoclonal antibody which selectively targets amyloid-beta oligomers (Aßo). Acumen and Merck &amp; Co. discovered and developed ACU193 through an eight-year research collaboration. Acumen currently holds exclusive rights to the program. The Company submitted an Investigation Drug Application (“IND”) for ACU193 to the Food and Drug Administration (“FDA”) in the fourth quarter of 2020. We initiated a Phase 1 clinical trial of ACU193 in patients with early Alzheimer’s disease in April 2021.</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is subject to the uncertainty of whether the Company’s intellectual property will develop into successful commercial products.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On November 20, 2020, the Company effected a 1:30 reverse stock split of its authorized, issued and outstanding shares of common stock and convertible preferred stock. Accordingly, all share and per share amounts for the periods presented in the accompanying financial statements and these notes have been adjusted retroactively, where applicable, to reflect this reverse stock split. On November 20, 2020, the Company also increased the number of shares of preferred stock and common stock authorized for issuance (see Note 5).</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The Company has incurred operating losses since inception and expects to continue to incur significant operating losses for the foreseeable future and may never become profitable. As of December 31, 2020 and March 31, 2021, the Company had an accumulated deficit of $27.0 million and</w:t>
      </w:r>
    </w:p>
    <w:p>
      <w:pPr>
        <w:ind w:left="120" w:right="120"/>
        <w:spacing w:after="0" w:line="260" w:lineRule="auto"/>
        <w:rPr>
          <w:sz w:val="20"/>
          <w:szCs w:val="20"/>
          <w:color w:val="auto"/>
        </w:rPr>
      </w:pPr>
      <w:r>
        <w:rPr>
          <w:rFonts w:ascii="Arial" w:cs="Arial" w:eastAsia="Arial" w:hAnsi="Arial"/>
          <w:sz w:val="18"/>
          <w:szCs w:val="18"/>
          <w:color w:val="auto"/>
        </w:rPr>
        <w:t>$54.0 million, respectively. The Company has relied on raising capital from venture capital firms and private investors and funding from a government grant to finance its operations.</w:t>
      </w:r>
    </w:p>
    <w:p>
      <w:pPr>
        <w:spacing w:after="0" w:line="18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November 20, 2020, the Company closed on the sale of an aggregate of 17,674,469 shares of Series B convertible preferred stock for gross proceeds of $45.1 million (the “Initial Closing”). Net proceeds from the Initial Closing, after deducting offering expenses, were $44.7 million. Subject to the terms and conditions of the Series B Preferred Stock Purchase Agreement (the “Series B Agreement”), if, after the Initial Closing, the Company achieves the milestone set forth in the Series B Agreement, then, as soon as practicable following the mutual determination by the Board of Directors (“Board”) and the holders of at least 67% of the outstanding Series B convertible preferred stock shares then held by the Series B purchasers (the “Requisite Investors”) that the milestone event has occurred or has been waived, the Company shall deliver a written notice to each Series B purchaser stating that the milestone event has been achieved. Notwithstanding the foregoing, at any time after the Initial Closing, the Requisite Investors may elect to waive the achievement of the milestone event and consummate the subsequent closing (the “Milestone Closing”) by delivering a written election to the Company. On June 9, 2021, the Board and the holders of more than 67% of the outstanding shares of Series B preferred stock elected to waive the achievement of the milestone event (see Note 4). At the Milestone Closing, the Company will sell an additional 11,782,981 shares of Series B convertible preferred stock at $2.55 per share for gross proceeds of $30.0 million.</w:t>
      </w:r>
    </w:p>
    <w:p>
      <w:pPr>
        <w:spacing w:after="0" w:line="182"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As a result of the Initial Closing, management believes that its existing financial resources are sufficient to continue operating activities for at least one year past the issuance date of these financial statements. Future capital requirements will depend upon many factors, including the timing and extent of spending on research and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development, the achievement of the milestone event and related Milestone Closing, future receipt of grant revenue and market acceptance of the Company’s products. The Company will need to obtain additional financing in order to complete clinical trials and launch and commercialize any product candidates for which it receives regulatory approval. There can be no assurance that such financing will be available on terms acceptable to the Company, or at all.</w:t>
      </w:r>
    </w:p>
    <w:p>
      <w:pPr>
        <w:spacing w:after="0" w:line="18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impact of the coronavirus (“COVID-19”) outbreak on the Company’s results of operations, financial position and cash flows will depend on future developments, including the duration and spread of the outbreak and related advisories and restrictions. These developments and the impact of COVID-19 on the financial markets and the overall economy are highly uncertain and cannot be predicted. If the financial markets and/or the overall economy are impacted for an extended period, the Company’s results of operations, financial position and cash flows may be materially adversely affected.</w:t>
      </w:r>
    </w:p>
    <w:p>
      <w:pPr>
        <w:spacing w:after="0" w:line="292" w:lineRule="exact"/>
        <w:rPr>
          <w:sz w:val="20"/>
          <w:szCs w:val="20"/>
          <w:color w:val="auto"/>
        </w:rPr>
      </w:pPr>
    </w:p>
    <w:p>
      <w:pPr>
        <w:ind w:left="120" w:right="720"/>
        <w:spacing w:after="0" w:line="282" w:lineRule="auto"/>
        <w:rPr>
          <w:sz w:val="20"/>
          <w:szCs w:val="20"/>
          <w:color w:val="auto"/>
        </w:rPr>
      </w:pPr>
      <w:r>
        <w:rPr>
          <w:rFonts w:ascii="Arial" w:cs="Arial" w:eastAsia="Arial" w:hAnsi="Arial"/>
          <w:sz w:val="18"/>
          <w:szCs w:val="18"/>
          <w:b w:val="1"/>
          <w:bCs w:val="1"/>
          <w:color w:val="auto"/>
        </w:rPr>
        <w:t>NOTE 2. BASIS OF PRESENTATION, SUMMARY OF SIGNIFICANT ACCOUNTING POLICIES AND RECENT ACCOUNTING PRONOUNCEMENTS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The accompanying financial statements have been prepared in accordance with Generally Accepted Accounting Principles in the United States of America (“U.S. GAAP”) as determined by the Financial Accounting Standards Board (“FASB”) Accounting Standards Codification (“ASC”).</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and adopted by the Company as of the specified effective date. Unless otherwise discussed, the impact of recently issued standards that are not yet effective will not have a material impact on the Company’s financial statements upon adoption. Under the Jumpstart Our Business Startups Act of 2012, as amended, the Company meets the definition of an emerging growth company and has elected the extended transition period for complying with new or revised accounting standards, which delays the adoption of these accounting standards until they would apply to private companies.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These estimates and assumptions are based on current facts and historical experience, as well as other pertinent industry and regulatory authority information, including the potential future effects of COVID-19,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accompanying interim balance sheet as of March 31, 2021, the statements of operations, statements of changes in convertible preferred stock and stockholders’ deficit and statements of cash flows for the three months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ended March 31, 2020 and 2021 and the related footnote disclosures are unaudited. In management’s opinion, the unaudited interim financial statements have been prepared on the same basis as the audited financial statements and include all adjustments, which include only normal recurring adjustments, necessary for the fair presentation of the Company’s financial position as of March 31, 2021 and its results of operations and cash flows for the three months ended March 31, 2020 and 2021 in accordance with U.S. GAAP. The results for the three months ended March 31, 2021 are not necessarily indicative of the results expected for the full fiscal year or any other interim period.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date of purchase to be cash equivalents. The Company’s cash equivalents consist of funds held in a money market account. The Company had $4.2 million, $36.8 million and $36.8 million in cash equivalents as of December 31, 2019 and 2020 and March 31, 2021,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 of credit risk consist primarily of cash and cash equivalents.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The Company has not experienced any losses on these deposits.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 xml:space="preserve">The Company’s financial assets and liabilities are accounted for in accordance with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1— Observable inputs, such as quoted prices in active markets for identical assets or liabilities.</w:t>
      </w:r>
    </w:p>
    <w:p>
      <w:pPr>
        <w:spacing w:after="0" w:line="225"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3—Unobservable inputs in which there is little or no market data, which require the reporting entity to develop its own assumptions.</w:t>
      </w:r>
    </w:p>
    <w:p>
      <w:pPr>
        <w:spacing w:after="0" w:line="22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To the extent the valuation is based on models or inputs that are less observable or unobservable in the market, the determination of fair values requires more judgement. Accordingly, the degree of judgement exercised by management in determining fair value is greatest for instruments categorized as Level 3. A financial instrument’s level within the fair value hierarchy is based on the lowest level of any input that is significant to the fair value measurement.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9"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8"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The following tables present the Company’s fair value hierarchy for its money market securities, preferred stock tranche rights liability and preferred stock warrant liability measured at fair value on a recurring basis at December 31, 2019 and 2020 and March 31, 2021 (in thousands):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w w:val="92"/>
              </w:rPr>
              <w:t>Fair value measurements at reporting date using</w:t>
            </w:r>
          </w:p>
        </w:tc>
        <w:tc>
          <w:tcPr>
            <w:tcW w:w="8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8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Significant Other</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92"/>
              </w:rPr>
              <w:t>Significant</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Active Markets for</w:t>
            </w:r>
          </w:p>
        </w:tc>
        <w:tc>
          <w:tcPr>
            <w:tcW w:w="11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700" w:type="dxa"/>
            <w:vAlign w:val="bottom"/>
          </w:tcPr>
          <w:p>
            <w:pPr>
              <w:spacing w:after="0"/>
              <w:rPr>
                <w:sz w:val="12"/>
                <w:szCs w:val="12"/>
                <w:color w:val="auto"/>
              </w:rPr>
            </w:pPr>
          </w:p>
        </w:tc>
        <w:tc>
          <w:tcPr>
            <w:tcW w:w="16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960" w:type="dxa"/>
            <w:vAlign w:val="bottom"/>
          </w:tcPr>
          <w:p>
            <w:pPr>
              <w:jc w:val="center"/>
              <w:ind w:right="133"/>
              <w:spacing w:after="0"/>
              <w:rPr>
                <w:sz w:val="20"/>
                <w:szCs w:val="20"/>
                <w:color w:val="auto"/>
              </w:rPr>
            </w:pPr>
            <w:r>
              <w:rPr>
                <w:rFonts w:ascii="Arial" w:cs="Arial" w:eastAsia="Arial" w:hAnsi="Arial"/>
                <w:sz w:val="14"/>
                <w:szCs w:val="14"/>
                <w:b w:val="1"/>
                <w:bCs w:val="1"/>
                <w:color w:val="auto"/>
                <w:w w:val="94"/>
              </w:rPr>
              <w:t>(Level 2)</w:t>
            </w:r>
          </w:p>
        </w:tc>
        <w:tc>
          <w:tcPr>
            <w:tcW w:w="70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Inputs (Level 3)</w:t>
            </w:r>
          </w:p>
        </w:tc>
        <w:tc>
          <w:tcPr>
            <w:tcW w:w="100" w:type="dxa"/>
            <w:vAlign w:val="bottom"/>
          </w:tcPr>
          <w:p>
            <w:pPr>
              <w:spacing w:after="0"/>
              <w:rPr>
                <w:sz w:val="14"/>
                <w:szCs w:val="14"/>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included in:</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securities</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4,207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 fair value</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Liabilities included in: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Preferred stock warrant liability</w:t>
            </w:r>
          </w:p>
        </w:tc>
        <w:tc>
          <w:tcPr>
            <w:tcW w:w="8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56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w w:val="92"/>
              </w:rPr>
              <w:t>Fair value measurements at reporting date using</w:t>
            </w:r>
          </w:p>
        </w:tc>
        <w:tc>
          <w:tcPr>
            <w:tcW w:w="84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8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Significant Other</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92"/>
              </w:rPr>
              <w:t>Significant</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Active Markets for</w:t>
            </w:r>
          </w:p>
        </w:tc>
        <w:tc>
          <w:tcPr>
            <w:tcW w:w="11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700" w:type="dxa"/>
            <w:vAlign w:val="bottom"/>
          </w:tcPr>
          <w:p>
            <w:pPr>
              <w:spacing w:after="0"/>
              <w:rPr>
                <w:sz w:val="12"/>
                <w:szCs w:val="12"/>
                <w:color w:val="auto"/>
              </w:rPr>
            </w:pPr>
          </w:p>
        </w:tc>
        <w:tc>
          <w:tcPr>
            <w:tcW w:w="16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960" w:type="dxa"/>
            <w:vAlign w:val="bottom"/>
          </w:tcPr>
          <w:p>
            <w:pPr>
              <w:jc w:val="center"/>
              <w:ind w:right="133"/>
              <w:spacing w:after="0"/>
              <w:rPr>
                <w:sz w:val="20"/>
                <w:szCs w:val="20"/>
                <w:color w:val="auto"/>
              </w:rPr>
            </w:pPr>
            <w:r>
              <w:rPr>
                <w:rFonts w:ascii="Arial" w:cs="Arial" w:eastAsia="Arial" w:hAnsi="Arial"/>
                <w:sz w:val="14"/>
                <w:szCs w:val="14"/>
                <w:b w:val="1"/>
                <w:bCs w:val="1"/>
                <w:color w:val="auto"/>
                <w:w w:val="94"/>
              </w:rPr>
              <w:t>(Level 2)</w:t>
            </w:r>
          </w:p>
        </w:tc>
        <w:tc>
          <w:tcPr>
            <w:tcW w:w="70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Inputs (Level 3)</w:t>
            </w:r>
          </w:p>
        </w:tc>
        <w:tc>
          <w:tcPr>
            <w:tcW w:w="100" w:type="dxa"/>
            <w:vAlign w:val="bottom"/>
          </w:tcPr>
          <w:p>
            <w:pPr>
              <w:spacing w:after="0"/>
              <w:rPr>
                <w:sz w:val="14"/>
                <w:szCs w:val="14"/>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included in:</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securities</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36,758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36,758</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 fair value</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36,758</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Liabilities included in: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Preferred stock tranche rights liability</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5,033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warrant liability</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 fair value</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5,413</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w w:val="92"/>
              </w:rPr>
              <w:t>Fair value measurements at reporting date using</w:t>
            </w:r>
          </w:p>
        </w:tc>
        <w:tc>
          <w:tcPr>
            <w:tcW w:w="84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80" w:type="dxa"/>
            <w:vAlign w:val="bottom"/>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Significant Other</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92"/>
              </w:rPr>
              <w:t>Significant</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Active Markets for</w:t>
            </w:r>
          </w:p>
        </w:tc>
        <w:tc>
          <w:tcPr>
            <w:tcW w:w="11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700" w:type="dxa"/>
            <w:vAlign w:val="bottom"/>
          </w:tcPr>
          <w:p>
            <w:pPr>
              <w:spacing w:after="0"/>
              <w:rPr>
                <w:sz w:val="12"/>
                <w:szCs w:val="12"/>
                <w:color w:val="auto"/>
              </w:rPr>
            </w:pPr>
          </w:p>
        </w:tc>
        <w:tc>
          <w:tcPr>
            <w:tcW w:w="16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960" w:type="dxa"/>
            <w:vAlign w:val="bottom"/>
          </w:tcPr>
          <w:p>
            <w:pPr>
              <w:jc w:val="center"/>
              <w:ind w:right="133"/>
              <w:spacing w:after="0"/>
              <w:rPr>
                <w:sz w:val="20"/>
                <w:szCs w:val="20"/>
                <w:color w:val="auto"/>
              </w:rPr>
            </w:pPr>
            <w:r>
              <w:rPr>
                <w:rFonts w:ascii="Arial" w:cs="Arial" w:eastAsia="Arial" w:hAnsi="Arial"/>
                <w:sz w:val="14"/>
                <w:szCs w:val="14"/>
                <w:b w:val="1"/>
                <w:bCs w:val="1"/>
                <w:color w:val="auto"/>
                <w:w w:val="94"/>
              </w:rPr>
              <w:t>(Level 2)</w:t>
            </w:r>
          </w:p>
        </w:tc>
        <w:tc>
          <w:tcPr>
            <w:tcW w:w="70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Inputs (Level 3)</w:t>
            </w:r>
          </w:p>
        </w:tc>
        <w:tc>
          <w:tcPr>
            <w:tcW w:w="100" w:type="dxa"/>
            <w:vAlign w:val="bottom"/>
          </w:tcPr>
          <w:p>
            <w:pPr>
              <w:spacing w:after="0"/>
              <w:rPr>
                <w:sz w:val="14"/>
                <w:szCs w:val="14"/>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included in:</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securities</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36,762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36,762</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 fair value</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36,762</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Liabilities included in: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Preferred stock tranche rights liability</w:t>
            </w: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26,557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26,557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warrant liability</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2,073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 fair value</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28,630</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ind w:left="540"/>
              <w:spacing w:after="0"/>
              <w:rPr>
                <w:sz w:val="20"/>
                <w:szCs w:val="20"/>
                <w:color w:val="auto"/>
              </w:rPr>
            </w:pPr>
            <w:r>
              <w:rPr>
                <w:rFonts w:ascii="Arial" w:cs="Arial" w:eastAsia="Arial" w:hAnsi="Arial"/>
                <w:sz w:val="18"/>
                <w:szCs w:val="18"/>
                <w:color w:val="auto"/>
              </w:rPr>
              <w:t>F-10</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carrying values reported in the Company’s balance sheet for cash and cash equivalents, accounts payable, and accrued expenses are reasonable estimates of their fair values due to the short-term nature of these items.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Refer to Note 4 for further information about the Level 3 rollforward of activity and Level 3 inputs.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Grant Receivable</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Grant receivable consists of research expenses reimbursable under a grant from the National Institute of Health (“NIH”). The Company carries its grant receivable at the unreimbursed amount. On a periodic basis, the Company evaluates its grant receivable to determine whether an allowance is required. The allowance is management’s best estimate of probable losses. Management determined that no allowance was necessary as of December 31, 2019 and 2020 and March 31,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The Company records shares of convertible preferred stock at their respective fair values on the dates of issuance, net of issuance costs. The Company has applied the guidance in ASC 480-10-S99-3A, </w:t>
      </w:r>
      <w:r>
        <w:rPr>
          <w:rFonts w:ascii="Arial" w:cs="Arial" w:eastAsia="Arial" w:hAnsi="Arial"/>
          <w:sz w:val="17"/>
          <w:szCs w:val="17"/>
          <w:i w:val="1"/>
          <w:iCs w:val="1"/>
          <w:color w:val="auto"/>
        </w:rPr>
        <w:t>SEC Staff Announcement: Classification and Measurement of Redeemable Securities</w:t>
      </w:r>
      <w:r>
        <w:rPr>
          <w:rFonts w:ascii="Arial" w:cs="Arial" w:eastAsia="Arial" w:hAnsi="Arial"/>
          <w:sz w:val="17"/>
          <w:szCs w:val="17"/>
          <w:color w:val="auto"/>
        </w:rPr>
        <w:t xml:space="preserve"> and has therefore classified the Series A, Series A-1 and Series B convertible preferred stock as mezzanine equity. The convertible preferred stock is recorded outside of stockholders’ deficit because, in the event of certain deemed liquidation events considered not solely within the Company’s control, such as a merger, acquisition and sale of all or substantially all of the Company’s assets (a “Deemed Liquidation Event”), the convertible preferred stock will become redeemable at the option of the holders. In the event of a change of control of the Company, proceeds received from the sale of such shares will be distributed in accordance with the corresponding liquidation preferences. The Company did not adjust the carrying values of the convertible preferred stock to the deemed liquidation values of such shares since a liquidation event was not probable at any of the reporting dates. Subsequent adjustments to increase or decrease the carrying values to the ultimate liquidation values will be made only if and when it becomes probable that such a liquidation event will occur.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 Tranche Rights Liability</w:t>
      </w:r>
    </w:p>
    <w:p>
      <w:pPr>
        <w:spacing w:after="0" w:line="117"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The Company has determined that its obligation to issue, and the Company’s investors’ right to purchase, additional shares of Series B convertible preferred stock pursuant to the Milestone Closing (see Note 4) represents a freestanding financial instrument (the “tranche liability”). The tranche liability was initially recorded at fair value. The proceeds from the sale of the convertible preferred stock are first allocated to the fair value of the tranche liability with the remaining proceeds from the sale of the convertible preferred stock allocated to the Series B convertible preferred stock. The tranche liability is remeasured at each reporting period and upon the exercise or expiration of the obligation, with gains and losses arising from subsequent changes in its fair value recognized in other income and expense in the statement of operations. At the time of the exercise or expiration of the tranche liability, any remaining value of the tranche liability will be reclassified to convertible preferred stock on the balance sheet.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Company accounts for the warrant to purchase Series A-1 convertible preferred stock as a liability as this warrant is a freestanding financial instrument that may require the Company to transfer assets upon exercise. The warrant liability was initially recorded at fair value. The warrant liability is remeasured at each reporting period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until the earlier of the exercise or expiration of the applicable warrant, with gains and losses arising from subsequent changes in its fair value recognized in other income and expense in the statement of operations. At the time of the exercise or expiration of the warrant liability, any remaining value of the warrant liability will be reclassified to convertible preferred stock on the balance sheet.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 xml:space="preserve">The Company assesses whether warrants issued require accounting as derivatives. The Company determined that the warrants were (1) indexed to the Company’s own stock and (2) classified in stockholders’ equity in accordance with FASB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such the Company has concluded the warrants meet the scope exception for determining whether the instruments require accounting as derivatives and should be classified in stockholders’ equity.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Grant and Other Revenue Recognition</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 xml:space="preserve">The Company’s NIH grant is not within the scope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 the grant does not meet the definition of a contract with a customer. The Company has concluded that the grant meets the definition of a contribution and is a non-reciprocal transaction, and management has also concluded that Subtopic 958-605, </w:t>
      </w:r>
      <w:r>
        <w:rPr>
          <w:rFonts w:ascii="Arial" w:cs="Arial" w:eastAsia="Arial" w:hAnsi="Arial"/>
          <w:sz w:val="18"/>
          <w:szCs w:val="18"/>
          <w:i w:val="1"/>
          <w:iCs w:val="1"/>
          <w:color w:val="auto"/>
        </w:rPr>
        <w:t>Not-for-Profit-Entities-Revenue Recognition</w:t>
      </w:r>
      <w:r>
        <w:rPr>
          <w:rFonts w:ascii="Arial" w:cs="Arial" w:eastAsia="Arial" w:hAnsi="Arial"/>
          <w:sz w:val="18"/>
          <w:szCs w:val="18"/>
          <w:color w:val="auto"/>
        </w:rPr>
        <w:t xml:space="preserve"> does not apply, as Acumen is a business entity and the grant is with a governmental agency.</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the absence of applicable guidance under U.S. GAAP, the Company’s policy is to recognize grant revenue when the related costs are incurred and the right to payment is realized. Costs incurred are recorded in research and development and general and administrative expenses on the accompanying statements of operations.</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Company believes the recognition of revenue as costs are incurred and amounts become realizable is analogous to the concept of transfer of control of a service over time under ASC 606.</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Research and development expenses primarily consist of consultants and materials, biologic storage, salaries and other personnel-related expenses related to research and development activities and are expensed as incurred. Payments for these activities are based on the terms of the individual agreements, which may differ from the pattern of costs incurred, and are reflected on the balance sheet as prepaid or accrued expenses. The Company records accruals for estimated ongoing research costs. When evaluating the adequacy of the accrued liabilities, the Company analyzes progress of the studies, including the phase or completion of events, invoices received and contracted costs.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expenses stock-based compensation to employees, non-employees and board members over the requisite service period based on the estimated grant-date fair value of the awards and actual forfeitures. The Company estimates the fair value of stock option grants using the Black-Scholes option pricing model, which requires the use of a number of complex assumptions including the fair value of the common stock, expected volatility, risk-free interest rate, expected dividends, and the expected term of the option. The assumptions used in calculating the fair value of stock-based awards represent management’s best estimates and involve inherent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uncertainties and the application of management’s judgment. Stock-based awards with graded-vesting schedules are recognized on a straight-line basis over the requisite service period for each separately vesting portion of the award. All stock-based compensation costs are recorded in research and development expense or general and administrative expense in the statements of operations based upon the respective employee’s or non-employee’s roles within the Company. Forfeitures are recorded as they occur. See also Note 6 below.</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 xml:space="preserve">Income taxes are recorded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and net operating loss (“NOL”) carryforwards and research and development tax credit (“R&amp;D Credit”) carryforwards. Valuation allowances are provided if, based upon the weight of available evidence, it is more likely than not that some or all of the deferred tax assets will not be realized. The Company has recorded a full valuation allowance to reduce its net deferred income tax assets to zero. In the event the Company were to determine that it would be able to realize some or all its deferred income tax assets in the future, an adjustment to the deferred income tax asset valuation allowance would increase income in the period such determination was made.</w:t>
      </w:r>
    </w:p>
    <w:p>
      <w:pPr>
        <w:spacing w:after="0" w:line="181"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has not recorded any accruals related to uncertain tax positions as of December 31, 2019 and 2020 and March 31, 2021. The Company’s policy is to record interest and penalties, if any, as part of income tax benefit. No interest or penalties were recorded during the years ended December 31, 2019 and 2020, or during the three months ended March 31, 2021.</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 of Common Stock</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Basic net loss per share of common stock is calculated using the two-class method under which earnings are allocated to both common shares and participating securities based on their participation rights. Net loss attributable to common stockholders is not allocated to the convertible preferred stock as the holders of the convertible preferred stock do not have a contractual obligation to share in any losses. Basic net loss per share is calculated by dividing the net loss attributable to common shares by the weighted-average number of shares of common stock outstanding during the period. Diluted net loss per share of common stock is computed by dividing the net loss using the weighted-average number of common shares and, if dilutive, potential common shares outstanding during the period. Potential common shares consist of stock options and warrants to purchase common stock (using the treasury stock method), and the conversion of convertible preferred stock and the preferred warrant (using the if-converted method). See Note 9 below.</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ind w:left="120" w:right="500"/>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segment.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This new guidance removes certain disclosure requirements related to the fair value hierarchy, modifies</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disclosure requirements related to measurement uncertainty and adds new disclosure requirements. The new disclosure requirements include disclosing the changes in unrealized gains and losses for the period included in other comprehensive income for recurring Level 3 fair value measurements held at the end of the reporting period and the range and weighted-average of significant unobservable inputs used to develop Level 3 fair value measurements. This new guidance was effective for the Company beginning on January 1, 2020 and did not have a material impact on the Company’s financial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as amended, with guidance regarding the accounting for and disclosure of leases. This update requires lessees to recognize the liabilities related to all leases, including operating leases, with a term greater than 12 months on the balance sheet. This update also requires lessees and lessors to disclose key information about their leasing transactions. This guidance will become effective for the Company for annual reporting periods beginning after December 15, 2021 and interim periods within fiscal years beginning after December 15, 2022. The adoption of Topic 842 is not expected to have a material impact on the financial statements.</w:t>
      </w:r>
    </w:p>
    <w:p>
      <w:pPr>
        <w:spacing w:after="0" w:line="176"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various aspects related to accounting for income taxes. ASU 2019-12 removes certain exceptions to the general principles in ASC 740 and also clarifies and amends existing guidance to improve consistent application. This guidance is effective for fiscal years, and interim periods within those fiscal years, beginning after December 15, 2020, with early adoption permitted. The Company is currently evaluating the impact of this standard on its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SUPPLEMENTAL FINANCIAL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gridSpan w:val="4"/>
            <w:vMerge w:val="restart"/>
          </w:tcPr>
          <w:p>
            <w:pPr>
              <w:ind w:left="68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7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agreements</w:t>
            </w:r>
          </w:p>
        </w:tc>
        <w:tc>
          <w:tcPr>
            <w:tcW w:w="1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$540</w:t>
            </w:r>
          </w:p>
        </w:tc>
        <w:tc>
          <w:tcPr>
            <w:tcW w:w="6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$432</w:t>
            </w:r>
          </w:p>
        </w:tc>
        <w:tc>
          <w:tcPr>
            <w:tcW w:w="6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Prepaid raw materials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w w:val="92"/>
              </w:rPr>
              <w:t>Total prepaid expenses and other current assets</w:t>
            </w:r>
          </w:p>
        </w:tc>
        <w:tc>
          <w:tcPr>
            <w:tcW w:w="1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596</w:t>
            </w:r>
          </w:p>
        </w:tc>
        <w:tc>
          <w:tcPr>
            <w:tcW w:w="6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543</w:t>
            </w:r>
          </w:p>
        </w:tc>
        <w:tc>
          <w:tcPr>
            <w:tcW w:w="6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1600" w:type="dxa"/>
            <w:vAlign w:val="bottom"/>
            <w:gridSpan w:val="2"/>
          </w:tcPr>
          <w:p>
            <w:pPr>
              <w:jc w:val="right"/>
              <w:ind w:right="979"/>
              <w:spacing w:after="0"/>
              <w:rPr>
                <w:sz w:val="20"/>
                <w:szCs w:val="20"/>
                <w:color w:val="auto"/>
              </w:rPr>
            </w:pPr>
            <w:r>
              <w:rPr>
                <w:rFonts w:ascii="Arial" w:cs="Arial" w:eastAsia="Arial" w:hAnsi="Arial"/>
                <w:sz w:val="18"/>
                <w:szCs w:val="18"/>
                <w:color w:val="auto"/>
              </w:rPr>
              <w:t>F-14</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1640" w:type="dxa"/>
            <w:vAlign w:val="bottom"/>
            <w:gridSpan w:val="4"/>
            <w:vMerge w:val="restart"/>
          </w:tcPr>
          <w:p>
            <w:pPr>
              <w:ind w:left="62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980" w:type="dxa"/>
            <w:vAlign w:val="bottom"/>
            <w:gridSpan w:val="2"/>
          </w:tcPr>
          <w:p>
            <w:pPr>
              <w:jc w:val="center"/>
              <w:ind w:left="516"/>
              <w:spacing w:after="0" w:line="142" w:lineRule="exact"/>
              <w:rPr>
                <w:sz w:val="20"/>
                <w:szCs w:val="20"/>
                <w:color w:val="auto"/>
              </w:rPr>
            </w:pPr>
            <w:r>
              <w:rPr>
                <w:rFonts w:ascii="Arial" w:cs="Arial" w:eastAsia="Arial" w:hAnsi="Arial"/>
                <w:sz w:val="14"/>
                <w:szCs w:val="14"/>
                <w:b w:val="1"/>
                <w:bCs w:val="1"/>
                <w:color w:val="auto"/>
                <w:w w:val="96"/>
              </w:rPr>
              <w:t>2020</w:t>
            </w:r>
          </w:p>
        </w:tc>
        <w:tc>
          <w:tcPr>
            <w:tcW w:w="16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$505</w:t>
            </w:r>
          </w:p>
        </w:tc>
        <w:tc>
          <w:tcPr>
            <w:tcW w:w="6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$133</w:t>
            </w:r>
          </w:p>
        </w:tc>
        <w:tc>
          <w:tcPr>
            <w:tcW w:w="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Bonuses and other employee liabilities</w:t>
            </w:r>
          </w:p>
        </w:tc>
        <w:tc>
          <w:tcPr>
            <w:tcW w:w="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Legal</w:t>
            </w:r>
          </w:p>
        </w:tc>
        <w:tc>
          <w:tcPr>
            <w:tcW w:w="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542</w:t>
            </w:r>
          </w:p>
        </w:tc>
        <w:tc>
          <w:tcPr>
            <w:tcW w:w="6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423</w:t>
            </w:r>
          </w:p>
        </w:tc>
        <w:tc>
          <w:tcPr>
            <w:tcW w:w="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CONVERTIBLE PREFERRED STOCK, TRANCHE LIABILITY AND WARRANT LIABIITY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Convertible preferred stock consisted of the following (in thousands, except share and per share data):</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138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6"/>
              </w:rPr>
              <w:t>Shares</w:t>
            </w:r>
          </w:p>
        </w:tc>
        <w:tc>
          <w:tcPr>
            <w:tcW w:w="13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Shares Issued and</w:t>
            </w:r>
          </w:p>
        </w:tc>
        <w:tc>
          <w:tcPr>
            <w:tcW w:w="340" w:type="dxa"/>
            <w:vAlign w:val="bottom"/>
          </w:tcPr>
          <w:p>
            <w:pPr>
              <w:spacing w:after="0"/>
              <w:rPr>
                <w:sz w:val="10"/>
                <w:szCs w:val="10"/>
                <w:color w:val="auto"/>
              </w:rPr>
            </w:pPr>
          </w:p>
        </w:tc>
        <w:tc>
          <w:tcPr>
            <w:tcW w:w="1620" w:type="dxa"/>
            <w:vAlign w:val="bottom"/>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w w:val="95"/>
              </w:rPr>
              <w:t>Issuance Price per</w:t>
            </w:r>
          </w:p>
        </w:tc>
        <w:tc>
          <w:tcPr>
            <w:tcW w:w="20" w:type="dxa"/>
            <w:vAlign w:val="bottom"/>
          </w:tcPr>
          <w:p>
            <w:pPr>
              <w:spacing w:after="0"/>
              <w:rPr>
                <w:sz w:val="10"/>
                <w:szCs w:val="10"/>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Liquidation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5"/>
              </w:rPr>
              <w:t>Authorized</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802,972</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711,203</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Series A-1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12,710,059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11,231,511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16,333</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16,847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13,513,031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11,942,714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17,400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17,914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 2020 and March 31, 2021</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138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6"/>
              </w:rPr>
              <w:t>Shares</w:t>
            </w:r>
          </w:p>
        </w:tc>
        <w:tc>
          <w:tcPr>
            <w:tcW w:w="13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Shares Issued and</w:t>
            </w:r>
          </w:p>
        </w:tc>
        <w:tc>
          <w:tcPr>
            <w:tcW w:w="340" w:type="dxa"/>
            <w:vAlign w:val="bottom"/>
          </w:tcPr>
          <w:p>
            <w:pPr>
              <w:spacing w:after="0"/>
              <w:rPr>
                <w:sz w:val="10"/>
                <w:szCs w:val="10"/>
                <w:color w:val="auto"/>
              </w:rPr>
            </w:pPr>
          </w:p>
        </w:tc>
        <w:tc>
          <w:tcPr>
            <w:tcW w:w="1620" w:type="dxa"/>
            <w:vAlign w:val="bottom"/>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w w:val="95"/>
              </w:rPr>
              <w:t>Issuance Price per</w:t>
            </w:r>
          </w:p>
        </w:tc>
        <w:tc>
          <w:tcPr>
            <w:tcW w:w="20" w:type="dxa"/>
            <w:vAlign w:val="bottom"/>
          </w:tcPr>
          <w:p>
            <w:pPr>
              <w:spacing w:after="0"/>
              <w:rPr>
                <w:sz w:val="10"/>
                <w:szCs w:val="10"/>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Liquidation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5"/>
              </w:rPr>
              <w:t>Authorized</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711,203</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711,203</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Series A-1</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11,898,177</w:t>
            </w:r>
          </w:p>
        </w:tc>
        <w:tc>
          <w:tcPr>
            <w:tcW w:w="5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11,231,511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16,333</w:t>
            </w: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16,847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29,457,450</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17,674,469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39,253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45,070</w:t>
            </w:r>
          </w:p>
        </w:tc>
        <w:tc>
          <w:tcPr>
            <w:tcW w:w="0" w:type="dxa"/>
            <w:vAlign w:val="bottom"/>
          </w:tcPr>
          <w:p>
            <w:pPr>
              <w:spacing w:after="0"/>
              <w:rPr>
                <w:sz w:val="1"/>
                <w:szCs w:val="1"/>
                <w:color w:val="auto"/>
              </w:rPr>
            </w:pPr>
          </w:p>
        </w:tc>
      </w:tr>
      <w:tr>
        <w:trPr>
          <w:trHeight w:val="223"/>
        </w:trPr>
        <w:tc>
          <w:tcPr>
            <w:tcW w:w="4100" w:type="dxa"/>
            <w:vAlign w:val="bottom"/>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42,066,830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29,617,183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56,653</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62,984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288" w:lineRule="auto"/>
        <w:rPr>
          <w:sz w:val="20"/>
          <w:szCs w:val="20"/>
          <w:color w:val="auto"/>
        </w:rPr>
      </w:pPr>
      <w:r>
        <w:rPr>
          <w:rFonts w:ascii="Arial" w:cs="Arial" w:eastAsia="Arial" w:hAnsi="Arial"/>
          <w:sz w:val="16"/>
          <w:szCs w:val="16"/>
          <w:color w:val="auto"/>
        </w:rPr>
        <w:t>On November 20, 2020, the Company entered into the Series B Agreement for a private placement of up to 29,457,450 shares of Series B convertible preferred stock, $0.0001 par value per share, at an original issuance price of $2.55 per share, subject to separate closings, including: (1) 17,674,469 shares at the Initial Closing on November 20, 2020, and (2) 11,782,981 shares at a subsequent closing that would be triggered by the achievement of a specific clinical milestone. The Series B Agreement obligates the Company to issue and sell and the Series B purchasers to purchase up to a total of 11,782,981 additional shares of Series B convertible preferred stock (the “Milestone Shares”) at the same price per share upon the achievement of a certain defined clinical milestone. The determination as to whether the milestone event has been met is subject to certification by the Board and the Requisite Investors. Each Series B convertible preferred stock investor has the right, but not the obligation, to purchase all or any portion of the Milestone Shares at any time in its sole option and in its sole and absolute discretion, whether or not the Company achieves the applicable clinical milestone. However, in the event that the Milestone Closing occurs, if any Series B purchaser fails to purchase its respective portion of the Milestone Shares, each existing share of Series B convertible preferred stock held by such stockholder will</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automatically convert into one share of common stock. See “</w:t>
      </w:r>
      <w:r>
        <w:rPr>
          <w:rFonts w:ascii="Arial" w:cs="Arial" w:eastAsia="Arial" w:hAnsi="Arial"/>
          <w:sz w:val="18"/>
          <w:szCs w:val="18"/>
          <w:i w:val="1"/>
          <w:iCs w:val="1"/>
          <w:color w:val="auto"/>
        </w:rPr>
        <w:t>Series B Convertible Preferred Stock Tranche Rights Liability</w:t>
      </w:r>
      <w:r>
        <w:rPr>
          <w:rFonts w:ascii="Arial" w:cs="Arial" w:eastAsia="Arial" w:hAnsi="Arial"/>
          <w:sz w:val="18"/>
          <w:szCs w:val="18"/>
          <w:color w:val="auto"/>
        </w:rPr>
        <w:t>” below).</w:t>
      </w:r>
    </w:p>
    <w:p>
      <w:pPr>
        <w:spacing w:after="0" w:line="22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On October 19, 2018, the Company entered into the Series A-1 and Series A Preferred Stock Purchase and Exchange Agreements (the “Series A-1 and Series A Agreements”). Under the Series A-1 and Series A Agreements, the Company sold 5,442,867 shares of Series A-1 convertible preferred stock, $0.0001 par value per share, at a purchase price of $1.50 per share for gross proceeds of $8.2 million. Convertible notes issued in 2018 including accrued interest thereon totaling $275,000, were converted into 183,333 shares of Series A-1 convertible preferred stock and convertible notes issued in 2014 through 2017 including accrued interest thereon totaling $3.1 million were converted into 2,043,757 shares of Series A convertible preferred stock, $0.0001 par value per share, in each case at a conversion rate of $1.50 per share. Additionally, the holders of Series A convertible preferred stock and the holders of common stock were given the option to exchange their respective shares into shares of Series A-1 convertible preferred stock and Series A convertible preferred stock, respectively, on a one-to-one basis. A total of 1,333,449 shares of Series A convertible preferred stock were exchanged for Series A-1 convertible preferred stock and a total of 64,060 shares of common stock were exchanged for Series A convertible preferred stock. The difference between the book value of the common shares and the issuance price of the Series A convertible preferred shares for which they were exchanged was recorded as a contribution in the statement of stockholders’ deficit. On October 19, 2018, the Company also issued a warrant to purchase 666,666 shares of Series A-1 convertible preferred stock at an exercise price of $1.875. This warrant has a term of 10 years and an aggregate grant date fair value of $430,000 (see “</w:t>
      </w:r>
      <w:r>
        <w:rPr>
          <w:rFonts w:ascii="Arial" w:cs="Arial" w:eastAsia="Arial" w:hAnsi="Arial"/>
          <w:sz w:val="16"/>
          <w:szCs w:val="16"/>
          <w:i w:val="1"/>
          <w:iCs w:val="1"/>
          <w:color w:val="auto"/>
        </w:rPr>
        <w:t>Series A-1 Convertible Preferred Stock Warrant Liability” below</w:t>
      </w:r>
      <w:r>
        <w:rPr>
          <w:rFonts w:ascii="Arial" w:cs="Arial" w:eastAsia="Arial" w:hAnsi="Arial"/>
          <w:sz w:val="16"/>
          <w:szCs w:val="16"/>
          <w:color w:val="auto"/>
        </w:rPr>
        <w:t>).</w:t>
      </w:r>
    </w:p>
    <w:p>
      <w:pPr>
        <w:spacing w:after="0" w:line="174"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During 2019, the Company sold an additional 4,157,199 shares of Series A-1 convertible preferred stock at a purchase price of $1.50 per share for gross proceeds of $6.2 million. Additionally, a total of 114,664 shares of Series A convertible preferred stock were exchanged for Series A-1 convertible preferred stock and a total of 51,515 shares of common stock were exchanged for Series A convertible preferred stock. The exchange of Series A convertible preferred stock for Series A-1 convertible preferred stock was accounted for on a prospective basis as the exchange was not considered to be a significant modification, and the Company reclassified $1.50 per share from Series A convertible preferred stock to Series A-1 convertible preferred stock. The exchange of common stock for Series A convertible stock was accounted for as an extinguishment as the exchange was considered to be a significant modification, and the common shares were retired by the Company at the common shares’ book value, with the difference between that and the Series A convertible preferred stock issuance price of $1.50 per share recorded as a contribution in the statement of stockholders’ deficit.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The holders of Series B, Series A-1 and Series A convertible preferred stock are entitled to receive dividends ahead of, or simultaneously with, common stockholders in an amount equal to the product of (A) the dividend payable on each share of the class or series of convertible preferred stock determined, if applicable, as if all shares of such class or series of convertible preferred stock had been converted into common stock and (B) the number of shares of common stock issuable upon conversion of a share of preferred stock. No dividends have been declared since inception.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the Company, holders of Series B convertible preferred stock are entitled to receive, prior and in preference to, holders of Series A-1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8" w:lineRule="exact"/>
        <w:rPr>
          <w:sz w:val="20"/>
          <w:szCs w:val="20"/>
          <w:color w:val="auto"/>
        </w:rPr>
      </w:pPr>
    </w:p>
    <w:p>
      <w:pPr>
        <w:ind w:left="120" w:right="460"/>
        <w:spacing w:after="0" w:line="279" w:lineRule="auto"/>
        <w:rPr>
          <w:sz w:val="20"/>
          <w:szCs w:val="20"/>
          <w:color w:val="auto"/>
        </w:rPr>
      </w:pPr>
      <w:r>
        <w:rPr>
          <w:rFonts w:ascii="Arial" w:cs="Arial" w:eastAsia="Arial" w:hAnsi="Arial"/>
          <w:sz w:val="17"/>
          <w:szCs w:val="17"/>
          <w:color w:val="auto"/>
        </w:rPr>
        <w:t>convertible preferred stock, Series A convertible preferred stock, and holders of common stock, in the amount of the original issue price plus any declared but unpaid dividends thereon. If upon occurrence of such an event, the assets and funds to be distributed among the holders of Series B convertible preferred stock are insufficient to permit full payment to such holders, the entire assets and funds of the Company legally available for distribution will be distributed ratably among the holders of the Series B convertible preferred stock.</w:t>
      </w:r>
    </w:p>
    <w:p>
      <w:pPr>
        <w:spacing w:after="0" w:line="17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the event of any voluntary or involuntary liquidation, dissolution or winding up of the Company, holders of Series A-1 convertible preferred stock are entitled to receive, prior and in preference to, holders of Series A convertible preferred stock and holders of common stock, in the amount of the original issue price plus any declared but unpaid dividends thereon. If upon occurrence of such an event, the assets and funds to be distributed among the holders of Series A-1 convertible preferred stock are insufficient to permit full payment to such holders, the entire assets and funds of the Company legally available for distribution will be distributed ratably among the holders of the Series A-1 convertible preferred stock.</w:t>
      </w:r>
    </w:p>
    <w:p>
      <w:pPr>
        <w:spacing w:after="0" w:line="16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the event of any voluntary or involuntary liquidation, dissolution or winding up of the Company, holders of Series A convertible preferred stock are entitled to receive, prior and in preference to, holders of common stock, in the amount of the original issue price plus any declared but unpaid dividends thereon. If upon occurrence of such an event, the assets and funds to be distributed among the holders of Series A convertible preferred stock are insufficient to permit full payment to such holders, the entire assets and funds of the Company legally available for distribution will be distributed ratably among the holders of the Series A convertible preferred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Shares of all series of convertible preferred stock are convertible into such number of fully paid and non-assessable shares of common stock as determined by dividing the original issuance price for such series by the applicable conversion price for such series then in effect. The initial conversion price per share for each series of convertible preferred stock is the original issue price applicable to such series as shown in the table above, subject to adjustment in the event of certain dilutive issuances. The convertible preferred stock original issuance price and conversion price are each subject to adjustment in the event of any stock dividend, stock split, combination or other similar recapitalization with respect to the convertible preferred stock.</w:t>
      </w:r>
    </w:p>
    <w:p>
      <w:pPr>
        <w:spacing w:after="0" w:line="16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Each share of convertible preferred stock is convertible at any time at the option of the holder at the conversion ratio then in effect. In addition, each share of convertible preferred stock will be automatically converted into common stock at the conversion ratio then in effect upon either (a) the closing of an underwritten public offering resulting in gross proceeds to the Company of at least $75 million and at a price per share equal to at least two times the Series B original issuance price, or $5.10 (subject to adjustment in the event of any stock dividend, stock split, combination or other similar recapitalization with respect to the Series B convertible preferred stock), or (b) the date and time, or the occurrence of an event, specified in such vote or written consent of at least 67% of the holders of the then outstanding shares of Series B convertible preferred stock.</w:t>
      </w:r>
    </w:p>
    <w:p>
      <w:pPr>
        <w:spacing w:after="0" w:line="178"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Two days after the closing for the Milestone Shares occurs, if ever, each share of Series B convertible preferred stock held by a purchaser that fails to purchase its applicable Milestone Shares shall be automatically converted into one fully-paid, non-assessable share of common stock.</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Holders of convertible preferred stock are entitled to vote as a single class together with the holders of common stock and have one vote for each share of common stock into which the convertible preferred stock is convertible.</w:t>
      </w:r>
    </w:p>
    <w:p>
      <w:pPr>
        <w:spacing w:after="0" w:line="170" w:lineRule="exact"/>
        <w:rPr>
          <w:sz w:val="20"/>
          <w:szCs w:val="20"/>
          <w:color w:val="auto"/>
        </w:rPr>
      </w:pPr>
    </w:p>
    <w:p>
      <w:pPr>
        <w:ind w:left="120" w:right="500"/>
        <w:spacing w:after="0" w:line="279" w:lineRule="auto"/>
        <w:rPr>
          <w:sz w:val="20"/>
          <w:szCs w:val="20"/>
          <w:color w:val="auto"/>
        </w:rPr>
      </w:pPr>
      <w:r>
        <w:rPr>
          <w:rFonts w:ascii="Arial" w:cs="Arial" w:eastAsia="Arial" w:hAnsi="Arial"/>
          <w:sz w:val="17"/>
          <w:szCs w:val="17"/>
          <w:color w:val="auto"/>
        </w:rPr>
        <w:t>The holders of Series B convertible preferred stock are entitled to elect two directors to the Board, and the holders of Series A and Series A-1 convertible preferred stock, voting together as a single class, are also entitled to elect two directors to the Board. The holders of common stock, exclusively and as a separate class, are entitled to elect two directors to the Board. The final director to the Board is designated by the holders of a majority of the shares of the preferred stock and common stock, voting together as a single class.</w:t>
      </w:r>
    </w:p>
    <w:p>
      <w:pPr>
        <w:spacing w:after="0" w:line="17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A majority of the outstanding shares of convertible preferred stock is necessary for approving certain matters, including the ability to either increase or decrease the authorized number of directors constituting the Board, pursuant to protective provisions in the Company’s amended and restated certificate of incorporation.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Convertible Preferred Stock Tranche Rights Liability</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Company concluded that the tranche liability met the definition of a freestanding financial instrument, as it was legally detachable and separately exercisable from the initial closing of the Series B convertible preferred stock. The fair value for the tranche liability was estimated as a forward contract using a tranche model as of November 20, 2020, December 31, 2020 and in the Stay Private scenario utilized in the hybrid methodology as of March 31, 2021. Under this approach, the fair value of the liability is discounted back to the valuation date and adjusted for probability of the achievement of the milestone event. Significant estimates and assumptions impacting fair value include the discount rate, expected time to the Milestone Closing, and probability of the Milestone Closing. The discount rate was equal to the risk-free rate for the estimated timing of the Milestone Closing.</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assumptions were used in the estimation of the fair value of the tranche liability as a forward contract as of each of the dates indicated:</w:t>
      </w:r>
    </w:p>
    <w:p>
      <w:pPr>
        <w:spacing w:after="0" w:line="254"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7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November 20,</w:t>
            </w:r>
          </w:p>
        </w:tc>
        <w:tc>
          <w:tcPr>
            <w:tcW w:w="17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32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0.11%</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0.12%</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Expected time to Milestone Closing (in</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220" w:type="dxa"/>
            <w:vAlign w:val="bottom"/>
          </w:tcPr>
          <w:p>
            <w:pPr>
              <w:ind w:left="180"/>
              <w:spacing w:after="0"/>
              <w:rPr>
                <w:sz w:val="20"/>
                <w:szCs w:val="20"/>
                <w:color w:val="auto"/>
              </w:rPr>
            </w:pPr>
            <w:r>
              <w:rPr>
                <w:rFonts w:ascii="Arial" w:cs="Arial" w:eastAsia="Arial" w:hAnsi="Arial"/>
                <w:sz w:val="18"/>
                <w:szCs w:val="18"/>
                <w:color w:val="auto"/>
              </w:rPr>
              <w:t>years)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r>
      <w:tr>
        <w:trPr>
          <w:trHeight w:val="202"/>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Probability of achievement of</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Milestone Closing</w:t>
            </w:r>
          </w:p>
        </w:tc>
        <w:tc>
          <w:tcPr>
            <w:tcW w:w="1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65%</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other portion of the hybrid method used as of March 31, 2021, the fair value for the tranche liability was estimated based upon an allocation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underlying equity value, which was determined using an expected initial public offering (“IPO”) value as estimated through analysis of IPOs for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comparable guideline companies, to arrive at a value per share in the IPO scenario. The estimated fair value of the tranche liability was $5,422,000,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$5,033,000 and $26,557,000 as of November 20, 2020, December 31, 2020 and March 31, 2021, respectively. The significant increase in the March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2021 valuation stems from a shift in methodology from an option pricing method (“OPM”) to a hybrid method where the concluded value of the forward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tranche is derived by the sum of the probability weighted present value of the forward tranche in the Stay Private and IPO scenarios (with the former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including all other potential exit scenarios other than an imminent IPO). The resulting differences in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8"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estimated fair value have been recognized as a change in fair value within other income in the accompanying statements of operations during the year ended December 31, 2020 and the three months ended March 31, 2021. The tranche liability will be revalued each reporting period with the change in fair value recorded in the accompanying statements of operations until the Milestone Shares are issued, or it becomes apparent that the milestone event will not be achieved, and the Milestone Shares will never be issued.</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June 9, 2021, the Board and the holders of more than 67% of the outstanding shares of Series B preferred stock elected to waive the achievement of the milestone event. The Company will record the tranche liability at fair value up to the time of the Milestone Closing and upon the Milestone Closing, the liability will be reclassified to convertible preferred stock on the balance sheet.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A-1 Convertible Preferred Stock Warrant Liability</w:t>
      </w:r>
    </w:p>
    <w:p>
      <w:pPr>
        <w:spacing w:after="0" w:line="11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On October 19, 2018, the Company issued a 10-year warrant (the “Series A-1 Warrant”) to purchase up to an aggregate of 666,666 shares of Series A-1 convertible preferred stock at an exercise price of $1.875 on or before October 18, 2028. The Series A-1 Warrant was issued in connection with the Series A-1 and Series A Agreements. As of December 31, 2019 and 2020 and March 31, 2021, this Series A-1 Warrant remained outstanding.</w:t>
      </w:r>
    </w:p>
    <w:p>
      <w:pPr>
        <w:spacing w:after="0" w:line="14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warrant liability met the definition of a freestanding financial instrument, as it was legally detachable and separately exercisable from the initial closing of the Series A-1 convertible preferred stock. As such, it is revalued each reporting period with the change in fair value recorded in the accompanying statements of operations until the warrant is exercised or expires.</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fair value of the warrant liability was estimated using the OPM backsolve method as of December 31, 2019 and 2020 and using a hybrid method, which included an OPM backsolve in the Stay Private scenario as of March 31, 2021. The following assumptions were used in the estimation of the fair value of the warrant liability using the OPM backsolve method as of each of the dates indicated:</w:t>
      </w:r>
    </w:p>
    <w:p>
      <w:pPr>
        <w:spacing w:after="0" w:line="202"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80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4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1.66%</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0.13%</w:t>
            </w:r>
          </w:p>
        </w:tc>
        <w:tc>
          <w:tcPr>
            <w:tcW w:w="32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90%</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hybrid method used to value the warrant liability at March 31, 2021 considered both the underlying equity value determined using the OPM backsolve method in a Stay Private scenario, as well as the underlying equity value that was determined using an expected IPO value as estimated through analysis of IPOs for comparable guideline companies, to arrive at a value per share in the IPO scenario. The underlying equity values from each approach were probability weighted based upon the expected likelihood of each scenario. The fair value of the warrant liability was estimated to be $0.87, $0.57 and $3.11 as of December 31, 2019 and 2020 and March 31, 2021, respectively.</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80"/>
          </w:cols>
          <w:pgMar w:left="320" w:top="459"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following table provides a reconciliation of the tranche liability and warrant liability measured at fair value using Level 3 significant unobservable inputs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Series A-1</w:t>
            </w:r>
          </w:p>
        </w:tc>
        <w:tc>
          <w:tcPr>
            <w:tcW w:w="17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Series B Tranche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3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Preferred Stock</w:t>
            </w:r>
          </w:p>
        </w:tc>
        <w:tc>
          <w:tcPr>
            <w:tcW w:w="178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Warrant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Rights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ind w:left="340"/>
              <w:spacing w:after="0" w:line="201" w:lineRule="exact"/>
              <w:rPr>
                <w:sz w:val="20"/>
                <w:szCs w:val="20"/>
                <w:color w:val="auto"/>
              </w:rPr>
            </w:pPr>
            <w:r>
              <w:rPr>
                <w:rFonts w:ascii="Arial" w:cs="Arial" w:eastAsia="Arial" w:hAnsi="Arial"/>
                <w:sz w:val="18"/>
                <w:szCs w:val="18"/>
                <w:color w:val="auto"/>
              </w:rPr>
              <w:t>Fair value at issuance of Series B convertible preferred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520"/>
              <w:spacing w:after="0"/>
              <w:rPr>
                <w:sz w:val="20"/>
                <w:szCs w:val="20"/>
                <w:color w:val="auto"/>
              </w:rPr>
            </w:pPr>
            <w:r>
              <w:rPr>
                <w:rFonts w:ascii="Arial" w:cs="Arial" w:eastAsia="Arial" w:hAnsi="Arial"/>
                <w:sz w:val="18"/>
                <w:szCs w:val="18"/>
                <w:color w:val="auto"/>
              </w:rPr>
              <w:t>stock (November 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5,422</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Balance, December 31, 2020</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Balance, March 31, 2021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26,557</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STOCKHOLDERS’ DEFICIT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Company amended its certificate of incorporation on November 20, 2020, such that the total number of shares of common stock authorized to be issued was increased to 50,500,000, and the total number of shares of preferred stock authorized to be issued was increased to 42,066,830, of which 711,203 are designated Series A convertible preferred stock, 11,898,177 are designated as Series A-1 convertible preferred stock and 29,457,450 are designated as Series B convertible preferred stock. The certificate of incorporation was also amended for the reverse stock split that became effective on November 20, 2020 (see Note 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As of December 31, 2020, the Company’s Amended and Restated Certificate of Incorporation authorized the issuance of 50,500,000 shares of common stock, $0.0001 par value per share. Each share of common stock is entitled to one voting right. The holders of common stock are entitled to elect two directors to the Board. Holders of common stock, voting together as a single class with the holders of preferred stock, may also designate an additional director to the Board. Common stock owners are entitled to dividends when funds are legally available and declared by the Board.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As of December 31, 2019 and 2020 and March 31, 2021, the outstanding warrants to purchase the Company’s common stock were comprised of the following:</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Equity Upon</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380" w:type="dxa"/>
            <w:vAlign w:val="bottom"/>
            <w:gridSpan w:val="2"/>
          </w:tcPr>
          <w:p>
            <w:pPr>
              <w:ind w:left="380"/>
              <w:spacing w:after="0" w:line="142" w:lineRule="exact"/>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2"/>
                <w:szCs w:val="12"/>
                <w:color w:val="auto"/>
              </w:rPr>
            </w:pPr>
          </w:p>
        </w:tc>
        <w:tc>
          <w:tcPr>
            <w:tcW w:w="122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93"/>
              </w:rPr>
              <w:t>Exercise Price</w:t>
            </w:r>
          </w:p>
        </w:tc>
        <w:tc>
          <w:tcPr>
            <w:tcW w:w="13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Expiration Dates</w:t>
            </w:r>
          </w:p>
        </w:tc>
        <w:tc>
          <w:tcPr>
            <w:tcW w:w="6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112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8"/>
              </w:rPr>
              <w:t>March 31, 2021</w:t>
            </w:r>
          </w:p>
        </w:tc>
        <w:tc>
          <w:tcPr>
            <w:tcW w:w="0" w:type="dxa"/>
            <w:vAlign w:val="bottom"/>
          </w:tcPr>
          <w:p>
            <w:pPr>
              <w:spacing w:after="0"/>
              <w:rPr>
                <w:sz w:val="1"/>
                <w:szCs w:val="1"/>
                <w:color w:val="auto"/>
              </w:rPr>
            </w:pPr>
          </w:p>
        </w:tc>
      </w:tr>
      <w:tr>
        <w:trPr>
          <w:trHeight w:val="195"/>
        </w:trPr>
        <w:tc>
          <w:tcPr>
            <w:tcW w:w="38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3/21/2024 -</w:t>
            </w: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jc w:val="center"/>
              <w:ind w:right="2030"/>
              <w:spacing w:after="0"/>
              <w:rPr>
                <w:sz w:val="20"/>
                <w:szCs w:val="20"/>
                <w:color w:val="auto"/>
              </w:rPr>
            </w:pPr>
            <w:r>
              <w:rPr>
                <w:rFonts w:ascii="Arial" w:cs="Arial" w:eastAsia="Arial" w:hAnsi="Arial"/>
                <w:sz w:val="18"/>
                <w:szCs w:val="18"/>
                <w:color w:val="auto"/>
                <w:w w:val="88"/>
              </w:rPr>
              <w:t>Warrants issued in 2014</w:t>
            </w:r>
          </w:p>
        </w:tc>
        <w:tc>
          <w:tcPr>
            <w:tcW w:w="1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Common Stock</w:t>
            </w:r>
          </w:p>
        </w:tc>
        <w:tc>
          <w:tcPr>
            <w:tcW w:w="6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6/30/2025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124,777</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124,777</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124,777</w:t>
            </w:r>
          </w:p>
        </w:tc>
        <w:tc>
          <w:tcPr>
            <w:tcW w:w="0" w:type="dxa"/>
            <w:vAlign w:val="bottom"/>
          </w:tcPr>
          <w:p>
            <w:pPr>
              <w:spacing w:after="0"/>
              <w:rPr>
                <w:sz w:val="1"/>
                <w:szCs w:val="1"/>
                <w:color w:val="auto"/>
              </w:rPr>
            </w:pPr>
          </w:p>
        </w:tc>
      </w:tr>
      <w:tr>
        <w:trPr>
          <w:trHeight w:val="216"/>
        </w:trPr>
        <w:tc>
          <w:tcPr>
            <w:tcW w:w="3840" w:type="dxa"/>
            <w:vAlign w:val="bottom"/>
          </w:tcPr>
          <w:p>
            <w:pPr>
              <w:jc w:val="center"/>
              <w:ind w:right="2030"/>
              <w:spacing w:after="0"/>
              <w:rPr>
                <w:sz w:val="20"/>
                <w:szCs w:val="20"/>
                <w:color w:val="auto"/>
              </w:rPr>
            </w:pPr>
            <w:r>
              <w:rPr>
                <w:rFonts w:ascii="Arial" w:cs="Arial" w:eastAsia="Arial" w:hAnsi="Arial"/>
                <w:sz w:val="18"/>
                <w:szCs w:val="18"/>
                <w:color w:val="auto"/>
                <w:w w:val="88"/>
              </w:rPr>
              <w:t>Warrants issued in 2015</w:t>
            </w: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w w:val="99"/>
              </w:rPr>
              <w:t>Common Stock</w:t>
            </w:r>
          </w:p>
        </w:tc>
        <w:tc>
          <w:tcPr>
            <w:tcW w:w="60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6/30/2025</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312,485</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312,485</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312,485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jc w:val="center"/>
              <w:ind w:right="2030"/>
              <w:spacing w:after="0"/>
              <w:rPr>
                <w:sz w:val="20"/>
                <w:szCs w:val="20"/>
                <w:color w:val="auto"/>
              </w:rPr>
            </w:pPr>
            <w:r>
              <w:rPr>
                <w:rFonts w:ascii="Arial" w:cs="Arial" w:eastAsia="Arial" w:hAnsi="Arial"/>
                <w:sz w:val="18"/>
                <w:szCs w:val="18"/>
                <w:color w:val="auto"/>
                <w:w w:val="88"/>
              </w:rPr>
              <w:t>Warrants issued in 2016</w:t>
            </w:r>
          </w:p>
        </w:tc>
        <w:tc>
          <w:tcPr>
            <w:tcW w:w="1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Common Stock</w:t>
            </w:r>
          </w:p>
        </w:tc>
        <w:tc>
          <w:tcPr>
            <w:tcW w:w="6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6/30/2025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51,252</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51,252</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51,252</w:t>
            </w:r>
          </w:p>
        </w:tc>
        <w:tc>
          <w:tcPr>
            <w:tcW w:w="0" w:type="dxa"/>
            <w:vAlign w:val="bottom"/>
          </w:tcPr>
          <w:p>
            <w:pPr>
              <w:spacing w:after="0"/>
              <w:rPr>
                <w:sz w:val="1"/>
                <w:szCs w:val="1"/>
                <w:color w:val="auto"/>
              </w:rPr>
            </w:pPr>
          </w:p>
        </w:tc>
      </w:tr>
      <w:tr>
        <w:trPr>
          <w:trHeight w:val="216"/>
        </w:trPr>
        <w:tc>
          <w:tcPr>
            <w:tcW w:w="3840" w:type="dxa"/>
            <w:vAlign w:val="bottom"/>
          </w:tcPr>
          <w:p>
            <w:pPr>
              <w:jc w:val="center"/>
              <w:ind w:right="2030"/>
              <w:spacing w:after="0"/>
              <w:rPr>
                <w:sz w:val="20"/>
                <w:szCs w:val="20"/>
                <w:color w:val="auto"/>
              </w:rPr>
            </w:pPr>
            <w:r>
              <w:rPr>
                <w:rFonts w:ascii="Arial" w:cs="Arial" w:eastAsia="Arial" w:hAnsi="Arial"/>
                <w:sz w:val="18"/>
                <w:szCs w:val="18"/>
                <w:color w:val="auto"/>
                <w:w w:val="88"/>
              </w:rPr>
              <w:t>Warrants issued in 2017</w:t>
            </w: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w w:val="99"/>
              </w:rPr>
              <w:t>Common Stock</w:t>
            </w:r>
          </w:p>
        </w:tc>
        <w:tc>
          <w:tcPr>
            <w:tcW w:w="60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6/30/2025</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86,246</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86,246</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86,246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jc w:val="center"/>
              <w:ind w:right="1970"/>
              <w:spacing w:after="0"/>
              <w:rPr>
                <w:sz w:val="20"/>
                <w:szCs w:val="20"/>
                <w:color w:val="auto"/>
              </w:rPr>
            </w:pPr>
            <w:r>
              <w:rPr>
                <w:rFonts w:ascii="Arial" w:cs="Arial" w:eastAsia="Arial" w:hAnsi="Arial"/>
                <w:sz w:val="18"/>
                <w:szCs w:val="18"/>
                <w:color w:val="auto"/>
                <w:w w:val="89"/>
              </w:rPr>
              <w:t>Total Warrants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574,760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574,760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574,760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vMerge w:val="restart"/>
          </w:tcPr>
          <w:p>
            <w:pPr>
              <w:jc w:val="right"/>
              <w:ind w:right="68"/>
              <w:spacing w:after="0"/>
              <w:rPr>
                <w:sz w:val="20"/>
                <w:szCs w:val="20"/>
                <w:color w:val="auto"/>
              </w:rPr>
            </w:pPr>
            <w:r>
              <w:rPr>
                <w:rFonts w:ascii="Arial" w:cs="Arial" w:eastAsia="Arial" w:hAnsi="Arial"/>
                <w:sz w:val="18"/>
                <w:szCs w:val="18"/>
                <w:color w:val="auto"/>
              </w:rPr>
              <w:t>F-20</w:t>
            </w: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STOCK-BASED COMPENSATION</w:t>
      </w:r>
    </w:p>
    <w:p>
      <w:pPr>
        <w:spacing w:after="0" w:line="121"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On April 8, 2013, the Board and stockholders adopted the Company’s Amended and Restated Stock Performance Plan (as amended from time to time, most recently on November 20, 2020, the “Plan”). The Plan provides for the grant of incentive stock options, non-statutory stock options, issuance of shares of restricted stock and other equity awards to the Company’s employees, officers, directors, consultants and advisors. As of March 31, 2021, the aggregate number of shares authorized for issuance under the Plan totaled 6,227,011 and there were 993,875 shares available for future grants.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Black-Scholes option-pricing model was used to estimate the fair value of stock options granted with the following weighted average assumptions:</w:t>
      </w:r>
    </w:p>
    <w:p>
      <w:pPr>
        <w:spacing w:after="0" w:line="254"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2160" w:type="dxa"/>
            <w:vAlign w:val="bottom"/>
            <w:gridSpan w:val="3"/>
          </w:tcPr>
          <w:p>
            <w:pPr>
              <w:jc w:val="center"/>
              <w:ind w:left="735"/>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3180" w:type="dxa"/>
            <w:vAlign w:val="bottom"/>
          </w:tcPr>
          <w:p>
            <w:pPr>
              <w:spacing w:after="0"/>
              <w:rPr>
                <w:sz w:val="14"/>
                <w:szCs w:val="14"/>
                <w:color w:val="auto"/>
              </w:rPr>
            </w:pPr>
          </w:p>
        </w:tc>
        <w:tc>
          <w:tcPr>
            <w:tcW w:w="2600" w:type="dxa"/>
            <w:vAlign w:val="bottom"/>
            <w:gridSpan w:val="3"/>
          </w:tcPr>
          <w:p>
            <w:pPr>
              <w:jc w:val="center"/>
              <w:ind w:left="1355"/>
              <w:spacing w:after="0"/>
              <w:rPr>
                <w:sz w:val="20"/>
                <w:szCs w:val="20"/>
                <w:color w:val="auto"/>
              </w:rPr>
            </w:pPr>
            <w:r>
              <w:rPr>
                <w:rFonts w:ascii="Arial" w:cs="Arial" w:eastAsia="Arial" w:hAnsi="Arial"/>
                <w:sz w:val="14"/>
                <w:szCs w:val="14"/>
                <w:b w:val="1"/>
                <w:bCs w:val="1"/>
                <w:color w:val="auto"/>
                <w:w w:val="91"/>
              </w:rPr>
              <w:t>December 31, 2019</w:t>
            </w:r>
          </w:p>
        </w:tc>
        <w:tc>
          <w:tcPr>
            <w:tcW w:w="8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March 31, 2021</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- 2.6%</w:t>
            </w:r>
          </w:p>
        </w:tc>
        <w:tc>
          <w:tcPr>
            <w:tcW w:w="8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- 0.5%</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640" w:type="dxa"/>
            <w:vAlign w:val="bottom"/>
          </w:tcPr>
          <w:p>
            <w:pPr>
              <w:ind w:left="20"/>
              <w:spacing w:after="0"/>
              <w:rPr>
                <w:sz w:val="20"/>
                <w:szCs w:val="20"/>
                <w:color w:val="auto"/>
              </w:rPr>
            </w:pPr>
            <w:r>
              <w:rPr>
                <w:rFonts w:ascii="Arial" w:cs="Arial" w:eastAsia="Arial" w:hAnsi="Arial"/>
                <w:sz w:val="18"/>
                <w:szCs w:val="18"/>
                <w:color w:val="auto"/>
              </w:rPr>
              <w:t>- 5.8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720" w:type="dxa"/>
            <w:vAlign w:val="bottom"/>
          </w:tcPr>
          <w:p>
            <w:pPr>
              <w:ind w:left="20"/>
              <w:spacing w:after="0"/>
              <w:rPr>
                <w:sz w:val="20"/>
                <w:szCs w:val="20"/>
                <w:color w:val="auto"/>
              </w:rPr>
            </w:pPr>
            <w:r>
              <w:rPr>
                <w:rFonts w:ascii="Arial" w:cs="Arial" w:eastAsia="Arial" w:hAnsi="Arial"/>
                <w:sz w:val="18"/>
                <w:szCs w:val="18"/>
                <w:color w:val="auto"/>
              </w:rPr>
              <w:t>- 6.1</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60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85%</w:t>
            </w:r>
          </w:p>
        </w:tc>
        <w:tc>
          <w:tcPr>
            <w:tcW w:w="2160" w:type="dxa"/>
            <w:vAlign w:val="bottom"/>
            <w:gridSpan w:val="3"/>
            <w:shd w:val="clear" w:color="auto" w:fill="CCEEFF"/>
          </w:tcPr>
          <w:p>
            <w:pPr>
              <w:jc w:val="right"/>
              <w:ind w:right="410"/>
              <w:spacing w:after="0"/>
              <w:rPr>
                <w:sz w:val="20"/>
                <w:szCs w:val="20"/>
                <w:color w:val="auto"/>
              </w:rPr>
            </w:pPr>
            <w:r>
              <w:rPr>
                <w:rFonts w:ascii="Arial" w:cs="Arial" w:eastAsia="Arial" w:hAnsi="Arial"/>
                <w:sz w:val="18"/>
                <w:szCs w:val="18"/>
                <w:color w:val="auto"/>
              </w:rPr>
              <w:t>90%</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600" w:type="dxa"/>
            <w:vAlign w:val="bottom"/>
            <w:gridSpan w:val="3"/>
          </w:tcPr>
          <w:p>
            <w:pPr>
              <w:jc w:val="right"/>
              <w:ind w:right="370"/>
              <w:spacing w:after="0"/>
              <w:rPr>
                <w:sz w:val="20"/>
                <w:szCs w:val="20"/>
                <w:color w:val="auto"/>
              </w:rPr>
            </w:pPr>
            <w:r>
              <w:rPr>
                <w:rFonts w:ascii="Arial" w:cs="Arial" w:eastAsia="Arial" w:hAnsi="Arial"/>
                <w:sz w:val="18"/>
                <w:szCs w:val="18"/>
                <w:color w:val="auto"/>
              </w:rPr>
              <w:t>0%</w:t>
            </w:r>
          </w:p>
        </w:tc>
        <w:tc>
          <w:tcPr>
            <w:tcW w:w="2160" w:type="dxa"/>
            <w:vAlign w:val="bottom"/>
            <w:gridSpan w:val="3"/>
          </w:tcPr>
          <w:p>
            <w:pPr>
              <w:jc w:val="right"/>
              <w:ind w:right="45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fair value of the Company’s common stock underlying the stock options has historically been determined by the Board with assistance from management and, occasionally with input from an independent third-party valuation firm. For the years ended December 31, 2019 and 2020, management engaged an independent third-party valuation firm to provide an estimate of the fair value of its common stock. The fair value of common stock was determined considering a number of objective and subjective factors, including valuations of comparable companies, sales of convertible preferred stock, operating and financial performance, the lack of liquidity of the Company’s common stock and the general and industry-specific economic outlook.</w:t>
      </w:r>
    </w:p>
    <w:p>
      <w:pPr>
        <w:spacing w:after="0" w:line="192"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As of December 31, 2019 and 2020, management, with the assistance of independent third-party valuation firms, estimated the fair value of a share of common stock to be $0.56 and $0.56, respectively. The range of assumptions used in these valuations were as follows:</w:t>
      </w:r>
    </w:p>
    <w:p>
      <w:pPr>
        <w:spacing w:after="0" w:line="188"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Expected time to liquidity event in years</w:t>
            </w: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ind w:left="40"/>
              <w:spacing w:after="0"/>
              <w:rPr>
                <w:sz w:val="20"/>
                <w:szCs w:val="20"/>
                <w:color w:val="auto"/>
              </w:rPr>
            </w:pPr>
            <w:r>
              <w:rPr>
                <w:rFonts w:ascii="Arial" w:cs="Arial" w:eastAsia="Arial" w:hAnsi="Arial"/>
                <w:sz w:val="18"/>
                <w:szCs w:val="18"/>
                <w:color w:val="auto"/>
              </w:rPr>
              <w:t>- 4.0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85% -90%</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100" w:type="dxa"/>
            <w:vAlign w:val="bottom"/>
            <w:gridSpan w:val="2"/>
          </w:tcPr>
          <w:p>
            <w:pPr>
              <w:jc w:val="right"/>
              <w:ind w:right="35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stock options granted after December 31, 2017 vest monthly over 24 or 36 months and have a ten-year contractual term. Stock options granted prior to December 31, 2017 were either fully vested upon grant or generally vested monthly over a range of three to 24 months and have a ten-year term. The Company lacks company-specific historical and implied volatility information. Therefore, it estimates its expected stock volatility based on the historical volatility of a publicly traded set of peer companies. Due to the lack of historical exercise history, the expected term of the Company’s stock options has been determined using the “simplified” method for awards.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8"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The weighted average grant date fair value of options granted during the year ended December 31, 2019 and the three months ended March 31, 2021 was $0.34 per share and $0.38 per share, respectively. There were no options granted during the year ended December 31, 2020.</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reflects summarized stock option activity:</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18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62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88"/>
              </w:rPr>
              <w:t>Stock Options</w:t>
            </w:r>
          </w:p>
        </w:tc>
        <w:tc>
          <w:tcPr>
            <w:tcW w:w="1820" w:type="dxa"/>
            <w:vAlign w:val="bottom"/>
            <w:gridSpan w:val="3"/>
            <w:vMerge w:val="continue"/>
          </w:tcPr>
          <w:p>
            <w:pPr>
              <w:spacing w:after="0"/>
              <w:rPr>
                <w:sz w:val="12"/>
                <w:szCs w:val="12"/>
                <w:color w:val="auto"/>
              </w:rPr>
            </w:pPr>
          </w:p>
        </w:tc>
        <w:tc>
          <w:tcPr>
            <w:tcW w:w="18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8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(in years)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251,802</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7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Options granted</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1,359,158</w:t>
            </w: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0.48</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(9,463)</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0.78</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Options forfeited or canceled</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(99,954)</w:t>
            </w: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2.99</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expired</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6.00</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Outstanding at December 31, 2019</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1,497,343</w:t>
            </w: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expired</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(5,040)</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6.00</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Outstanding at December 31, 2020</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1,492,303</w:t>
            </w: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granted</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3,694,711</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0.80</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Outstanding at March 31, 2021</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5,187,014</w:t>
            </w: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700" w:type="dxa"/>
            <w:vAlign w:val="bottom"/>
          </w:tcPr>
          <w:p>
            <w:pPr>
              <w:spacing w:after="0"/>
              <w:rPr>
                <w:sz w:val="19"/>
                <w:szCs w:val="19"/>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March 31, 2021</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1,187,973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0.83</w:t>
            </w:r>
          </w:p>
        </w:tc>
        <w:tc>
          <w:tcPr>
            <w:tcW w:w="18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intrinsic value of stock options exercised during the year ended December 31, 2019 was $0. As of December 31, 2020 and March 31, 2021, the total unrecognized compensation costs related to unvested stock option awards granted was approximately $136,000 and $1.4 million, respectively. The Company expected to recognize this cost over a remaining weighted-average period of approximately 1.0 and 3.5 years as of December 31, 2020 and March 31, 2021, respectively.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recorded stock-based compensation expense in the following expense categories of its statements of operations for the periods shown:</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For the Year</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For the Three Months</w:t>
            </w: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w w:val="94"/>
              </w:rPr>
              <w:t>Ended December 31,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Ended March 31,</w:t>
            </w:r>
          </w:p>
        </w:tc>
      </w:tr>
      <w:tr>
        <w:trPr>
          <w:trHeight w:val="142"/>
        </w:trPr>
        <w:tc>
          <w:tcPr>
            <w:tcW w:w="20" w:type="dxa"/>
            <w:vAlign w:val="bottom"/>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6"/>
              </w:rPr>
              <w:t>2019</w:t>
            </w:r>
          </w:p>
        </w:tc>
        <w:tc>
          <w:tcPr>
            <w:tcW w:w="4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2020</w:t>
            </w:r>
          </w:p>
        </w:tc>
        <w:tc>
          <w:tcPr>
            <w:tcW w:w="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2020</w:t>
            </w:r>
          </w:p>
        </w:tc>
        <w:tc>
          <w:tcPr>
            <w:tcW w:w="5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 Company has not recorded any tax provision or benefit for federal income taxes for the years ended December 31, 2019 and 2020 or for the three months ended March 31, 2021. The effective tax rate for the three months ended March 31, 2020 and 2021 is 0%. Current income taxes are based upon the year’s income taxable for federal and state tax reporting purposes. Deferred income taxes (benefits) are provided for certain income and expenses, which are recognized in different periods for tax and financial reporting purposes. Deferred tax assets and liabilities are computed for differences between the financial statements and tax bases of assets and liabilities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8"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that will result in taxable or deductible amounts in the future based on enacted tax laws and rates applicable to the period in which the differences are expected to affect taxable income, and net operating loss (“NOL”) carryforwards and research and development (“R&amp;D”) tax credit carryforwards.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reconciliation of the expected tax computed at the U.S. statutory federal income tax rate to the total benefit for income taxes for the years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and 2020 is as follows:</w:t>
      </w:r>
    </w:p>
    <w:p>
      <w:pPr>
        <w:spacing w:after="0" w:line="22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0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12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20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21.0%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2040" w:type="dxa"/>
            <w:vAlign w:val="bottom"/>
            <w:gridSpan w:val="2"/>
          </w:tcPr>
          <w:p>
            <w:pPr>
              <w:jc w:val="right"/>
              <w:ind w:right="1140"/>
              <w:spacing w:after="0"/>
              <w:rPr>
                <w:sz w:val="20"/>
                <w:szCs w:val="20"/>
                <w:color w:val="auto"/>
              </w:rPr>
            </w:pPr>
            <w:r>
              <w:rPr>
                <w:rFonts w:ascii="Arial" w:cs="Arial" w:eastAsia="Arial" w:hAnsi="Arial"/>
                <w:sz w:val="18"/>
                <w:szCs w:val="18"/>
                <w:color w:val="auto"/>
              </w:rPr>
              <w:t>4.6%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w:t>
            </w:r>
          </w:p>
        </w:tc>
        <w:tc>
          <w:tcPr>
            <w:tcW w:w="20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(0.4)%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R&amp;D credit</w:t>
            </w:r>
          </w:p>
        </w:tc>
        <w:tc>
          <w:tcPr>
            <w:tcW w:w="2040" w:type="dxa"/>
            <w:vAlign w:val="bottom"/>
            <w:gridSpan w:val="2"/>
          </w:tcPr>
          <w:p>
            <w:pPr>
              <w:jc w:val="right"/>
              <w:ind w:right="1140"/>
              <w:spacing w:after="0"/>
              <w:rPr>
                <w:sz w:val="20"/>
                <w:szCs w:val="20"/>
                <w:color w:val="auto"/>
              </w:rPr>
            </w:pPr>
            <w:r>
              <w:rPr>
                <w:rFonts w:ascii="Arial" w:cs="Arial" w:eastAsia="Arial" w:hAnsi="Arial"/>
                <w:sz w:val="18"/>
                <w:szCs w:val="18"/>
                <w:color w:val="auto"/>
              </w:rPr>
              <w:t>5.3%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(30.5)%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Income tax provision (benefit)</w:t>
            </w:r>
          </w:p>
        </w:tc>
        <w:tc>
          <w:tcPr>
            <w:tcW w:w="7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2040" w:type="dxa"/>
            <w:vAlign w:val="bottom"/>
            <w:gridSpan w:val="2"/>
          </w:tcPr>
          <w:p>
            <w:pPr>
              <w:jc w:val="right"/>
              <w:ind w:right="1140"/>
              <w:spacing w:after="0"/>
              <w:rPr>
                <w:sz w:val="20"/>
                <w:szCs w:val="20"/>
                <w:color w:val="auto"/>
              </w:rPr>
            </w:pPr>
            <w:r>
              <w:rPr>
                <w:rFonts w:ascii="Arial" w:cs="Arial" w:eastAsia="Arial" w:hAnsi="Arial"/>
                <w:sz w:val="18"/>
                <w:szCs w:val="18"/>
                <w:color w:val="auto"/>
              </w:rPr>
              <w:t>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Significant components of the Company’s deferred tax assets as of December 31, 2019 and 2020 were as follows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4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3420" w:type="dxa"/>
            <w:vAlign w:val="bottom"/>
          </w:tcPr>
          <w:p>
            <w:pPr>
              <w:ind w:left="360"/>
              <w:spacing w:after="0"/>
              <w:rPr>
                <w:sz w:val="20"/>
                <w:szCs w:val="20"/>
                <w:color w:val="auto"/>
              </w:rPr>
            </w:pPr>
            <w:r>
              <w:rPr>
                <w:rFonts w:ascii="Arial" w:cs="Arial" w:eastAsia="Arial" w:hAnsi="Arial"/>
                <w:sz w:val="18"/>
                <w:szCs w:val="18"/>
                <w:color w:val="auto"/>
              </w:rPr>
              <w:t>Net operating loss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4,358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6,354</w:t>
            </w: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R&amp;D credit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1,681</w:t>
            </w:r>
          </w:p>
        </w:tc>
      </w:tr>
      <w:tr>
        <w:trPr>
          <w:trHeight w:val="216"/>
        </w:trPr>
        <w:tc>
          <w:tcPr>
            <w:tcW w:w="3420" w:type="dxa"/>
            <w:vAlign w:val="bottom"/>
          </w:tcPr>
          <w:p>
            <w:pPr>
              <w:ind w:left="360"/>
              <w:spacing w:after="0"/>
              <w:rPr>
                <w:sz w:val="20"/>
                <w:szCs w:val="20"/>
                <w:color w:val="auto"/>
              </w:rPr>
            </w:pPr>
            <w:r>
              <w:rPr>
                <w:rFonts w:ascii="Arial" w:cs="Arial" w:eastAsia="Arial" w:hAnsi="Arial"/>
                <w:sz w:val="18"/>
                <w:szCs w:val="18"/>
                <w:color w:val="auto"/>
              </w:rPr>
              <w:t>Stock compensation</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r>
      <w:tr>
        <w:trPr>
          <w:trHeight w:val="27"/>
        </w:trPr>
        <w:tc>
          <w:tcPr>
            <w:tcW w:w="3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8,120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Valuation allowance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(5,784)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(8,120)</w:t>
            </w:r>
          </w:p>
        </w:tc>
      </w:tr>
      <w:tr>
        <w:trPr>
          <w:trHeight w:val="27"/>
        </w:trPr>
        <w:tc>
          <w:tcPr>
            <w:tcW w:w="3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 of allowance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3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assessing the realizability of deferred tax assets as of December 31, 2019 and 2020, management considered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or the NOL carryforwards and R&amp;D tax credit carryforwards will be used. The Company has determined that it is not more likely than not that its deferred tax assets will be realized. Accordingly, a valuation allowance for the full amount of the net deferred tax assets has been recorded as of December 31, 2019 and 2020 and March 31, 2021. The change in the valuation allowance from December 31, 2019 to December 31, 2020 is due to the pretax loss incurred for the year ended December 31, 2020.</w:t>
      </w:r>
    </w:p>
    <w:p>
      <w:pPr>
        <w:spacing w:after="0" w:line="16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As of December 31, 2020, the Company had approximately $22.3 million of NOL carryforwards available for federal tax purposes which begin to expire on December 31, 2028. As a result of the Tax Act of 2017, for U.S. income tax purposes, NOLs generated prior to December 31, 2017 can still be carried forward for up to 20 years, but NOLs generated after December 31, 2017 carryforward indefinitely, but are limited to 80% utilization against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8" w:lineRule="exact"/>
        <w:rPr>
          <w:sz w:val="20"/>
          <w:szCs w:val="20"/>
          <w:color w:val="auto"/>
        </w:rPr>
      </w:pPr>
    </w:p>
    <w:p>
      <w:pPr>
        <w:ind w:left="120" w:right="20"/>
        <w:spacing w:after="0" w:line="258" w:lineRule="auto"/>
        <w:rPr>
          <w:sz w:val="20"/>
          <w:szCs w:val="20"/>
          <w:color w:val="auto"/>
        </w:rPr>
      </w:pPr>
      <w:r>
        <w:rPr>
          <w:rFonts w:ascii="Arial" w:cs="Arial" w:eastAsia="Arial" w:hAnsi="Arial"/>
          <w:sz w:val="18"/>
          <w:szCs w:val="18"/>
          <w:color w:val="auto"/>
        </w:rPr>
        <w:t>taxable income. Of the total federal NOL of $22.3 million, $6.4 million will begin to expire in 2028 and $15.9 million will not expire but will only offset 80% of future taxable income. The Coronavirus Aid, Relief, and</w:t>
      </w:r>
    </w:p>
    <w:p>
      <w:pPr>
        <w:spacing w:after="0" w:line="1" w:lineRule="exact"/>
        <w:rPr>
          <w:sz w:val="20"/>
          <w:szCs w:val="20"/>
          <w:color w:val="auto"/>
        </w:rPr>
      </w:pPr>
    </w:p>
    <w:p>
      <w:pPr>
        <w:ind w:left="120" w:right="2460"/>
        <w:spacing w:after="0" w:line="302" w:lineRule="auto"/>
        <w:rPr>
          <w:sz w:val="20"/>
          <w:szCs w:val="20"/>
          <w:color w:val="auto"/>
        </w:rPr>
      </w:pPr>
      <w:r>
        <w:rPr>
          <w:rFonts w:ascii="Arial" w:cs="Arial" w:eastAsia="Arial" w:hAnsi="Arial"/>
          <w:sz w:val="16"/>
          <w:szCs w:val="16"/>
          <w:color w:val="auto"/>
        </w:rPr>
        <w:t>Economic Security Act (“CARES Act”), signed into law on March 27, 2020, provided that NOLs generated in a taxable year beginning in 2018, 2019, or 2020, may now be carried back five years and forward indefinitely. In addition, the 80% taxable income limitation is temporarily removed, allowing NOLs to fully offset net taxable income.</w:t>
      </w:r>
    </w:p>
    <w:p>
      <w:pPr>
        <w:spacing w:after="0" w:line="155"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As of December 31, 2020, the Company also had approximately $31.0 million of state NOL carryforwards. The state NOLs begin to expire on December 31, 2028.</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of December 31, 2020, the Company had approximately $1.7 million of R&amp;D credit carryforwards available for federal tax purposes, which begin to expire on December 31, 2023.</w:t>
      </w:r>
    </w:p>
    <w:p>
      <w:pPr>
        <w:spacing w:after="0" w:line="170"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NOL carryforwards and R&amp;D carryforwards may be subject to a substantial annual limitation due to ownership change limitations that may have occurred or that could occur in the future, as required by Section 382 of the Internal Revenue Code of 1986, as amended (the “Code”), as well as similar state and foreign provisions. These ownership changes may limit the amount of NOL and R&amp;D credit carryforwards that can be used annually to offset future taxable income and tax, respectively. In general, an “ownership change” as defined by Section 382 of the Code results from a transaction or series of transactions over a three-year period resulting in an ownership change of more than 50% of the outstanding stock of a company by certain stockholders. The Company has not completed a study to assess whether an ownership change has occurred or whether there have been multiple ownership changes since the Company’s formation due to the complexity and cost associated with such study, and the fact that there may be additional such ownership changes in the future.</w:t>
      </w:r>
    </w:p>
    <w:p>
      <w:pPr>
        <w:spacing w:after="0" w:line="17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Company conducts intensive research and experimentation activities, generating R&amp;D tax credits for federal and state purposes under section 41 of the Code. The Company has not performed a formal study validating these credits claimed in the tax returns. Once a study is prepared, the amount of R&amp;D tax credits available could vary from what was originally claimed on the tax returns.</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Company is subject to U.S. federal and various state taxes. Generally, the tax years remain open for examination by the federal statute under a three-year statute of limitation; however, states generally keep their statutes open for four years. However, the Company’s tax years from 2003 and after are subject to examination by the United States and state taxing authorities due to the carry forward of unused NOLs and R&amp;D credits.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Company has been subleasing space in Indiana since March 1, 2020 under a lease that expired on December 31, 2020. The Company executed a new sublease for this space that was effective February 1, 2021. The term of the sublease is for 31 months, expiring on August 30, 2023. The Company will pay monthly rent of $12,719 and is also allowing others to sublease a portion of the space from the Company for less than a one-year period. As of March 31, 2021, the remaining aggregate minimum rent obligation over the remaining term was approximately $369,000.</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as of March 31, 2021 and thereafter and for the three months ended March 31, 2020 and 2021 is unaudited)</w:t>
      </w:r>
    </w:p>
    <w:p>
      <w:pPr>
        <w:spacing w:after="0" w:line="23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At March 31, 2021, future minimum lease payments under lease agreements (including short-term leases) associated with our operations were as follows (in thousands):</w:t>
      </w:r>
    </w:p>
    <w:p>
      <w:pPr>
        <w:spacing w:after="0" w:line="212"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2021 (remaining 9 months)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$117</w:t>
            </w:r>
          </w:p>
        </w:tc>
        <w:tc>
          <w:tcPr>
            <w:tcW w:w="6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371</w:t>
            </w:r>
          </w:p>
        </w:tc>
        <w:tc>
          <w:tcPr>
            <w:tcW w:w="6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NET LOSS PER SHARE</w:t>
      </w:r>
    </w:p>
    <w:p>
      <w:pPr>
        <w:spacing w:after="0" w:line="121"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The Company computes loss per common share of the common stock using the two-class method required for participating securities. Basic and diluted loss per share was the same for each period presented as the inclusion of all potential common stock outstanding would have been anti-dilutive.</w:t>
      </w:r>
    </w:p>
    <w:p>
      <w:pPr>
        <w:spacing w:after="0" w:line="12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table below provides potentially dilutive securities not included in the calculation of the diluted net loss per common share because to do so would be anti-dilutive:</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380" w:type="dxa"/>
            <w:vAlign w:val="bottom"/>
            <w:gridSpan w:val="3"/>
          </w:tcPr>
          <w:p>
            <w:pPr>
              <w:jc w:val="right"/>
              <w:ind w:right="510"/>
              <w:spacing w:after="0"/>
              <w:rPr>
                <w:sz w:val="20"/>
                <w:szCs w:val="20"/>
                <w:color w:val="auto"/>
              </w:rPr>
            </w:pPr>
            <w:r>
              <w:rPr>
                <w:rFonts w:ascii="Arial" w:cs="Arial" w:eastAsia="Arial" w:hAnsi="Arial"/>
                <w:sz w:val="14"/>
                <w:szCs w:val="14"/>
                <w:b w:val="1"/>
                <w:bCs w:val="1"/>
                <w:color w:val="auto"/>
              </w:rPr>
              <w:t>For the Year Ended</w:t>
            </w:r>
          </w:p>
        </w:tc>
        <w:tc>
          <w:tcPr>
            <w:tcW w:w="240" w:type="dxa"/>
            <w:vAlign w:val="bottom"/>
          </w:tcPr>
          <w:p>
            <w:pPr>
              <w:spacing w:after="0"/>
              <w:rPr>
                <w:sz w:val="14"/>
                <w:szCs w:val="14"/>
                <w:color w:val="auto"/>
              </w:rPr>
            </w:pPr>
          </w:p>
        </w:tc>
        <w:tc>
          <w:tcPr>
            <w:tcW w:w="24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For the Three Months Ended</w:t>
            </w:r>
          </w:p>
        </w:tc>
      </w:tr>
      <w:tr>
        <w:trPr>
          <w:trHeight w:val="171"/>
        </w:trPr>
        <w:tc>
          <w:tcPr>
            <w:tcW w:w="4320" w:type="dxa"/>
            <w:vAlign w:val="bottom"/>
          </w:tcPr>
          <w:p>
            <w:pPr>
              <w:spacing w:after="0"/>
              <w:rPr>
                <w:sz w:val="14"/>
                <w:szCs w:val="14"/>
                <w:color w:val="auto"/>
              </w:rPr>
            </w:pPr>
          </w:p>
        </w:tc>
        <w:tc>
          <w:tcPr>
            <w:tcW w:w="23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560" w:type="dxa"/>
            <w:vAlign w:val="bottom"/>
            <w:tcBorders>
              <w:bottom w:val="single" w:sz="8" w:color="auto"/>
            </w:tcBorders>
            <w:gridSpan w:val="3"/>
          </w:tcPr>
          <w:p>
            <w:pPr>
              <w:jc w:val="center"/>
              <w:ind w:left="761"/>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106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2019</w:t>
            </w:r>
          </w:p>
        </w:tc>
        <w:tc>
          <w:tcPr>
            <w:tcW w:w="1320" w:type="dxa"/>
            <w:vAlign w:val="bottom"/>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080" w:type="dxa"/>
            <w:vAlign w:val="bottom"/>
          </w:tcPr>
          <w:p>
            <w:pPr>
              <w:jc w:val="right"/>
              <w:ind w:right="32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182"/>
        </w:trPr>
        <w:tc>
          <w:tcPr>
            <w:tcW w:w="4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Shares issuable upon conversion of Series A Preferred</w:t>
            </w:r>
          </w:p>
        </w:tc>
        <w:tc>
          <w:tcPr>
            <w:tcW w:w="10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711,203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711,203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711,203</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711,203</w:t>
            </w:r>
          </w:p>
        </w:tc>
        <w:tc>
          <w:tcPr>
            <w:tcW w:w="80" w:type="dxa"/>
            <w:vAlign w:val="bottom"/>
            <w:shd w:val="clear" w:color="auto" w:fill="CCEEFF"/>
          </w:tcPr>
          <w:p>
            <w:pPr>
              <w:spacing w:after="0"/>
              <w:rPr>
                <w:sz w:val="20"/>
                <w:szCs w:val="20"/>
                <w:color w:val="auto"/>
              </w:rPr>
            </w:pPr>
          </w:p>
        </w:tc>
      </w:tr>
      <w:tr>
        <w:trPr>
          <w:trHeight w:val="202"/>
        </w:trPr>
        <w:tc>
          <w:tcPr>
            <w:tcW w:w="4320" w:type="dxa"/>
            <w:vAlign w:val="bottom"/>
          </w:tcPr>
          <w:p>
            <w:pPr>
              <w:spacing w:after="0" w:line="201" w:lineRule="exact"/>
              <w:rPr>
                <w:sz w:val="20"/>
                <w:szCs w:val="20"/>
                <w:color w:val="auto"/>
              </w:rPr>
            </w:pPr>
            <w:r>
              <w:rPr>
                <w:rFonts w:ascii="Arial" w:cs="Arial" w:eastAsia="Arial" w:hAnsi="Arial"/>
                <w:sz w:val="18"/>
                <w:szCs w:val="18"/>
                <w:color w:val="auto"/>
                <w:w w:val="94"/>
              </w:rPr>
              <w:t>Shares issuable upon conversion of Series A-1 Preferred</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tcPr>
          <w:p>
            <w:pPr>
              <w:jc w:val="right"/>
              <w:spacing w:after="0"/>
              <w:rPr>
                <w:sz w:val="20"/>
                <w:szCs w:val="20"/>
                <w:color w:val="auto"/>
              </w:rPr>
            </w:pPr>
            <w:r>
              <w:rPr>
                <w:rFonts w:ascii="Arial" w:cs="Arial" w:eastAsia="Arial" w:hAnsi="Arial"/>
                <w:sz w:val="18"/>
                <w:szCs w:val="18"/>
                <w:color w:val="auto"/>
              </w:rPr>
              <w:t>11,231,511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11,231,511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11,231,511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11,231,511</w:t>
            </w:r>
          </w:p>
        </w:tc>
        <w:tc>
          <w:tcPr>
            <w:tcW w:w="80" w:type="dxa"/>
            <w:vAlign w:val="bottom"/>
          </w:tcPr>
          <w:p>
            <w:pPr>
              <w:spacing w:after="0"/>
              <w:rPr>
                <w:sz w:val="20"/>
                <w:szCs w:val="20"/>
                <w:color w:val="auto"/>
              </w:rPr>
            </w:pPr>
          </w:p>
        </w:tc>
      </w:tr>
      <w:tr>
        <w:trPr>
          <w:trHeight w:val="202"/>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Shares issuable upon conversion of Series B Preferred</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17,674,469</w:t>
            </w:r>
          </w:p>
        </w:tc>
        <w:tc>
          <w:tcPr>
            <w:tcW w:w="24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17,674,469</w:t>
            </w:r>
          </w:p>
        </w:tc>
        <w:tc>
          <w:tcPr>
            <w:tcW w:w="80" w:type="dxa"/>
            <w:vAlign w:val="bottom"/>
            <w:shd w:val="clear" w:color="auto" w:fill="CCEEFF"/>
          </w:tcPr>
          <w:p>
            <w:pPr>
              <w:spacing w:after="0"/>
              <w:rPr>
                <w:sz w:val="20"/>
                <w:szCs w:val="20"/>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Shares issuable upon exercise of 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1,497,343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1,492,303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1,497,343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5,187,014</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3"/>
              </w:rPr>
              <w:t>Shares issuable upon exercise of common stock warrants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574,760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574,760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574,760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574,760</w:t>
            </w:r>
          </w:p>
        </w:tc>
        <w:tc>
          <w:tcPr>
            <w:tcW w:w="80" w:type="dxa"/>
            <w:vAlign w:val="bottom"/>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w w:val="94"/>
              </w:rPr>
              <w:t>Shares issuable upon exercise of preferred stock warrant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666,666</w:t>
            </w:r>
          </w:p>
        </w:tc>
        <w:tc>
          <w:tcPr>
            <w:tcW w:w="2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666,666</w:t>
            </w:r>
          </w:p>
        </w:tc>
        <w:tc>
          <w:tcPr>
            <w:tcW w:w="2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666,666</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666,666</w:t>
            </w:r>
          </w:p>
        </w:tc>
        <w:tc>
          <w:tcPr>
            <w:tcW w:w="80" w:type="dxa"/>
            <w:vAlign w:val="bottom"/>
          </w:tcPr>
          <w:p>
            <w:pPr>
              <w:spacing w:after="0"/>
              <w:rPr>
                <w:sz w:val="19"/>
                <w:szCs w:val="19"/>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14,681,483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32,350,912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14,681,483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36,045,623</w:t>
            </w:r>
          </w:p>
        </w:tc>
        <w:tc>
          <w:tcPr>
            <w:tcW w:w="8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1060" w:type="dxa"/>
            <w:vAlign w:val="bottom"/>
          </w:tcPr>
          <w:p>
            <w:pPr>
              <w:jc w:val="right"/>
              <w:ind w:right="415"/>
              <w:spacing w:after="0"/>
              <w:rPr>
                <w:sz w:val="20"/>
                <w:szCs w:val="20"/>
                <w:color w:val="auto"/>
              </w:rPr>
            </w:pPr>
            <w:r>
              <w:rPr>
                <w:rFonts w:ascii="Arial" w:cs="Arial" w:eastAsia="Arial" w:hAnsi="Arial"/>
                <w:sz w:val="18"/>
                <w:szCs w:val="18"/>
                <w:color w:val="auto"/>
              </w:rPr>
              <w:t>F-25</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280035</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320" w:top="459"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Through and including , 2021 (the 25th day after the commencement of this offering), all dealers that buy, sell or trade shares of our common stock,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1764030</wp:posOffset>
            </wp:positionV>
            <wp:extent cx="3103245" cy="5746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10324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BofA Securities</w:t>
      </w:r>
    </w:p>
    <w:p>
      <w:pPr>
        <w:spacing w:after="0" w:line="213"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Credit Suisse</w:t>
      </w:r>
    </w:p>
    <w:p>
      <w:pPr>
        <w:spacing w:after="0" w:line="213"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Stifel</w:t>
      </w:r>
    </w:p>
    <w:p>
      <w:pPr>
        <w:sectPr>
          <w:pgSz w:w="11900" w:h="16838" w:orient="portrait"/>
          <w:cols w:equalWidth="0" w:num="1">
            <w:col w:w="10980"/>
          </w:cols>
          <w:pgMar w:left="320" w:top="459" w:right="599" w:bottom="1440" w:gutter="0" w:footer="0" w:header="0"/>
          <w:type w:val="continuous"/>
        </w:sectPr>
      </w:pPr>
    </w:p>
    <w:p>
      <w:pPr>
        <w:spacing w:after="0" w:line="231" w:lineRule="exact"/>
        <w:rPr>
          <w:sz w:val="20"/>
          <w:szCs w:val="20"/>
          <w:color w:val="auto"/>
        </w:rPr>
      </w:pPr>
    </w:p>
    <w:p>
      <w:pPr>
        <w:jc w:val="center"/>
        <w:ind w:right="-259"/>
        <w:spacing w:after="0"/>
        <w:rPr>
          <w:sz w:val="20"/>
          <w:szCs w:val="20"/>
          <w:color w:val="auto"/>
        </w:rPr>
      </w:pPr>
      <w:r>
        <w:rPr>
          <w:rFonts w:ascii="Arial" w:cs="Arial" w:eastAsia="Arial" w:hAnsi="Arial"/>
          <w:sz w:val="23"/>
          <w:szCs w:val="23"/>
          <w:b w:val="1"/>
          <w:bCs w:val="1"/>
          <w:color w:val="auto"/>
        </w:rPr>
        <w:t>UBS Investment Bank</w:t>
      </w:r>
    </w:p>
    <w:p>
      <w:pPr>
        <w:sectPr>
          <w:pgSz w:w="11900" w:h="16838" w:orient="portrait"/>
          <w:cols w:equalWidth="0" w:num="1">
            <w:col w:w="10980"/>
          </w:cols>
          <w:pgMar w:left="320" w:top="459" w:right="599" w:bottom="1440" w:gutter="0" w:footer="0" w:header="0"/>
          <w:type w:val="continuous"/>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1683385</wp:posOffset>
            </wp:positionV>
            <wp:extent cx="6995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1726565</wp:posOffset>
            </wp:positionV>
            <wp:extent cx="6995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225" w:lineRule="exact"/>
        <w:rPr>
          <w:sz w:val="20"/>
          <w:szCs w:val="20"/>
          <w:color w:val="auto"/>
        </w:rPr>
      </w:pPr>
    </w:p>
    <w:p>
      <w:pPr>
        <w:jc w:val="both"/>
        <w:ind w:left="120" w:firstLine="881"/>
        <w:spacing w:after="0" w:line="311" w:lineRule="auto"/>
        <w:rPr>
          <w:sz w:val="20"/>
          <w:szCs w:val="20"/>
          <w:color w:val="auto"/>
        </w:rPr>
      </w:pPr>
      <w:r>
        <w:rPr>
          <w:rFonts w:ascii="Arial" w:cs="Arial" w:eastAsia="Arial" w:hAnsi="Arial"/>
          <w:sz w:val="16"/>
          <w:szCs w:val="16"/>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or SEC, registration fee, the Financial Industry Regulatory Authority, Inc., or FINRA, filing fee and the Nasdaq Global Market initial listing fee.</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gridSpan w:val="2"/>
          </w:tcPr>
          <w:p>
            <w:pPr>
              <w:spacing w:after="0"/>
              <w:rPr>
                <w:sz w:val="14"/>
                <w:szCs w:val="14"/>
                <w:color w:val="auto"/>
              </w:rPr>
            </w:pPr>
          </w:p>
        </w:tc>
      </w:tr>
      <w:tr>
        <w:trPr>
          <w:trHeight w:val="209"/>
        </w:trPr>
        <w:tc>
          <w:tcPr>
            <w:tcW w:w="80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$10,910</w:t>
            </w:r>
          </w:p>
        </w:tc>
        <w:tc>
          <w:tcPr>
            <w:tcW w:w="140" w:type="dxa"/>
            <w:vAlign w:val="bottom"/>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15,500</w:t>
            </w:r>
          </w:p>
        </w:tc>
        <w:tc>
          <w:tcPr>
            <w:tcW w:w="14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Global Market initial listing fee</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0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Accountants’ fees and expenses</w:t>
            </w: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0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0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Blue sky fees and expenses</w:t>
            </w: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0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agent’s fees and expenses</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0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0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400" w:type="dxa"/>
            <w:vAlign w:val="bottom"/>
            <w:gridSpan w:val="3"/>
          </w:tcPr>
          <w:p>
            <w:pPr>
              <w:ind w:left="800"/>
              <w:spacing w:after="0"/>
              <w:rPr>
                <w:sz w:val="20"/>
                <w:szCs w:val="20"/>
                <w:color w:val="auto"/>
              </w:rPr>
            </w:pPr>
            <w:r>
              <w:rPr>
                <w:rFonts w:ascii="Arial" w:cs="Arial" w:eastAsia="Arial" w:hAnsi="Arial"/>
                <w:sz w:val="18"/>
                <w:szCs w:val="18"/>
                <w:color w:val="auto"/>
              </w:rPr>
              <w:t>Total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0"/>
        </w:trPr>
        <w:tc>
          <w:tcPr>
            <w:tcW w:w="2860" w:type="dxa"/>
            <w:vAlign w:val="bottom"/>
            <w:gridSpan w:val="2"/>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2860" w:type="dxa"/>
            <w:vAlign w:val="bottom"/>
            <w:tcBorders>
              <w:bottom w:val="single" w:sz="8" w:color="auto"/>
            </w:tcBorders>
            <w:gridSpan w:val="2"/>
          </w:tcPr>
          <w:p>
            <w:pPr>
              <w:spacing w:after="0"/>
              <w:rPr>
                <w:sz w:val="11"/>
                <w:szCs w:val="11"/>
                <w:color w:val="auto"/>
              </w:rPr>
            </w:pPr>
          </w:p>
        </w:tc>
        <w:tc>
          <w:tcPr>
            <w:tcW w:w="6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50"/>
        </w:trPr>
        <w:tc>
          <w:tcPr>
            <w:tcW w:w="9400" w:type="dxa"/>
            <w:vAlign w:val="bottom"/>
            <w:gridSpan w:val="3"/>
          </w:tcPr>
          <w:p>
            <w:pPr>
              <w:spacing w:after="0"/>
              <w:rPr>
                <w:sz w:val="20"/>
                <w:szCs w:val="20"/>
                <w:color w:val="auto"/>
              </w:rPr>
            </w:pPr>
            <w:r>
              <w:rPr>
                <w:rFonts w:ascii="Arial" w:cs="Arial" w:eastAsia="Arial" w:hAnsi="Arial"/>
                <w:sz w:val="18"/>
                <w:szCs w:val="18"/>
                <w:color w:val="auto"/>
              </w:rPr>
              <w:t>*  To be provided by amendment</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8"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66"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As permitted by the Delaware General Corporation Law, our amended and restated certificate of incorporation and bylaws to be in effect upon the closing of this offering will provide that: (i) we are required to indemnify our directors to the fullest extent permitted by the Delaware General Corporation Law; (ii) we may, in our discretion, indemnify our officers, employees and agents as set forth in the Delaware General Corporation Law;</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hanging="4"/>
        <w:spacing w:after="0" w:line="263" w:lineRule="auto"/>
        <w:tabs>
          <w:tab w:leader="none" w:pos="4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w:t>
      </w:r>
    </w:p>
    <w:p>
      <w:pPr>
        <w:spacing w:after="0" w:line="184"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In connection with this offering, we expect to enter into indemnification agreements with each of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will also set forth certain procedures that will apply in the event of a claim for indemnification thereunder. We intend to enter into similar indemnification agreements with our executive officers prior to the completion of this offering. At present, no litigation or proceeding is pending that involves any of our directors or officers regarding which indemnification is sought, nor are we aware of any threatened litigation that may result in claims for indemnification.</w:t>
      </w:r>
    </w:p>
    <w:p>
      <w:pPr>
        <w:spacing w:after="0" w:line="16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84"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In addition, the underwriting agreement filed as Exhibit 1.1 to this Registration Statement provides for indemnification by the underwriters of us and our officers and directors for certain liabilities arising under the Securities Act, or otherwise. Our amended and restated investor rights agreement with certain investors also provides for cross-indemnification in connection with the registration of our common stock on behalf of such investors.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following list sets forth information regarding all unregistered securities sold by us since January 2018 through the date of the prospectus that forms a part of this registration statement. None of the following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Issuances of Common Stock</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not issued any common stock since January 2018.</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Issuances of Convertible Notes</w:t>
      </w:r>
    </w:p>
    <w:p>
      <w:pPr>
        <w:spacing w:after="0" w:line="225"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In May 2018, we issued and sold convertible promissory notes to two individual and institutional accredited investors, pursuant to which we issued and sold $250,000 aggregate principal amount of convertible promissory notes in exchange for $250,000 in gross proceeds.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Issuances of Preferred Stock</w:t>
      </w:r>
    </w:p>
    <w:p>
      <w:pPr>
        <w:spacing w:after="0" w:line="225"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In October 2018 with subsequent closings through November 2019, we issued 2,159,332 shares of our Series A convertible preferred stock and 11,231,512 shares of our Series A-1 convertible preferred stock to 46 individual and institutional accredited investors. Of these shares, we sold an aggregate of 9,600,066 shares of our Series A-1 convertible preferred stock for $1.50 per share, for aggregate consideration of $14.4 million. The remaining shares were issued as conversions of notes and shares of common stock into shares of Series A convertible preferred stock and conversions of Series A convertible preferred stock into shares of Series A-1 convertible preferred stock.</w:t>
      </w:r>
    </w:p>
    <w:p>
      <w:pPr>
        <w:spacing w:after="0" w:line="176"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In November 2020, we issued 17,674,469 shares of our Series B convertible preferred stock to 31 individual and institutional accredited investors for $2.55 per share, for aggregate consideration of $45.1 million.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Issuances of Warrants</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In October 2018, we issued a warrant to purchase 666,666 shares of our Series A-1 preferred stock, with a per-share exercise price of $1.875 per share to an accredited institutional investor.</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Issuances Pursuant to our Equity Plans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From January 1, 2018 through the date of this registration statement, we granted options under our Amended and Restated Stock</w:t>
      </w:r>
    </w:p>
    <w:p>
      <w:pPr>
        <w:spacing w:after="0" w:line="35" w:lineRule="exact"/>
        <w:rPr>
          <w:sz w:val="20"/>
          <w:szCs w:val="20"/>
          <w:color w:val="auto"/>
        </w:rPr>
      </w:pPr>
    </w:p>
    <w:p>
      <w:pPr>
        <w:ind w:left="120"/>
        <w:spacing w:after="0"/>
        <w:tabs>
          <w:tab w:leader="none" w:pos="4040" w:val="left"/>
        </w:tabs>
        <w:rPr>
          <w:sz w:val="20"/>
          <w:szCs w:val="20"/>
          <w:color w:val="auto"/>
        </w:rPr>
      </w:pPr>
      <w:r>
        <w:rPr>
          <w:rFonts w:ascii="Arial" w:cs="Arial" w:eastAsia="Arial" w:hAnsi="Arial"/>
          <w:sz w:val="18"/>
          <w:szCs w:val="18"/>
          <w:color w:val="auto"/>
        </w:rPr>
        <w:t>Performance Plan to purchase an aggregate of</w:t>
      </w:r>
      <w:r>
        <w:rPr>
          <w:sz w:val="20"/>
          <w:szCs w:val="20"/>
          <w:color w:val="auto"/>
        </w:rPr>
        <w:tab/>
      </w:r>
      <w:r>
        <w:rPr>
          <w:rFonts w:ascii="Arial" w:cs="Arial" w:eastAsia="Arial" w:hAnsi="Arial"/>
          <w:sz w:val="16"/>
          <w:szCs w:val="16"/>
          <w:color w:val="auto"/>
        </w:rPr>
        <w:t>shares of common stock, at</w:t>
      </w:r>
    </w:p>
    <w:p>
      <w:pPr>
        <w:spacing w:after="0" w:line="9" w:lineRule="exact"/>
        <w:rPr>
          <w:sz w:val="20"/>
          <w:szCs w:val="20"/>
          <w:color w:val="auto"/>
        </w:rPr>
      </w:pPr>
    </w:p>
    <w:p>
      <w:pPr>
        <w:ind w:left="120"/>
        <w:spacing w:after="0"/>
        <w:tabs>
          <w:tab w:leader="none" w:pos="3260" w:val="left"/>
          <w:tab w:leader="none" w:pos="7780" w:val="left"/>
        </w:tabs>
        <w:rPr>
          <w:sz w:val="20"/>
          <w:szCs w:val="20"/>
          <w:color w:val="auto"/>
        </w:rPr>
      </w:pPr>
      <w:r>
        <w:rPr>
          <w:rFonts w:ascii="Arial" w:cs="Arial" w:eastAsia="Arial" w:hAnsi="Arial"/>
          <w:sz w:val="18"/>
          <w:szCs w:val="18"/>
          <w:color w:val="auto"/>
        </w:rPr>
        <w:t>a weighted average exercise price of $</w:t>
      </w:r>
      <w:r>
        <w:rPr>
          <w:sz w:val="20"/>
          <w:szCs w:val="20"/>
          <w:color w:val="auto"/>
        </w:rPr>
        <w:tab/>
      </w:r>
      <w:r>
        <w:rPr>
          <w:rFonts w:ascii="Arial" w:cs="Arial" w:eastAsia="Arial" w:hAnsi="Arial"/>
          <w:sz w:val="18"/>
          <w:szCs w:val="18"/>
          <w:color w:val="auto"/>
        </w:rPr>
        <w:t>per share, to our employees and consultants. Of these,</w:t>
      </w:r>
      <w:r>
        <w:rPr>
          <w:sz w:val="20"/>
          <w:szCs w:val="20"/>
          <w:color w:val="auto"/>
        </w:rPr>
        <w:tab/>
      </w:r>
      <w:r>
        <w:rPr>
          <w:rFonts w:ascii="Arial" w:cs="Arial" w:eastAsia="Arial" w:hAnsi="Arial"/>
          <w:sz w:val="15"/>
          <w:szCs w:val="15"/>
          <w:color w:val="auto"/>
        </w:rPr>
        <w:t>shares have been issued upon the exercise of</w:t>
      </w:r>
    </w:p>
    <w:p>
      <w:pPr>
        <w:spacing w:after="0" w:line="9" w:lineRule="exact"/>
        <w:rPr>
          <w:sz w:val="20"/>
          <w:szCs w:val="20"/>
          <w:color w:val="auto"/>
        </w:rPr>
      </w:pPr>
    </w:p>
    <w:p>
      <w:pPr>
        <w:ind w:left="120"/>
        <w:spacing w:after="0"/>
        <w:tabs>
          <w:tab w:leader="none" w:pos="1600" w:val="left"/>
        </w:tabs>
        <w:rPr>
          <w:sz w:val="20"/>
          <w:szCs w:val="20"/>
          <w:color w:val="auto"/>
        </w:rPr>
      </w:pPr>
      <w:r>
        <w:rPr>
          <w:rFonts w:ascii="Arial" w:cs="Arial" w:eastAsia="Arial" w:hAnsi="Arial"/>
          <w:sz w:val="18"/>
          <w:szCs w:val="18"/>
          <w:color w:val="auto"/>
        </w:rPr>
        <w:t>options, and</w:t>
      </w:r>
      <w:r>
        <w:rPr>
          <w:sz w:val="20"/>
          <w:szCs w:val="20"/>
          <w:color w:val="auto"/>
        </w:rPr>
        <w:tab/>
      </w:r>
      <w:r>
        <w:rPr>
          <w:rFonts w:ascii="Arial" w:cs="Arial" w:eastAsia="Arial" w:hAnsi="Arial"/>
          <w:sz w:val="16"/>
          <w:szCs w:val="16"/>
          <w:color w:val="auto"/>
        </w:rPr>
        <w:t>options have been cancelled. We have also granted no restricted stock awards under our Amended and Restated Stock Performance</w:t>
      </w:r>
    </w:p>
    <w:p>
      <w:pPr>
        <w:spacing w:after="0" w:line="9"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Plan during the same time period. The recipients of these securities were employees, directors or bona fide consultants of the Registrant and received the securities under the Prior Plan.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0520" w:type="dxa"/>
            <w:vAlign w:val="bottom"/>
            <w:gridSpan w:val="8"/>
          </w:tcPr>
          <w:p>
            <w:pPr>
              <w:ind w:left="380"/>
              <w:spacing w:after="0"/>
              <w:rPr>
                <w:sz w:val="20"/>
                <w:szCs w:val="20"/>
                <w:color w:val="auto"/>
              </w:rPr>
            </w:pPr>
            <w:r>
              <w:rPr>
                <w:rFonts w:ascii="Arial" w:cs="Arial" w:eastAsia="Arial" w:hAnsi="Arial"/>
                <w:sz w:val="18"/>
                <w:szCs w:val="18"/>
                <w:color w:val="auto"/>
              </w:rPr>
              <w:t>(a) Exhibits.</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0520" w:type="dxa"/>
            <w:vAlign w:val="bottom"/>
            <w:gridSpan w:val="8"/>
          </w:tcPr>
          <w:p>
            <w:pPr>
              <w:ind w:left="380"/>
              <w:spacing w:after="0"/>
              <w:rPr>
                <w:sz w:val="20"/>
                <w:szCs w:val="20"/>
                <w:color w:val="auto"/>
              </w:rPr>
            </w:pPr>
            <w:r>
              <w:rPr>
                <w:rFonts w:ascii="Arial" w:cs="Arial" w:eastAsia="Arial" w:hAnsi="Arial"/>
                <w:sz w:val="18"/>
                <w:szCs w:val="18"/>
                <w:color w:val="auto"/>
              </w:rPr>
              <w:t>The exhibits listed below are filed as part of this registration.</w:t>
            </w:r>
          </w:p>
        </w:tc>
        <w:tc>
          <w:tcPr>
            <w:tcW w:w="0" w:type="dxa"/>
            <w:vAlign w:val="bottom"/>
          </w:tcPr>
          <w:p>
            <w:pPr>
              <w:spacing w:after="0"/>
              <w:rPr>
                <w:sz w:val="1"/>
                <w:szCs w:val="1"/>
                <w:color w:val="auto"/>
              </w:rPr>
            </w:pPr>
          </w:p>
        </w:tc>
      </w:tr>
      <w:tr>
        <w:trPr>
          <w:trHeight w:val="369"/>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60" w:type="dxa"/>
            <w:vAlign w:val="bottom"/>
            <w:gridSpan w:val="5"/>
            <w:vMerge w:val="restart"/>
          </w:tcPr>
          <w:p>
            <w:pPr>
              <w:ind w:left="28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46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500" w:type="dxa"/>
            <w:vAlign w:val="bottom"/>
          </w:tcPr>
          <w:p>
            <w:pPr>
              <w:ind w:left="8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4"/>
                <w:szCs w:val="24"/>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24"/>
                <w:szCs w:val="24"/>
                <w:color w:val="auto"/>
              </w:rPr>
            </w:pPr>
          </w:p>
        </w:tc>
        <w:tc>
          <w:tcPr>
            <w:tcW w:w="9920" w:type="dxa"/>
            <w:vAlign w:val="bottom"/>
            <w:gridSpan w:val="7"/>
          </w:tcPr>
          <w:p>
            <w:pPr>
              <w:spacing w:after="0"/>
              <w:rPr>
                <w:rFonts w:ascii="Arial" w:cs="Arial" w:eastAsia="Arial" w:hAnsi="Arial"/>
                <w:sz w:val="18"/>
                <w:szCs w:val="18"/>
                <w:color w:val="0000EE"/>
              </w:rPr>
            </w:pPr>
            <w:hyperlink w:anchor="page223">
              <w:r>
                <w:rPr>
                  <w:rFonts w:ascii="Arial" w:cs="Arial" w:eastAsia="Arial" w:hAnsi="Arial"/>
                  <w:sz w:val="18"/>
                  <w:szCs w:val="18"/>
                  <w:color w:val="0000EE"/>
                </w:rPr>
                <w:t>Amended and Restated Certificate of Incorporation of the Registrant (as amended and currently in effect)</w:t>
              </w:r>
            </w:hyperlink>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246">
              <w:r>
                <w:rPr>
                  <w:rFonts w:ascii="Arial" w:cs="Arial" w:eastAsia="Arial" w:hAnsi="Arial"/>
                  <w:sz w:val="18"/>
                  <w:szCs w:val="18"/>
                  <w:color w:val="0000EE"/>
                  <w:w w:val="91"/>
                </w:rPr>
                <w:t>Amended and Restated Bylaws of the Registrant (currently in effect)</w:t>
              </w:r>
            </w:hyperlink>
          </w:p>
        </w:tc>
        <w:tc>
          <w:tcPr>
            <w:tcW w:w="2620" w:type="dxa"/>
            <w:vAlign w:val="bottom"/>
            <w:tcBorders>
              <w:top w:val="single" w:sz="8" w:color="0000EE"/>
            </w:tcBorders>
          </w:tcPr>
          <w:p>
            <w:pPr>
              <w:spacing w:after="0"/>
              <w:rPr>
                <w:sz w:val="24"/>
                <w:szCs w:val="24"/>
                <w:color w:val="auto"/>
              </w:rPr>
            </w:pPr>
          </w:p>
        </w:tc>
        <w:tc>
          <w:tcPr>
            <w:tcW w:w="2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ind w:left="80"/>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24"/>
                <w:szCs w:val="24"/>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w w:val="99"/>
              </w:rPr>
              <w:t>Form of Amended and Restated Certificate of Incorporation of the Registrant (to be effective upon the closing of this offering)</w:t>
            </w:r>
          </w:p>
        </w:tc>
        <w:tc>
          <w:tcPr>
            <w:tcW w:w="0" w:type="dxa"/>
            <w:vAlign w:val="bottom"/>
          </w:tcPr>
          <w:p>
            <w:pPr>
              <w:spacing w:after="0"/>
              <w:rPr>
                <w:sz w:val="1"/>
                <w:szCs w:val="1"/>
                <w:color w:val="auto"/>
              </w:rPr>
            </w:pPr>
          </w:p>
        </w:tc>
      </w:tr>
      <w:tr>
        <w:trPr>
          <w:trHeight w:val="324"/>
        </w:trPr>
        <w:tc>
          <w:tcPr>
            <w:tcW w:w="500" w:type="dxa"/>
            <w:vAlign w:val="bottom"/>
          </w:tcPr>
          <w:p>
            <w:pPr>
              <w:ind w:left="80"/>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24"/>
                <w:szCs w:val="24"/>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Form of Amended and Restated Bylaws of the Registrant (to be effective upon the closing of this offering)</w:t>
            </w:r>
          </w:p>
        </w:tc>
        <w:tc>
          <w:tcPr>
            <w:tcW w:w="0" w:type="dxa"/>
            <w:vAlign w:val="bottom"/>
          </w:tcPr>
          <w:p>
            <w:pPr>
              <w:spacing w:after="0"/>
              <w:rPr>
                <w:sz w:val="1"/>
                <w:szCs w:val="1"/>
                <w:color w:val="auto"/>
              </w:rPr>
            </w:pPr>
          </w:p>
        </w:tc>
      </w:tr>
      <w:tr>
        <w:trPr>
          <w:trHeight w:val="283"/>
        </w:trPr>
        <w:tc>
          <w:tcPr>
            <w:tcW w:w="500" w:type="dxa"/>
            <w:vAlign w:val="bottom"/>
          </w:tcPr>
          <w:p>
            <w:pPr>
              <w:ind w:left="80"/>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4"/>
                <w:szCs w:val="24"/>
                <w:color w:val="auto"/>
              </w:rPr>
            </w:pPr>
          </w:p>
        </w:tc>
        <w:tc>
          <w:tcPr>
            <w:tcW w:w="97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59">
              <w:r>
                <w:rPr>
                  <w:rFonts w:ascii="Arial" w:cs="Arial" w:eastAsia="Arial" w:hAnsi="Arial"/>
                  <w:sz w:val="18"/>
                  <w:szCs w:val="18"/>
                  <w:color w:val="0000EE"/>
                  <w:w w:val="90"/>
                </w:rPr>
                <w:t>Amended and Restated Investors’ Rights Agreement, by and among the Registrant and certain of its stockholders, dated November 20,</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259">
              <w:r>
                <w:rPr>
                  <w:rFonts w:ascii="Arial" w:cs="Arial" w:eastAsia="Arial" w:hAnsi="Arial"/>
                  <w:sz w:val="18"/>
                  <w:szCs w:val="18"/>
                  <w:color w:val="0000EE"/>
                  <w:w w:val="84"/>
                </w:rPr>
                <w:t>2020</w:t>
              </w:r>
            </w:hyperlink>
          </w:p>
        </w:tc>
        <w:tc>
          <w:tcPr>
            <w:tcW w:w="11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ind w:left="80"/>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24"/>
                <w:szCs w:val="24"/>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324"/>
        </w:trPr>
        <w:tc>
          <w:tcPr>
            <w:tcW w:w="500" w:type="dxa"/>
            <w:vAlign w:val="bottom"/>
          </w:tcPr>
          <w:p>
            <w:pPr>
              <w:ind w:left="80"/>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24"/>
                <w:szCs w:val="24"/>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Opinion of Cooley LLP</w:t>
            </w: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97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26">
              <w:r>
                <w:rPr>
                  <w:rFonts w:ascii="Arial" w:cs="Arial" w:eastAsia="Arial" w:hAnsi="Arial"/>
                  <w:sz w:val="18"/>
                  <w:szCs w:val="18"/>
                  <w:color w:val="0000EE"/>
                  <w:w w:val="89"/>
                </w:rPr>
                <w:t>Collaboration Agreement, by and between the Registrant and Merck &amp; Co., Inc., dated December 22, 2003, as amended and restated as</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26">
              <w:r>
                <w:rPr>
                  <w:rFonts w:ascii="Arial" w:cs="Arial" w:eastAsia="Arial" w:hAnsi="Arial"/>
                  <w:sz w:val="18"/>
                  <w:szCs w:val="18"/>
                  <w:color w:val="0000EE"/>
                  <w:w w:val="90"/>
                </w:rPr>
                <w:t>of October 18, 2006</w:t>
              </w:r>
            </w:hyperlink>
          </w:p>
        </w:tc>
        <w:tc>
          <w:tcPr>
            <w:tcW w:w="84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440" w:type="dxa"/>
            <w:vAlign w:val="bottom"/>
            <w:gridSpan w:val="6"/>
            <w:vMerge w:val="restart"/>
          </w:tcPr>
          <w:p>
            <w:pPr>
              <w:ind w:left="8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644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w w:val="89"/>
              </w:rPr>
              <w:t>2021</w:t>
            </w:r>
          </w:p>
        </w:tc>
        <w:tc>
          <w:tcPr>
            <w:tcW w:w="9500" w:type="dxa"/>
            <w:vAlign w:val="bottom"/>
            <w:gridSpan w:val="7"/>
          </w:tcPr>
          <w:p>
            <w:pPr>
              <w:ind w:left="20"/>
              <w:spacing w:after="0"/>
              <w:rPr>
                <w:sz w:val="20"/>
                <w:szCs w:val="20"/>
                <w:color w:val="auto"/>
              </w:rPr>
            </w:pPr>
            <w:r>
              <w:rPr>
                <w:rFonts w:ascii="Arial" w:cs="Arial" w:eastAsia="Arial" w:hAnsi="Arial"/>
                <w:sz w:val="18"/>
                <w:szCs w:val="18"/>
                <w:color w:val="auto"/>
                <w:w w:val="93"/>
              </w:rPr>
              <w:t>Equity Incentive Plan and Forms of Option Grant Notice and Agreement, Exercise Notice, Early Exercise Notice and Restricted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80" w:type="dxa"/>
            <w:vAlign w:val="bottom"/>
            <w:gridSpan w:val="8"/>
          </w:tcPr>
          <w:p>
            <w:pPr>
              <w:spacing w:after="0"/>
              <w:rPr>
                <w:sz w:val="20"/>
                <w:szCs w:val="20"/>
                <w:color w:val="auto"/>
              </w:rPr>
            </w:pPr>
            <w:r>
              <w:rPr>
                <w:rFonts w:ascii="Arial" w:cs="Arial" w:eastAsia="Arial" w:hAnsi="Arial"/>
                <w:sz w:val="18"/>
                <w:szCs w:val="18"/>
                <w:color w:val="auto"/>
              </w:rPr>
              <w:t>Stock Award Notice</w:t>
            </w: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w w:val="89"/>
              </w:rPr>
              <w:t>2021</w:t>
            </w:r>
          </w:p>
        </w:tc>
        <w:tc>
          <w:tcPr>
            <w:tcW w:w="9500" w:type="dxa"/>
            <w:vAlign w:val="bottom"/>
            <w:gridSpan w:val="7"/>
          </w:tcPr>
          <w:p>
            <w:pPr>
              <w:ind w:left="20"/>
              <w:spacing w:after="0"/>
              <w:rPr>
                <w:sz w:val="20"/>
                <w:szCs w:val="20"/>
                <w:color w:val="auto"/>
              </w:rPr>
            </w:pPr>
            <w:r>
              <w:rPr>
                <w:rFonts w:ascii="Arial" w:cs="Arial" w:eastAsia="Arial" w:hAnsi="Arial"/>
                <w:sz w:val="18"/>
                <w:szCs w:val="18"/>
                <w:color w:val="auto"/>
                <w:w w:val="93"/>
              </w:rPr>
              <w:t>Stock Incentive Plan and Forms of Stock Option Grant Notice, Stock Option Agreement, Restricted Stock Unit Grant Notice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80" w:type="dxa"/>
            <w:vAlign w:val="bottom"/>
            <w:gridSpan w:val="8"/>
          </w:tcPr>
          <w:p>
            <w:pPr>
              <w:spacing w:after="0"/>
              <w:rPr>
                <w:sz w:val="20"/>
                <w:szCs w:val="20"/>
                <w:color w:val="auto"/>
              </w:rPr>
            </w:pPr>
            <w:r>
              <w:rPr>
                <w:rFonts w:ascii="Arial" w:cs="Arial" w:eastAsia="Arial" w:hAnsi="Arial"/>
                <w:sz w:val="18"/>
                <w:szCs w:val="18"/>
                <w:color w:val="auto"/>
              </w:rPr>
              <w:t>Restricted Stock Unit Award Agreement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w w:val="89"/>
              </w:rPr>
              <w:t>2021</w:t>
            </w:r>
          </w:p>
        </w:tc>
        <w:tc>
          <w:tcPr>
            <w:tcW w:w="9500" w:type="dxa"/>
            <w:vAlign w:val="bottom"/>
            <w:gridSpan w:val="7"/>
          </w:tcPr>
          <w:p>
            <w:pPr>
              <w:ind w:left="20"/>
              <w:spacing w:after="0"/>
              <w:rPr>
                <w:sz w:val="20"/>
                <w:szCs w:val="20"/>
                <w:color w:val="auto"/>
              </w:rPr>
            </w:pPr>
            <w:r>
              <w:rPr>
                <w:rFonts w:ascii="Arial" w:cs="Arial" w:eastAsia="Arial" w:hAnsi="Arial"/>
                <w:sz w:val="18"/>
                <w:szCs w:val="18"/>
                <w:color w:val="auto"/>
              </w:rPr>
              <w:t>Employee Stock Purchase Plan</w:t>
            </w: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640" w:type="dxa"/>
            <w:vAlign w:val="bottom"/>
          </w:tcPr>
          <w:p>
            <w:pPr>
              <w:spacing w:after="0"/>
              <w:rPr>
                <w:sz w:val="24"/>
                <w:szCs w:val="24"/>
                <w:color w:val="auto"/>
              </w:rPr>
            </w:pPr>
          </w:p>
        </w:tc>
        <w:tc>
          <w:tcPr>
            <w:tcW w:w="380" w:type="dxa"/>
            <w:vAlign w:val="bottom"/>
            <w:tcBorders>
              <w:bottom w:val="single" w:sz="8" w:color="0000EE"/>
            </w:tcBorders>
          </w:tcPr>
          <w:p>
            <w:pPr>
              <w:spacing w:after="0"/>
              <w:rPr>
                <w:rFonts w:ascii="Arial" w:cs="Arial" w:eastAsia="Arial" w:hAnsi="Arial"/>
                <w:sz w:val="18"/>
                <w:szCs w:val="18"/>
                <w:color w:val="0000EE"/>
                <w:w w:val="89"/>
              </w:rPr>
            </w:pPr>
            <w:hyperlink w:anchor="page383">
              <w:r>
                <w:rPr>
                  <w:rFonts w:ascii="Arial" w:cs="Arial" w:eastAsia="Arial" w:hAnsi="Arial"/>
                  <w:sz w:val="18"/>
                  <w:szCs w:val="18"/>
                  <w:color w:val="0000EE"/>
                  <w:w w:val="89"/>
                </w:rPr>
                <w:t>2013</w:t>
              </w:r>
            </w:hyperlink>
          </w:p>
        </w:tc>
        <w:tc>
          <w:tcPr>
            <w:tcW w:w="6580" w:type="dxa"/>
            <w:vAlign w:val="bottom"/>
            <w:tcBorders>
              <w:bottom w:val="single" w:sz="8" w:color="0000EE"/>
            </w:tcBorders>
            <w:gridSpan w:val="6"/>
          </w:tcPr>
          <w:p>
            <w:pPr>
              <w:ind w:left="20"/>
              <w:spacing w:after="0"/>
              <w:rPr>
                <w:rFonts w:ascii="Arial" w:cs="Arial" w:eastAsia="Arial" w:hAnsi="Arial"/>
                <w:sz w:val="18"/>
                <w:szCs w:val="18"/>
                <w:color w:val="0000EE"/>
                <w:w w:val="89"/>
              </w:rPr>
            </w:pPr>
            <w:hyperlink w:anchor="page383">
              <w:r>
                <w:rPr>
                  <w:rFonts w:ascii="Arial" w:cs="Arial" w:eastAsia="Arial" w:hAnsi="Arial"/>
                  <w:sz w:val="18"/>
                  <w:szCs w:val="18"/>
                  <w:color w:val="0000EE"/>
                  <w:w w:val="89"/>
                </w:rPr>
                <w:t>Amended and Restated Stock Performance Plan (as amended through November 20, 2020)</w:t>
              </w:r>
            </w:hyperlink>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640" w:type="dxa"/>
            <w:vAlign w:val="bottom"/>
          </w:tcPr>
          <w:p>
            <w:pPr>
              <w:spacing w:after="0"/>
              <w:rPr>
                <w:sz w:val="24"/>
                <w:szCs w:val="24"/>
                <w:color w:val="auto"/>
              </w:rPr>
            </w:pPr>
          </w:p>
        </w:tc>
        <w:tc>
          <w:tcPr>
            <w:tcW w:w="9880" w:type="dxa"/>
            <w:vAlign w:val="bottom"/>
            <w:gridSpan w:val="8"/>
          </w:tcPr>
          <w:p>
            <w:pPr>
              <w:spacing w:after="0"/>
              <w:rPr>
                <w:sz w:val="20"/>
                <w:szCs w:val="20"/>
                <w:color w:val="auto"/>
              </w:rPr>
            </w:pPr>
            <w:r>
              <w:rPr>
                <w:rFonts w:ascii="Arial" w:cs="Arial" w:eastAsia="Arial" w:hAnsi="Arial"/>
                <w:sz w:val="18"/>
                <w:szCs w:val="18"/>
                <w:color w:val="auto"/>
              </w:rPr>
              <w:t>Form of Indemnification Agreement with Executive Officers and Directors</w:t>
            </w: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640" w:type="dxa"/>
            <w:vAlign w:val="bottom"/>
          </w:tcPr>
          <w:p>
            <w:pPr>
              <w:spacing w:after="0"/>
              <w:rPr>
                <w:sz w:val="24"/>
                <w:szCs w:val="24"/>
                <w:color w:val="auto"/>
              </w:rPr>
            </w:pPr>
          </w:p>
        </w:tc>
        <w:tc>
          <w:tcPr>
            <w:tcW w:w="9880" w:type="dxa"/>
            <w:vAlign w:val="bottom"/>
            <w:gridSpan w:val="8"/>
          </w:tcPr>
          <w:p>
            <w:pPr>
              <w:spacing w:after="0"/>
              <w:rPr>
                <w:rFonts w:ascii="Arial" w:cs="Arial" w:eastAsia="Arial" w:hAnsi="Arial"/>
                <w:sz w:val="18"/>
                <w:szCs w:val="18"/>
                <w:color w:val="0000EE"/>
              </w:rPr>
            </w:pPr>
            <w:hyperlink w:anchor="page396">
              <w:r>
                <w:rPr>
                  <w:rFonts w:ascii="Arial" w:cs="Arial" w:eastAsia="Arial" w:hAnsi="Arial"/>
                  <w:sz w:val="18"/>
                  <w:szCs w:val="18"/>
                  <w:color w:val="0000EE"/>
                </w:rPr>
                <w:t>Executive Employment Agreement, by and between the Registrant and Daniel O’Connell</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640" w:type="dxa"/>
            <w:vAlign w:val="bottom"/>
          </w:tcPr>
          <w:p>
            <w:pPr>
              <w:spacing w:after="0"/>
              <w:rPr>
                <w:sz w:val="24"/>
                <w:szCs w:val="24"/>
                <w:color w:val="auto"/>
              </w:rPr>
            </w:pPr>
          </w:p>
        </w:tc>
        <w:tc>
          <w:tcPr>
            <w:tcW w:w="6440" w:type="dxa"/>
            <w:vAlign w:val="bottom"/>
            <w:tcBorders>
              <w:top w:val="single" w:sz="8" w:color="0000EE"/>
            </w:tcBorders>
            <w:gridSpan w:val="6"/>
          </w:tcPr>
          <w:p>
            <w:pPr>
              <w:spacing w:after="0"/>
              <w:rPr>
                <w:rFonts w:ascii="Arial" w:cs="Arial" w:eastAsia="Arial" w:hAnsi="Arial"/>
                <w:sz w:val="18"/>
                <w:szCs w:val="18"/>
                <w:color w:val="0000EE"/>
              </w:rPr>
            </w:pPr>
            <w:hyperlink w:anchor="page407">
              <w:r>
                <w:rPr>
                  <w:rFonts w:ascii="Arial" w:cs="Arial" w:eastAsia="Arial" w:hAnsi="Arial"/>
                  <w:sz w:val="18"/>
                  <w:szCs w:val="18"/>
                  <w:color w:val="0000EE"/>
                </w:rPr>
                <w:t>Employment Agreement by and between the Registrant and Eric Siemers, M.D.</w:t>
              </w:r>
            </w:hyperlink>
          </w:p>
        </w:tc>
        <w:tc>
          <w:tcPr>
            <w:tcW w:w="3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640" w:type="dxa"/>
            <w:vAlign w:val="bottom"/>
          </w:tcPr>
          <w:p>
            <w:pPr>
              <w:spacing w:after="0"/>
              <w:rPr>
                <w:sz w:val="24"/>
                <w:szCs w:val="24"/>
                <w:color w:val="auto"/>
              </w:rPr>
            </w:pPr>
          </w:p>
        </w:tc>
        <w:tc>
          <w:tcPr>
            <w:tcW w:w="54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418">
              <w:r>
                <w:rPr>
                  <w:rFonts w:ascii="Arial" w:cs="Arial" w:eastAsia="Arial" w:hAnsi="Arial"/>
                  <w:sz w:val="18"/>
                  <w:szCs w:val="18"/>
                  <w:color w:val="0000EE"/>
                  <w:w w:val="90"/>
                </w:rPr>
                <w:t>Employment Agreement by and between the Registrant and Russell Barton</w:t>
              </w:r>
            </w:hyperlink>
          </w:p>
        </w:tc>
        <w:tc>
          <w:tcPr>
            <w:tcW w:w="320" w:type="dxa"/>
            <w:vAlign w:val="bottom"/>
            <w:tcBorders>
              <w:top w:val="single" w:sz="8" w:color="0000EE"/>
            </w:tcBorders>
            <w:gridSpan w:val="2"/>
          </w:tcPr>
          <w:p>
            <w:pPr>
              <w:spacing w:after="0"/>
              <w:rPr>
                <w:sz w:val="24"/>
                <w:szCs w:val="24"/>
                <w:color w:val="auto"/>
              </w:rPr>
            </w:pPr>
          </w:p>
        </w:tc>
        <w:tc>
          <w:tcPr>
            <w:tcW w:w="4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4"/>
                <w:szCs w:val="24"/>
                <w:color w:val="auto"/>
              </w:rPr>
            </w:pPr>
          </w:p>
        </w:tc>
        <w:tc>
          <w:tcPr>
            <w:tcW w:w="9880" w:type="dxa"/>
            <w:vAlign w:val="bottom"/>
            <w:gridSpan w:val="8"/>
          </w:tcPr>
          <w:p>
            <w:pPr>
              <w:spacing w:after="0"/>
              <w:rPr>
                <w:rFonts w:ascii="Arial" w:cs="Arial" w:eastAsia="Arial" w:hAnsi="Arial"/>
                <w:sz w:val="18"/>
                <w:szCs w:val="18"/>
                <w:color w:val="0000EE"/>
              </w:rPr>
            </w:pPr>
            <w:hyperlink w:anchor="page429">
              <w:r>
                <w:rPr>
                  <w:rFonts w:ascii="Arial" w:cs="Arial" w:eastAsia="Arial" w:hAnsi="Arial"/>
                  <w:sz w:val="18"/>
                  <w:szCs w:val="18"/>
                  <w:color w:val="0000EE"/>
                </w:rPr>
                <w:t>Consent of Ernst &amp; Young LLP, independent registered public accounting firm</w:t>
              </w:r>
            </w:hyperlink>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640" w:type="dxa"/>
            <w:vAlign w:val="bottom"/>
          </w:tcPr>
          <w:p>
            <w:pPr>
              <w:spacing w:after="0"/>
              <w:rPr>
                <w:sz w:val="24"/>
                <w:szCs w:val="24"/>
                <w:color w:val="auto"/>
              </w:rPr>
            </w:pPr>
          </w:p>
        </w:tc>
        <w:tc>
          <w:tcPr>
            <w:tcW w:w="56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Consent of Cooley LLP (included in Exhibit 5.1)</w:t>
            </w:r>
          </w:p>
        </w:tc>
        <w:tc>
          <w:tcPr>
            <w:tcW w:w="4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24"/>
                <w:szCs w:val="24"/>
                <w:color w:val="auto"/>
              </w:rPr>
            </w:pPr>
          </w:p>
        </w:tc>
        <w:tc>
          <w:tcPr>
            <w:tcW w:w="9880" w:type="dxa"/>
            <w:vAlign w:val="bottom"/>
            <w:gridSpan w:val="8"/>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Power of Attorney (included on signature page)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18173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82" w:lineRule="exact"/>
        <w:rPr>
          <w:sz w:val="20"/>
          <w:szCs w:val="20"/>
          <w:color w:val="auto"/>
        </w:rPr>
      </w:pPr>
    </w:p>
    <w:p>
      <w:pPr>
        <w:ind w:left="340" w:right="200" w:hanging="224"/>
        <w:spacing w:after="0" w:line="291" w:lineRule="auto"/>
        <w:tabs>
          <w:tab w:leader="none" w:pos="3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Pursuant to Item 601(b)(10) of Regulation S-K, certain confidential portions of this exhibit have been omitted by means of marking such portions with asterisks [***] as the identified confidential portions (i) are not material and (ii) the Registrant customarily and actually treats that information</w:t>
      </w:r>
    </w:p>
    <w:p>
      <w:pPr>
        <w:ind w:left="340"/>
        <w:spacing w:after="0"/>
        <w:rPr>
          <w:sz w:val="20"/>
          <w:szCs w:val="20"/>
          <w:color w:val="auto"/>
        </w:rPr>
      </w:pPr>
      <w:r>
        <w:rPr>
          <w:rFonts w:ascii="Arial" w:cs="Arial" w:eastAsia="Arial" w:hAnsi="Arial"/>
          <w:sz w:val="18"/>
          <w:szCs w:val="18"/>
          <w:color w:val="auto"/>
        </w:rPr>
        <w:t>as private or confidential.</w:t>
      </w:r>
    </w:p>
    <w:p>
      <w:pPr>
        <w:spacing w:after="0" w:line="9" w:lineRule="exact"/>
        <w:rPr>
          <w:sz w:val="20"/>
          <w:szCs w:val="20"/>
          <w:color w:val="auto"/>
        </w:rPr>
      </w:pPr>
    </w:p>
    <w:p>
      <w:pPr>
        <w:ind w:left="340" w:hanging="224"/>
        <w:spacing w:after="0"/>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10" w:lineRule="exact"/>
        <w:rPr>
          <w:rFonts w:ascii="Arial" w:cs="Arial" w:eastAsia="Arial" w:hAnsi="Arial"/>
          <w:sz w:val="18"/>
          <w:szCs w:val="18"/>
          <w:color w:val="auto"/>
        </w:rPr>
      </w:pPr>
    </w:p>
    <w:p>
      <w:pPr>
        <w:ind w:left="1260" w:hanging="263"/>
        <w:spacing w:after="0"/>
        <w:tabs>
          <w:tab w:leader="none" w:pos="12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225" w:lineRule="exact"/>
        <w:rPr>
          <w:sz w:val="20"/>
          <w:szCs w:val="20"/>
          <w:color w:val="auto"/>
        </w:rPr>
      </w:pPr>
    </w:p>
    <w:p>
      <w:pPr>
        <w:ind w:left="120" w:right="640" w:firstLine="881"/>
        <w:spacing w:after="0" w:line="34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24"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undersigned Registrant hereby undertakes that:</w:t>
      </w:r>
    </w:p>
    <w:p>
      <w:pPr>
        <w:spacing w:after="0" w:line="252" w:lineRule="exact"/>
        <w:rPr>
          <w:sz w:val="20"/>
          <w:szCs w:val="20"/>
          <w:color w:val="auto"/>
        </w:rPr>
      </w:pPr>
    </w:p>
    <w:p>
      <w:pPr>
        <w:ind w:left="1420" w:right="80" w:hanging="427"/>
        <w:spacing w:after="0" w:line="259" w:lineRule="auto"/>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427"/>
        <w:spacing w:after="0" w:line="263" w:lineRule="auto"/>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960"/>
          </w:cols>
          <w:pgMar w:left="320" w:top="459" w:right="6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80" w:firstLine="881"/>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 undersigned, thereunto duly authorized in the City of Charlottesville, Commonwealth of Virginia, on this 9th day of June, 2021.</w:t>
      </w:r>
    </w:p>
    <w:p>
      <w:pPr>
        <w:spacing w:after="0" w:line="14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Acumen Pharmaceuticals,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Daniel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Daniel O’Connell</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120" w:right="40" w:firstLine="881"/>
        <w:spacing w:after="0" w:line="288"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Daniel O’Connell and William Matthew Zuga, and each of them, as his or her true and lawful agents, proxies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68"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70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382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16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12"/>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O’Connell</w:t>
            </w:r>
          </w:p>
        </w:tc>
        <w:tc>
          <w:tcPr>
            <w:tcW w:w="416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2160" w:type="dxa"/>
            <w:vAlign w:val="bottom"/>
          </w:tcPr>
          <w:p>
            <w:pPr>
              <w:spacing w:after="0"/>
              <w:rPr>
                <w:sz w:val="20"/>
                <w:szCs w:val="20"/>
                <w:color w:val="auto"/>
              </w:rPr>
            </w:pPr>
            <w:r>
              <w:rPr>
                <w:rFonts w:ascii="Arial" w:cs="Arial" w:eastAsia="Arial" w:hAnsi="Arial"/>
                <w:sz w:val="18"/>
                <w:szCs w:val="18"/>
                <w:color w:val="auto"/>
              </w:rPr>
              <w:t>June 9, 2021</w:t>
            </w: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Daniel O’Connell</w:t>
            </w:r>
          </w:p>
        </w:tc>
        <w:tc>
          <w:tcPr>
            <w:tcW w:w="4160" w:type="dxa"/>
            <w:vAlign w:val="bottom"/>
            <w:gridSpan w:val="3"/>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4700" w:type="dxa"/>
            <w:vAlign w:val="bottom"/>
            <w:vMerge w:val="restart"/>
          </w:tcPr>
          <w:p>
            <w:pPr>
              <w:spacing w:after="0"/>
              <w:rPr>
                <w:sz w:val="20"/>
                <w:szCs w:val="20"/>
                <w:color w:val="auto"/>
              </w:rPr>
            </w:pPr>
            <w:r>
              <w:rPr>
                <w:rFonts w:ascii="Arial" w:cs="Arial" w:eastAsia="Arial" w:hAnsi="Arial"/>
                <w:sz w:val="18"/>
                <w:szCs w:val="18"/>
                <w:color w:val="auto"/>
              </w:rPr>
              <w:t>/s/ William Matthew Zuga</w:t>
            </w:r>
          </w:p>
        </w:tc>
        <w:tc>
          <w:tcPr>
            <w:tcW w:w="41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and Chief</w:t>
            </w:r>
          </w:p>
        </w:tc>
        <w:tc>
          <w:tcPr>
            <w:tcW w:w="2160" w:type="dxa"/>
            <w:vAlign w:val="bottom"/>
          </w:tcPr>
          <w:p>
            <w:pPr>
              <w:spacing w:after="0"/>
              <w:rPr>
                <w:sz w:val="20"/>
                <w:szCs w:val="20"/>
                <w:color w:val="auto"/>
              </w:rPr>
            </w:pPr>
            <w:r>
              <w:rPr>
                <w:rFonts w:ascii="Arial" w:cs="Arial" w:eastAsia="Arial" w:hAnsi="Arial"/>
                <w:sz w:val="18"/>
                <w:szCs w:val="18"/>
                <w:color w:val="auto"/>
              </w:rPr>
              <w:t>June 9, 2021</w:t>
            </w:r>
          </w:p>
        </w:tc>
        <w:tc>
          <w:tcPr>
            <w:tcW w:w="0" w:type="dxa"/>
            <w:vAlign w:val="bottom"/>
          </w:tcPr>
          <w:p>
            <w:pPr>
              <w:spacing w:after="0"/>
              <w:rPr>
                <w:sz w:val="1"/>
                <w:szCs w:val="1"/>
                <w:color w:val="auto"/>
              </w:rPr>
            </w:pPr>
          </w:p>
        </w:tc>
      </w:tr>
      <w:tr>
        <w:trPr>
          <w:trHeight w:val="222"/>
        </w:trPr>
        <w:tc>
          <w:tcPr>
            <w:tcW w:w="4700" w:type="dxa"/>
            <w:vAlign w:val="bottom"/>
            <w:tcBorders>
              <w:bottom w:val="single" w:sz="8" w:color="auto"/>
            </w:tcBorders>
            <w:vMerge w:val="continue"/>
          </w:tcPr>
          <w:p>
            <w:pPr>
              <w:spacing w:after="0"/>
              <w:rPr>
                <w:sz w:val="18"/>
                <w:szCs w:val="18"/>
                <w:color w:val="auto"/>
              </w:rPr>
            </w:pPr>
          </w:p>
        </w:tc>
        <w:tc>
          <w:tcPr>
            <w:tcW w:w="4160" w:type="dxa"/>
            <w:vAlign w:val="bottom"/>
            <w:gridSpan w:val="3"/>
          </w:tcPr>
          <w:p>
            <w:pPr>
              <w:ind w:left="120"/>
              <w:spacing w:after="0"/>
              <w:rPr>
                <w:sz w:val="20"/>
                <w:szCs w:val="20"/>
                <w:color w:val="auto"/>
              </w:rPr>
            </w:pPr>
            <w:r>
              <w:rPr>
                <w:rFonts w:ascii="Arial" w:cs="Arial" w:eastAsia="Arial" w:hAnsi="Arial"/>
                <w:sz w:val="18"/>
                <w:szCs w:val="18"/>
                <w:color w:val="auto"/>
              </w:rPr>
              <w:t>Business Officer</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line="195" w:lineRule="exact"/>
              <w:rPr>
                <w:sz w:val="20"/>
                <w:szCs w:val="20"/>
                <w:color w:val="auto"/>
              </w:rPr>
            </w:pPr>
            <w:r>
              <w:rPr>
                <w:rFonts w:ascii="Arial" w:cs="Arial" w:eastAsia="Arial" w:hAnsi="Arial"/>
                <w:sz w:val="18"/>
                <w:szCs w:val="18"/>
                <w:color w:val="auto"/>
              </w:rPr>
              <w:t>William Matthew Zuga</w:t>
            </w:r>
          </w:p>
        </w:tc>
        <w:tc>
          <w:tcPr>
            <w:tcW w:w="4160" w:type="dxa"/>
            <w:vAlign w:val="bottom"/>
            <w:gridSpan w:val="3"/>
          </w:tcPr>
          <w:p>
            <w:pPr>
              <w:ind w:left="120"/>
              <w:spacing w:after="0" w:line="195" w:lineRule="exact"/>
              <w:rPr>
                <w:sz w:val="20"/>
                <w:szCs w:val="20"/>
                <w:color w:val="auto"/>
              </w:rPr>
            </w:pPr>
            <w:r>
              <w:rPr>
                <w:rFonts w:ascii="Arial" w:cs="Arial" w:eastAsia="Arial" w:hAnsi="Arial"/>
                <w:sz w:val="18"/>
                <w:szCs w:val="18"/>
                <w:i w:val="1"/>
                <w:iCs w:val="1"/>
                <w:color w:val="auto"/>
              </w:rPr>
              <w:t>(Principal Financial Officer and Principal</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4160" w:type="dxa"/>
            <w:vAlign w:val="bottom"/>
            <w:gridSpan w:val="3"/>
          </w:tcPr>
          <w:p>
            <w:pPr>
              <w:ind w:left="120"/>
              <w:spacing w:after="0"/>
              <w:rPr>
                <w:sz w:val="20"/>
                <w:szCs w:val="20"/>
                <w:color w:val="auto"/>
              </w:rPr>
            </w:pPr>
            <w:r>
              <w:rPr>
                <w:rFonts w:ascii="Arial" w:cs="Arial" w:eastAsia="Arial" w:hAnsi="Arial"/>
                <w:sz w:val="18"/>
                <w:szCs w:val="18"/>
                <w:i w:val="1"/>
                <w:iCs w:val="1"/>
                <w:color w:val="auto"/>
              </w:rPr>
              <w:t>Accounting Officer)</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L. Ives</w:t>
            </w:r>
          </w:p>
        </w:tc>
        <w:tc>
          <w:tcPr>
            <w:tcW w:w="41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tcPr>
          <w:p>
            <w:pPr>
              <w:spacing w:after="0"/>
              <w:rPr>
                <w:sz w:val="20"/>
                <w:szCs w:val="20"/>
                <w:color w:val="auto"/>
              </w:rPr>
            </w:pPr>
            <w:r>
              <w:rPr>
                <w:rFonts w:ascii="Arial" w:cs="Arial" w:eastAsia="Arial" w:hAnsi="Arial"/>
                <w:sz w:val="18"/>
                <w:szCs w:val="18"/>
                <w:color w:val="auto"/>
              </w:rPr>
              <w:t>June 9, 2021</w:t>
            </w: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Jeffrey L. Ives, PhD</w:t>
            </w:r>
          </w:p>
        </w:tc>
        <w:tc>
          <w:tcPr>
            <w:tcW w:w="1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Stalfort</w:t>
            </w:r>
          </w:p>
        </w:tc>
        <w:tc>
          <w:tcPr>
            <w:tcW w:w="41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tcPr>
          <w:p>
            <w:pPr>
              <w:spacing w:after="0"/>
              <w:rPr>
                <w:sz w:val="20"/>
                <w:szCs w:val="20"/>
                <w:color w:val="auto"/>
              </w:rPr>
            </w:pPr>
            <w:r>
              <w:rPr>
                <w:rFonts w:ascii="Arial" w:cs="Arial" w:eastAsia="Arial" w:hAnsi="Arial"/>
                <w:sz w:val="18"/>
                <w:szCs w:val="18"/>
                <w:color w:val="auto"/>
              </w:rPr>
              <w:t>June 9, 2021</w:t>
            </w: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Sean Stalfort</w:t>
            </w:r>
          </w:p>
        </w:tc>
        <w:tc>
          <w:tcPr>
            <w:tcW w:w="1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Stoppel</w:t>
            </w:r>
          </w:p>
        </w:tc>
        <w:tc>
          <w:tcPr>
            <w:tcW w:w="41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tcPr>
          <w:p>
            <w:pPr>
              <w:spacing w:after="0"/>
              <w:rPr>
                <w:sz w:val="20"/>
                <w:szCs w:val="20"/>
                <w:color w:val="auto"/>
              </w:rPr>
            </w:pPr>
            <w:r>
              <w:rPr>
                <w:rFonts w:ascii="Arial" w:cs="Arial" w:eastAsia="Arial" w:hAnsi="Arial"/>
                <w:sz w:val="18"/>
                <w:szCs w:val="18"/>
                <w:color w:val="auto"/>
              </w:rPr>
              <w:t>June 9, 2021</w:t>
            </w: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Laura Stoppel, PhD</w:t>
            </w:r>
          </w:p>
        </w:tc>
        <w:tc>
          <w:tcPr>
            <w:tcW w:w="1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Zachary</w:t>
            </w:r>
          </w:p>
        </w:tc>
        <w:tc>
          <w:tcPr>
            <w:tcW w:w="41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tcPr>
          <w:p>
            <w:pPr>
              <w:spacing w:after="0"/>
              <w:rPr>
                <w:sz w:val="20"/>
                <w:szCs w:val="20"/>
                <w:color w:val="auto"/>
              </w:rPr>
            </w:pPr>
            <w:r>
              <w:rPr>
                <w:rFonts w:ascii="Arial" w:cs="Arial" w:eastAsia="Arial" w:hAnsi="Arial"/>
                <w:sz w:val="18"/>
                <w:szCs w:val="18"/>
                <w:color w:val="auto"/>
              </w:rPr>
              <w:t>June 9, 2021</w:t>
            </w: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Stephen Zachary, PhD</w:t>
            </w:r>
          </w:p>
        </w:tc>
        <w:tc>
          <w:tcPr>
            <w:tcW w:w="1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Sevigny</w:t>
            </w:r>
          </w:p>
        </w:tc>
        <w:tc>
          <w:tcPr>
            <w:tcW w:w="41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tcPr>
          <w:p>
            <w:pPr>
              <w:spacing w:after="0"/>
              <w:rPr>
                <w:sz w:val="20"/>
                <w:szCs w:val="20"/>
                <w:color w:val="auto"/>
              </w:rPr>
            </w:pPr>
            <w:r>
              <w:rPr>
                <w:rFonts w:ascii="Arial" w:cs="Arial" w:eastAsia="Arial" w:hAnsi="Arial"/>
                <w:sz w:val="18"/>
                <w:szCs w:val="18"/>
                <w:color w:val="auto"/>
              </w:rPr>
              <w:t>June 9, 2021</w:t>
            </w:r>
          </w:p>
        </w:tc>
        <w:tc>
          <w:tcPr>
            <w:tcW w:w="0" w:type="dxa"/>
            <w:vAlign w:val="bottom"/>
          </w:tcPr>
          <w:p>
            <w:pPr>
              <w:spacing w:after="0"/>
              <w:rPr>
                <w:sz w:val="1"/>
                <w:szCs w:val="1"/>
                <w:color w:val="auto"/>
              </w:rPr>
            </w:pP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Jeffrey Sevigny, M.D.</w:t>
            </w:r>
          </w:p>
        </w:tc>
        <w:tc>
          <w:tcPr>
            <w:tcW w:w="1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ACUMEN PHARMACEUTICALS,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103"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Acumen Pharmaceuticals,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121" w:lineRule="exact"/>
        <w:rPr>
          <w:sz w:val="20"/>
          <w:szCs w:val="20"/>
          <w:color w:val="auto"/>
        </w:rPr>
      </w:pPr>
    </w:p>
    <w:p>
      <w:pPr>
        <w:ind w:right="60" w:firstLine="987"/>
        <w:spacing w:after="0" w:line="277" w:lineRule="auto"/>
        <w:tabs>
          <w:tab w:leader="none" w:pos="1171"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That the name of this corporation is Acumen Pharmaceuticals, Inc., and that this corporation was originally incorporated pursuant to the General Corporation Law on January 4, 1996 under the name “Acumen Pharmaceuticals, Inc.”.</w:t>
      </w:r>
    </w:p>
    <w:p>
      <w:pPr>
        <w:spacing w:after="0" w:line="170" w:lineRule="exact"/>
        <w:rPr>
          <w:rFonts w:ascii="Arial" w:cs="Arial" w:eastAsia="Arial" w:hAnsi="Arial"/>
          <w:sz w:val="18"/>
          <w:szCs w:val="18"/>
          <w:b w:val="1"/>
          <w:bCs w:val="1"/>
          <w:color w:val="auto"/>
        </w:rPr>
      </w:pPr>
    </w:p>
    <w:p>
      <w:pPr>
        <w:ind w:right="60" w:firstLine="987"/>
        <w:spacing w:after="0" w:line="259" w:lineRule="auto"/>
        <w:tabs>
          <w:tab w:leader="none" w:pos="1171"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7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Certificate of Incorporation of this corporation be amended and restated in its entirety to read as follows: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Acumen Pharmaceuticals,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117" w:lineRule="exact"/>
        <w:rPr>
          <w:sz w:val="20"/>
          <w:szCs w:val="20"/>
          <w:color w:val="auto"/>
        </w:rPr>
      </w:pPr>
    </w:p>
    <w:p>
      <w:pPr>
        <w:ind w:left="440" w:right="800" w:firstLine="423"/>
        <w:spacing w:after="0" w:line="347" w:lineRule="auto"/>
        <w:rPr>
          <w:sz w:val="20"/>
          <w:szCs w:val="20"/>
          <w:color w:val="auto"/>
        </w:rPr>
      </w:pPr>
      <w:r>
        <w:rPr>
          <w:rFonts w:ascii="Arial" w:cs="Arial" w:eastAsia="Arial" w:hAnsi="Arial"/>
          <w:sz w:val="16"/>
          <w:szCs w:val="16"/>
          <w:b w:val="1"/>
          <w:bCs w:val="1"/>
          <w:color w:val="auto"/>
        </w:rPr>
        <w:t xml:space="preserve">SECOND: </w:t>
      </w:r>
      <w:r>
        <w:rPr>
          <w:rFonts w:ascii="Arial" w:cs="Arial" w:eastAsia="Arial" w:hAnsi="Arial"/>
          <w:sz w:val="16"/>
          <w:szCs w:val="16"/>
          <w:color w:val="auto"/>
        </w:rPr>
        <w:t>The address of the registered office of the Corporation in the State of Delaware is 251 Little Falls Drive, in the City of</w:t>
      </w:r>
      <w:r>
        <w:rPr>
          <w:rFonts w:ascii="Arial" w:cs="Arial" w:eastAsia="Arial" w:hAnsi="Arial"/>
          <w:sz w:val="16"/>
          <w:szCs w:val="16"/>
          <w:b w:val="1"/>
          <w:bCs w:val="1"/>
          <w:color w:val="auto"/>
        </w:rPr>
        <w:t xml:space="preserve"> </w:t>
      </w:r>
      <w:r>
        <w:rPr>
          <w:rFonts w:ascii="Arial" w:cs="Arial" w:eastAsia="Arial" w:hAnsi="Arial"/>
          <w:sz w:val="16"/>
          <w:szCs w:val="16"/>
          <w:color w:val="auto"/>
        </w:rPr>
        <w:t>Wilmington 19808, County of New Castle. The name of its registered agent at such address is Corporation Service Company.</w:t>
      </w:r>
    </w:p>
    <w:p>
      <w:pPr>
        <w:spacing w:after="0" w:line="8" w:lineRule="exact"/>
        <w:rPr>
          <w:sz w:val="20"/>
          <w:szCs w:val="20"/>
          <w:color w:val="auto"/>
        </w:rPr>
      </w:pPr>
    </w:p>
    <w:p>
      <w:pPr>
        <w:ind w:left="440" w:right="920" w:firstLine="423"/>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may be organized under the General Corporation Law.</w:t>
      </w:r>
    </w:p>
    <w:p>
      <w:pPr>
        <w:spacing w:after="0" w:line="54" w:lineRule="exact"/>
        <w:rPr>
          <w:sz w:val="20"/>
          <w:szCs w:val="20"/>
          <w:color w:val="auto"/>
        </w:rPr>
      </w:pPr>
    </w:p>
    <w:p>
      <w:pPr>
        <w:ind w:left="440" w:right="40" w:firstLine="423"/>
        <w:spacing w:after="0" w:line="289" w:lineRule="auto"/>
        <w:rPr>
          <w:sz w:val="20"/>
          <w:szCs w:val="20"/>
          <w:color w:val="auto"/>
        </w:rPr>
      </w:pPr>
      <w:r>
        <w:rPr>
          <w:rFonts w:ascii="Arial" w:cs="Arial" w:eastAsia="Arial" w:hAnsi="Arial"/>
          <w:sz w:val="16"/>
          <w:szCs w:val="16"/>
          <w:b w:val="1"/>
          <w:bCs w:val="1"/>
          <w:color w:val="auto"/>
        </w:rPr>
        <w:t xml:space="preserve">FOURTH: </w:t>
      </w:r>
      <w:r>
        <w:rPr>
          <w:rFonts w:ascii="Arial" w:cs="Arial" w:eastAsia="Arial" w:hAnsi="Arial"/>
          <w:sz w:val="16"/>
          <w:szCs w:val="16"/>
          <w:color w:val="auto"/>
        </w:rPr>
        <w:t>The total number of shares of all classes of stock which the Corporation shall have authority to issue is (i) 50,500,000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Common Stock, $0.0001 par value per share </w:t>
      </w:r>
      <w:r>
        <w:rPr>
          <w:rFonts w:ascii="Arial" w:cs="Arial" w:eastAsia="Arial" w:hAnsi="Arial"/>
          <w:sz w:val="16"/>
          <w:szCs w:val="16"/>
          <w:b w:val="1"/>
          <w:bCs w:val="1"/>
          <w:color w:val="auto"/>
        </w:rPr>
        <w:t>(“Common Stock”)</w:t>
      </w:r>
      <w:r>
        <w:rPr>
          <w:rFonts w:ascii="Arial" w:cs="Arial" w:eastAsia="Arial" w:hAnsi="Arial"/>
          <w:sz w:val="16"/>
          <w:szCs w:val="16"/>
          <w:color w:val="auto"/>
        </w:rPr>
        <w:t xml:space="preserve"> and (ii) 42,066,830 shares of Preferred Stock, $0.0001 par value per share </w:t>
      </w:r>
      <w:r>
        <w:rPr>
          <w:rFonts w:ascii="Arial" w:cs="Arial" w:eastAsia="Arial" w:hAnsi="Arial"/>
          <w:sz w:val="16"/>
          <w:szCs w:val="16"/>
          <w:b w:val="1"/>
          <w:bCs w:val="1"/>
          <w:color w:val="auto"/>
        </w:rPr>
        <w:t xml:space="preserve">(“Preferred Stock”). </w:t>
      </w:r>
      <w:r>
        <w:rPr>
          <w:rFonts w:ascii="Arial" w:cs="Arial" w:eastAsia="Arial" w:hAnsi="Arial"/>
          <w:sz w:val="16"/>
          <w:szCs w:val="16"/>
          <w:color w:val="auto"/>
        </w:rPr>
        <w:t>Immediately upon the filing of this Amended and Restated Certificate with the Secretary of State of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b w:val="1"/>
          <w:bCs w:val="1"/>
          <w:color w:val="auto"/>
        </w:rPr>
        <w:t>“Effective Time”),</w:t>
      </w:r>
      <w:r>
        <w:rPr>
          <w:rFonts w:ascii="Arial" w:cs="Arial" w:eastAsia="Arial" w:hAnsi="Arial"/>
          <w:sz w:val="16"/>
          <w:szCs w:val="16"/>
          <w:color w:val="auto"/>
        </w:rPr>
        <w:t xml:space="preserve"> (i) every 30 shares of Common Stock issued and outstanding immediately prior to the Effective Time shall be combined into one share of Common Stock, (ii) every 30 shares of Series A Preferred Stock issued and outstanding immediately prior to the Effective Time shall be combined into one share of Series A Preferred Stock and (iii) every 30 shares of Series A-1 Preferred Stock issued and outstanding immediately prior to the Effective Time shall be combined into one share of Series A-1 Preferred Stock (the </w:t>
      </w:r>
      <w:r>
        <w:rPr>
          <w:rFonts w:ascii="Arial" w:cs="Arial" w:eastAsia="Arial" w:hAnsi="Arial"/>
          <w:sz w:val="16"/>
          <w:szCs w:val="16"/>
          <w:b w:val="1"/>
          <w:bCs w:val="1"/>
          <w:color w:val="auto"/>
        </w:rPr>
        <w:t>“Reverse Stock Split”),</w:t>
      </w:r>
      <w:r>
        <w:rPr>
          <w:rFonts w:ascii="Arial" w:cs="Arial" w:eastAsia="Arial" w:hAnsi="Arial"/>
          <w:sz w:val="16"/>
          <w:szCs w:val="16"/>
          <w:color w:val="auto"/>
        </w:rPr>
        <w:t xml:space="preserve"> in each case automatically and without any action on the part of the respective holders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Corporation shall issue no fractional shares of Common Stock, Series A Preferred Stock or Series A-1 Preferred Stock as a result of the Reverse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23" w:name="page224"/>
    <w:bookmarkEnd w:id="223"/>
    <w:p>
      <w:pPr>
        <w:ind w:left="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Split, but shall instead pay to any stockholder who would be entitled to receive a fractional share as a result of the Reverse Stock Split a sum in cash equal to the fair market value of the shares constituting such fractional share as determined by the Board of Directors of the Corporation. The Reverse Stock Split shall be effected on a certificate-by-certificate basis and shall occur whether or not the certificates representing such shares of Common Stock, Series A Preferred Stock or Series A-1 Preferred Stock are surrendered to the Corporation. No further adjustment of the Series A Conversion Price or Series A-1 Conversion Price, preference, price or right set forth in this Article Fourth shall be made as a result of the Reverse Stock Split, as all share amounts, amounts per share and per share numbers set forth in this Restated Certificate have been appropriately adjusted to reflect the Reverse Stock Split.</w:t>
      </w:r>
    </w:p>
    <w:p>
      <w:pPr>
        <w:spacing w:after="0" w:line="17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COMMON STOCK</w:t>
      </w:r>
    </w:p>
    <w:p>
      <w:pPr>
        <w:spacing w:after="0" w:line="225" w:lineRule="exact"/>
        <w:rPr>
          <w:sz w:val="20"/>
          <w:szCs w:val="20"/>
          <w:color w:val="auto"/>
        </w:rPr>
      </w:pPr>
    </w:p>
    <w:p>
      <w:pPr>
        <w:ind w:right="440" w:firstLine="987"/>
        <w:spacing w:after="0" w:line="277" w:lineRule="auto"/>
        <w:tabs>
          <w:tab w:leader="none" w:pos="1171"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70" w:lineRule="exact"/>
        <w:rPr>
          <w:rFonts w:ascii="Arial" w:cs="Arial" w:eastAsia="Arial" w:hAnsi="Arial"/>
          <w:sz w:val="18"/>
          <w:szCs w:val="18"/>
          <w:color w:val="auto"/>
        </w:rPr>
      </w:pPr>
    </w:p>
    <w:p>
      <w:pPr>
        <w:ind w:right="80" w:firstLine="987"/>
        <w:spacing w:after="0" w:line="273" w:lineRule="auto"/>
        <w:tabs>
          <w:tab w:leader="none" w:pos="1171" w:val="left"/>
        </w:tabs>
        <w:numPr>
          <w:ilvl w:val="1"/>
          <w:numId w:val="140"/>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The holders of the Common Stock are entitled to one vote for each share of Common Stock held at all meetings of stockholders (and written actions in lieu of meetings).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this Amended and Restated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77" w:lineRule="exact"/>
        <w:rPr>
          <w:rFonts w:ascii="Arial" w:cs="Arial" w:eastAsia="Arial" w:hAnsi="Arial"/>
          <w:sz w:val="17"/>
          <w:szCs w:val="17"/>
          <w:color w:val="auto"/>
        </w:rPr>
      </w:pPr>
    </w:p>
    <w:p>
      <w:pPr>
        <w:ind w:left="640" w:hanging="204"/>
        <w:spacing w:after="0"/>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21"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color w:val="auto"/>
        </w:rPr>
        <w:t xml:space="preserve">711,203 shares of the authorized Preferred Stock of the Corporation are hereby designated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xml:space="preserve"> 11,898,177 shares of the authorized Preferred Stock of the Corporation are hereby designated </w:t>
      </w:r>
      <w:r>
        <w:rPr>
          <w:rFonts w:ascii="Arial" w:cs="Arial" w:eastAsia="Arial" w:hAnsi="Arial"/>
          <w:sz w:val="17"/>
          <w:szCs w:val="17"/>
          <w:b w:val="1"/>
          <w:bCs w:val="1"/>
          <w:color w:val="auto"/>
        </w:rPr>
        <w:t>“Series A-1 Preferred Stock”</w:t>
      </w:r>
      <w:r>
        <w:rPr>
          <w:rFonts w:ascii="Arial" w:cs="Arial" w:eastAsia="Arial" w:hAnsi="Arial"/>
          <w:sz w:val="17"/>
          <w:szCs w:val="17"/>
          <w:color w:val="auto"/>
        </w:rPr>
        <w:t xml:space="preserve"> and 29,457,450 shares of the authorized and unissued Preferred Stock of the Corporation are hereby designated </w:t>
      </w:r>
      <w:r>
        <w:rPr>
          <w:rFonts w:ascii="Arial" w:cs="Arial" w:eastAsia="Arial" w:hAnsi="Arial"/>
          <w:sz w:val="17"/>
          <w:szCs w:val="17"/>
          <w:b w:val="1"/>
          <w:bCs w:val="1"/>
          <w:color w:val="auto"/>
        </w:rPr>
        <w:t>“Series B Preferred Stock”,</w:t>
      </w:r>
      <w:r>
        <w:rPr>
          <w:rFonts w:ascii="Arial" w:cs="Arial" w:eastAsia="Arial" w:hAnsi="Arial"/>
          <w:sz w:val="17"/>
          <w:szCs w:val="17"/>
          <w:color w:val="auto"/>
        </w:rPr>
        <w:t xml:space="preserve"> each with the following rights, preferences, powers, privileges and restrictions, qualifications and limitations. The Series A Preferred Stock, Series A-1 Preferred Stock and Series B Preferred Stock may collectively be referred to as the </w:t>
      </w:r>
      <w:r>
        <w:rPr>
          <w:rFonts w:ascii="Arial" w:cs="Arial" w:eastAsia="Arial" w:hAnsi="Arial"/>
          <w:sz w:val="17"/>
          <w:szCs w:val="17"/>
          <w:b w:val="1"/>
          <w:bCs w:val="1"/>
          <w:color w:val="auto"/>
        </w:rPr>
        <w:t>“Preferred Stock”.</w:t>
      </w:r>
      <w:r>
        <w:rPr>
          <w:rFonts w:ascii="Arial" w:cs="Arial" w:eastAsia="Arial" w:hAnsi="Arial"/>
          <w:sz w:val="17"/>
          <w:szCs w:val="17"/>
          <w:color w:val="auto"/>
        </w:rPr>
        <w:t xml:space="preserve"> Unless otherwise indicated, references to “sections” or “subsections” in this Part B of this Article Fourth refer to sections and subsections of Part B of this Article Fourth.</w:t>
      </w:r>
    </w:p>
    <w:p>
      <w:pPr>
        <w:spacing w:after="0" w:line="177" w:lineRule="exact"/>
        <w:rPr>
          <w:sz w:val="20"/>
          <w:szCs w:val="20"/>
          <w:color w:val="auto"/>
        </w:rPr>
      </w:pPr>
    </w:p>
    <w:p>
      <w:pPr>
        <w:ind w:left="1160" w:hanging="173"/>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Amended and Restated Certificate of Incorporation) the holders of the Preferred Stock then outstanding shall first receive, or simultaneously receive,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24" w:name="page225"/>
    <w:bookmarkEnd w:id="22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class or series had been converted into Common Stock and (B) the number of shares of Common Stock issuable upon conversion of a share of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Applicable Original Issue Price (as defined below); provided that, if the Corporation declares, pays or sets aside, on the same date, a dividend on shares of more than one class or series of capital stock of the Corporation, the dividend payable to the holders of Preferred Stock pursuant to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be calculated based upon the dividend on the class or series of capital stock that would result in the highest Preferred Stock dividend. The “</w:t>
      </w:r>
      <w:r>
        <w:rPr>
          <w:rFonts w:ascii="Arial" w:cs="Arial" w:eastAsia="Arial" w:hAnsi="Arial"/>
          <w:sz w:val="16"/>
          <w:szCs w:val="16"/>
          <w:b w:val="1"/>
          <w:bCs w:val="1"/>
          <w:color w:val="auto"/>
        </w:rPr>
        <w:t>Series A Original Issue Price</w:t>
      </w:r>
      <w:r>
        <w:rPr>
          <w:rFonts w:ascii="Arial" w:cs="Arial" w:eastAsia="Arial" w:hAnsi="Arial"/>
          <w:sz w:val="16"/>
          <w:szCs w:val="16"/>
          <w:color w:val="auto"/>
        </w:rPr>
        <w:t>” shall mean $1.50 per share of Series A Preferred Stock, the “</w:t>
      </w:r>
      <w:r>
        <w:rPr>
          <w:rFonts w:ascii="Arial" w:cs="Arial" w:eastAsia="Arial" w:hAnsi="Arial"/>
          <w:sz w:val="16"/>
          <w:szCs w:val="16"/>
          <w:b w:val="1"/>
          <w:bCs w:val="1"/>
          <w:color w:val="auto"/>
        </w:rPr>
        <w:t>Series A-1 Original Issue Price</w:t>
      </w:r>
      <w:r>
        <w:rPr>
          <w:rFonts w:ascii="Arial" w:cs="Arial" w:eastAsia="Arial" w:hAnsi="Arial"/>
          <w:sz w:val="16"/>
          <w:szCs w:val="16"/>
          <w:color w:val="auto"/>
        </w:rPr>
        <w:t>” shall mean $1.50 per share of Series A-1 Preferred Stock and the “</w:t>
      </w:r>
      <w:r>
        <w:rPr>
          <w:rFonts w:ascii="Arial" w:cs="Arial" w:eastAsia="Arial" w:hAnsi="Arial"/>
          <w:sz w:val="16"/>
          <w:szCs w:val="16"/>
          <w:b w:val="1"/>
          <w:bCs w:val="1"/>
          <w:color w:val="auto"/>
        </w:rPr>
        <w:t>Series B Original Issue Price</w:t>
      </w:r>
      <w:r>
        <w:rPr>
          <w:rFonts w:ascii="Arial" w:cs="Arial" w:eastAsia="Arial" w:hAnsi="Arial"/>
          <w:sz w:val="16"/>
          <w:szCs w:val="16"/>
          <w:color w:val="auto"/>
        </w:rPr>
        <w:t>” shall mean $2.55 per share of Series B Preferred Stock, in each case subject to appropriate adjustment in the event of any stock dividend, stock split, combination or other similar recapitalization with respect to such series of Preferred Stock. The Series A Original Issue Price, Series A-1 Original Issue Price and Series B Original Issue Price may be referred to herein, for each series of Preferred Stock, as applicable, as the “</w:t>
      </w:r>
      <w:r>
        <w:rPr>
          <w:rFonts w:ascii="Arial" w:cs="Arial" w:eastAsia="Arial" w:hAnsi="Arial"/>
          <w:sz w:val="16"/>
          <w:szCs w:val="16"/>
          <w:b w:val="1"/>
          <w:bCs w:val="1"/>
          <w:color w:val="auto"/>
        </w:rPr>
        <w:t>Applicable Original Issue Price</w:t>
      </w:r>
      <w:r>
        <w:rPr>
          <w:rFonts w:ascii="Arial" w:cs="Arial" w:eastAsia="Arial" w:hAnsi="Arial"/>
          <w:sz w:val="16"/>
          <w:szCs w:val="16"/>
          <w:color w:val="auto"/>
        </w:rPr>
        <w:t>”.</w:t>
      </w:r>
    </w:p>
    <w:p>
      <w:pPr>
        <w:spacing w:after="0" w:line="174" w:lineRule="exact"/>
        <w:rPr>
          <w:sz w:val="20"/>
          <w:szCs w:val="20"/>
          <w:color w:val="auto"/>
        </w:rPr>
      </w:pPr>
    </w:p>
    <w:p>
      <w:pPr>
        <w:ind w:left="1160" w:hanging="173"/>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225" w:lineRule="exact"/>
        <w:rPr>
          <w:sz w:val="20"/>
          <w:szCs w:val="20"/>
          <w:color w:val="auto"/>
        </w:rPr>
      </w:pPr>
    </w:p>
    <w:p>
      <w:pPr>
        <w:ind w:firstLine="1432"/>
        <w:spacing w:after="0" w:line="28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Series B Preferred Stock</w:t>
      </w:r>
      <w:r>
        <w:rPr>
          <w:rFonts w:ascii="Arial" w:cs="Arial" w:eastAsia="Arial" w:hAnsi="Arial"/>
          <w:sz w:val="16"/>
          <w:szCs w:val="16"/>
          <w:color w:val="auto"/>
        </w:rPr>
        <w:t xml:space="preserve">. In the event of any voluntary or involuntary liquidation, dissolution or winding up of the Corporation, the holders of shares of Series B Preferred Stock then outstanding shall be entitled to be paid out of the assets of the Corporation available for distribution to its stockholders, and in the event of a Deemed Liquidation Event (as defined below), the holders of shares of Series B Preferred Stock then outstanding shall be entitled to be paid out of the consideration payable to stockholders in such Deemed Liquidation Event or out of the Available Proceeds (as defined below), as applicable, before any payment shall be made to the holders of Common Stock, Series A Preferred Stock or Series A-1 Preferred Stock by reason of their respective ownership thereof, an amount per share equal to the Series B Original Issue Price, plus any dividends declared but unpaid thereon. If upon any such liquidation, dissolution or winding up of the Corporation or Deemed Liquidation Event, the assets of the Corporation available for distribution to its stockholders shall be insufficient to pay the holders of shares of Series B Preferred Stock the full amount to which they shall be entitled under this </w:t>
      </w:r>
      <w:r>
        <w:rPr>
          <w:rFonts w:ascii="Arial" w:cs="Arial" w:eastAsia="Arial" w:hAnsi="Arial"/>
          <w:sz w:val="16"/>
          <w:szCs w:val="16"/>
          <w:u w:val="single" w:color="auto"/>
          <w:color w:val="auto"/>
        </w:rPr>
        <w:t>Section 2.1</w:t>
      </w:r>
      <w:r>
        <w:rPr>
          <w:rFonts w:ascii="Arial" w:cs="Arial" w:eastAsia="Arial" w:hAnsi="Arial"/>
          <w:sz w:val="16"/>
          <w:szCs w:val="16"/>
          <w:color w:val="auto"/>
        </w:rPr>
        <w:t>, the holders of shares of Series B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2" w:lineRule="exact"/>
        <w:rPr>
          <w:sz w:val="20"/>
          <w:szCs w:val="20"/>
          <w:color w:val="auto"/>
        </w:rPr>
      </w:pPr>
    </w:p>
    <w:p>
      <w:pPr>
        <w:ind w:right="40" w:firstLine="1432"/>
        <w:spacing w:after="0" w:line="290"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Preferential Payments to Holders of Series A-1 Preferred Stock</w:t>
      </w:r>
      <w:r>
        <w:rPr>
          <w:rFonts w:ascii="Arial" w:cs="Arial" w:eastAsia="Arial" w:hAnsi="Arial"/>
          <w:sz w:val="16"/>
          <w:szCs w:val="16"/>
          <w:color w:val="auto"/>
        </w:rPr>
        <w:t xml:space="preserve">. In the event of any voluntary or involuntary liquidation, dissolution or winding up of the Corporation, after the payment to the holders of Series B Preferred Stock in accordance with </w:t>
      </w:r>
      <w:r>
        <w:rPr>
          <w:rFonts w:ascii="Arial" w:cs="Arial" w:eastAsia="Arial" w:hAnsi="Arial"/>
          <w:sz w:val="16"/>
          <w:szCs w:val="16"/>
          <w:u w:val="single" w:color="auto"/>
          <w:color w:val="auto"/>
        </w:rPr>
        <w:t>Section 2.1</w:t>
      </w:r>
      <w:r>
        <w:rPr>
          <w:rFonts w:ascii="Arial" w:cs="Arial" w:eastAsia="Arial" w:hAnsi="Arial"/>
          <w:sz w:val="16"/>
          <w:szCs w:val="16"/>
          <w:color w:val="auto"/>
        </w:rPr>
        <w:t>, the holders of shares of Series A-1 Preferred Stock then outstanding shall be entitled to be paid out of the assets of the Corporation available for distribution to its stockholders, and in the event of a Deemed Liquidation Event (as defined below), the holders of shares of Series A-1 Preferred Stock then outstanding shall be entitled to be paid out of the consideration payable to stockholders in such Deemed Liquidation Event or out of the Available Proceeds (as defined below), as applicable, before any payment shall be made to the holders of Common Stock or Series A Preferred Stock by reason of their respective ownership thereof, an amount per share equal to the Series A-1 Original Issue Price plus any dividends declared but unpaid thereon. If upon any such liquidation, dissolution or winding up of the Corporation or Deemed Liquidation Event, the assets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225" w:name="page226"/>
    <w:bookmarkEnd w:id="225"/>
    <w:p>
      <w:pPr>
        <w:ind w:right="2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Corporation available for distribution to its stockholders shall be insufficient to pay the holders of shares of Series A-1 Preferred Stock the full amount to which they shall be entitled under this </w:t>
      </w:r>
      <w:r>
        <w:rPr>
          <w:rFonts w:ascii="Arial" w:cs="Arial" w:eastAsia="Arial" w:hAnsi="Arial"/>
          <w:sz w:val="17"/>
          <w:szCs w:val="17"/>
          <w:u w:val="single" w:color="auto"/>
          <w:color w:val="auto"/>
        </w:rPr>
        <w:t>Section 2.2</w:t>
      </w:r>
      <w:r>
        <w:rPr>
          <w:rFonts w:ascii="Arial" w:cs="Arial" w:eastAsia="Arial" w:hAnsi="Arial"/>
          <w:sz w:val="17"/>
          <w:szCs w:val="17"/>
          <w:color w:val="auto"/>
        </w:rPr>
        <w:t>, the holders of shares of Series A-1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1" w:lineRule="exact"/>
        <w:rPr>
          <w:sz w:val="20"/>
          <w:szCs w:val="20"/>
          <w:color w:val="auto"/>
        </w:rPr>
      </w:pPr>
    </w:p>
    <w:p>
      <w:pPr>
        <w:ind w:right="20" w:firstLine="1432"/>
        <w:spacing w:after="0" w:line="26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Preferential Payments to Holders of Series A Preferred Stock</w:t>
      </w:r>
      <w:r>
        <w:rPr>
          <w:rFonts w:ascii="Arial" w:cs="Arial" w:eastAsia="Arial" w:hAnsi="Arial"/>
          <w:sz w:val="17"/>
          <w:szCs w:val="17"/>
          <w:color w:val="auto"/>
        </w:rPr>
        <w:t xml:space="preserve">. In the event of any voluntary or involuntary liquidation, dissolution or winding up of the Corporation, after the payment to the holders of Series B Preferred Stock in accordance with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Series A-1 Preferred Stock in accordance with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the holders of shares of Series A Preferred Stock then outstanding shall be entitled to be paid out of the assets of the Corporation available for distribution to its stockholders, and in the event of a Deemed Liquidation Event (as defined below), the holders of shares of Series A Preferred Stock then outstanding shall be entitled to be paid out of the consideration payable to stockholders in such Deemed Liquidation Event or out of the Available Proceeds (as defined below), as applicable, before any payment shall be made to the holders of Common Stock by reason of their ownership thereof, an amount per share equal to the Series A Original Issue Price, plus any dividends declared but unpaid thereon. If upon any such liquidation, dissolution or winding up of the Corporation or Deemed Liquidation Event, the assets of the Corporation available for distribution to its stockholders shall be insufficient to pay the holders of shares of Series A Preferred Stock the full amount to which they shall be entitled under this </w:t>
      </w:r>
      <w:r>
        <w:rPr>
          <w:rFonts w:ascii="Arial" w:cs="Arial" w:eastAsia="Arial" w:hAnsi="Arial"/>
          <w:sz w:val="17"/>
          <w:szCs w:val="17"/>
          <w:u w:val="single" w:color="auto"/>
          <w:color w:val="auto"/>
        </w:rPr>
        <w:t>Section 2.3</w:t>
      </w:r>
      <w:r>
        <w:rPr>
          <w:rFonts w:ascii="Arial" w:cs="Arial" w:eastAsia="Arial" w:hAnsi="Arial"/>
          <w:sz w:val="17"/>
          <w:szCs w:val="17"/>
          <w:color w:val="auto"/>
        </w:rPr>
        <w:t>, the holders of shares of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9" w:lineRule="exact"/>
        <w:rPr>
          <w:sz w:val="20"/>
          <w:szCs w:val="20"/>
          <w:color w:val="auto"/>
        </w:rPr>
      </w:pPr>
    </w:p>
    <w:p>
      <w:pPr>
        <w:ind w:firstLine="1432"/>
        <w:spacing w:after="0" w:line="28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Distribution of Remaining Assets</w:t>
      </w:r>
      <w:r>
        <w:rPr>
          <w:rFonts w:ascii="Arial" w:cs="Arial" w:eastAsia="Arial" w:hAnsi="Arial"/>
          <w:sz w:val="16"/>
          <w:szCs w:val="16"/>
          <w:color w:val="auto"/>
        </w:rPr>
        <w:t xml:space="preserve">. In the event of any voluntary or involuntary liquidation, dissolution or winding up of the Corporation, after the payment to the holders of shares of Preferred Stock in accordance with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the remaining assets of the Corporation available for distribution to its stockholders or, in the case of a Deemed Liquidation Event, the consideration not payable to the holders of shares of Preferred Stock pursuant to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or the remaining Available Proceeds, as the case may be, shall be distributed among the holders of the shares of Preferred Stock and Common Stock, pro rata based on the number of shares held by each such holder, treating for this purpose all such securities as if they had been converted to Common Stock pursuant to the terms of this Amended and Restated Certificate of Incorporation immediately prior to such liquidation, dissolution or winding up of the Corporation, provided, however, that (i) if the aggregate amount per share of Series B Preferred Stock which the holders of Series B Preferred Stock would be entitled to receive under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would exceed two times the Series B Original Issue Price, (ii) if the aggregate amount per share of Series A-1 Preferred Stock which the holders of Series A-1 Preferred Stock would be entitled to receive under </w:t>
      </w:r>
      <w:r>
        <w:rPr>
          <w:rFonts w:ascii="Arial" w:cs="Arial" w:eastAsia="Arial" w:hAnsi="Arial"/>
          <w:sz w:val="16"/>
          <w:szCs w:val="16"/>
          <w:u w:val="single" w:color="auto"/>
          <w:color w:val="auto"/>
        </w:rPr>
        <w:t>Sections 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would exceed two times the Series A-1 Original Issue Price, or (iii) if the aggregate amount per share of Series A Preferred Stock which the holders of Series A Preferred Stock would be entitled to receive under </w:t>
      </w:r>
      <w:r>
        <w:rPr>
          <w:rFonts w:ascii="Arial" w:cs="Arial" w:eastAsia="Arial" w:hAnsi="Arial"/>
          <w:sz w:val="16"/>
          <w:szCs w:val="16"/>
          <w:u w:val="single" w:color="auto"/>
          <w:color w:val="auto"/>
        </w:rPr>
        <w:t>Sections 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would exceed two times the Series A Original Issue Price (as applicable, the </w:t>
      </w:r>
      <w:r>
        <w:rPr>
          <w:rFonts w:ascii="Arial" w:cs="Arial" w:eastAsia="Arial" w:hAnsi="Arial"/>
          <w:sz w:val="16"/>
          <w:szCs w:val="16"/>
          <w:b w:val="1"/>
          <w:bCs w:val="1"/>
          <w:color w:val="auto"/>
        </w:rPr>
        <w:t>“Maximum Participation Amount”),</w:t>
      </w:r>
      <w:r>
        <w:rPr>
          <w:rFonts w:ascii="Arial" w:cs="Arial" w:eastAsia="Arial" w:hAnsi="Arial"/>
          <w:sz w:val="16"/>
          <w:szCs w:val="16"/>
          <w:color w:val="auto"/>
        </w:rPr>
        <w:t xml:space="preserve"> then in lieu of receiving such aggregate amount per share of such series of Preferred Stock, each holder of such series of Preferred Stock shall instead be entitled to receive upon such liquidation, dissolution or winding up of the Corporation the greater of (i) the Maximum Participation Amount per share of such series of Preferred Stock or (ii) the amount per share of such series of Preferred Stock such holder would have received if all shares of such series of Preferred Stock had been converted into Common Stock immediately prior to such liquidation, dissolution or winding up of the Corporation. The amount which a holder of shares of a series of Preferred Stock is entitled to receive under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is hereinafter referred to, for each such series of Preferred Stock, as the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Liquidation Amount”.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26" w:name="page227"/>
    <w:bookmarkEnd w:id="226"/>
    <w:p>
      <w:pPr>
        <w:ind w:left="1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2.5 </w:t>
      </w: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221" w:lineRule="exact"/>
        <w:rPr>
          <w:sz w:val="20"/>
          <w:szCs w:val="20"/>
          <w:color w:val="auto"/>
        </w:rPr>
      </w:pPr>
    </w:p>
    <w:p>
      <w:pPr>
        <w:jc w:val="both"/>
        <w:ind w:left="4" w:right="40" w:firstLine="1983"/>
        <w:spacing w:after="0" w:line="266"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u w:val="single" w:color="auto"/>
          <w:color w:val="auto"/>
        </w:rPr>
        <w:t>Definition</w:t>
      </w:r>
      <w:r>
        <w:rPr>
          <w:rFonts w:ascii="Arial" w:cs="Arial" w:eastAsia="Arial" w:hAnsi="Arial"/>
          <w:sz w:val="18"/>
          <w:szCs w:val="18"/>
          <w:color w:val="auto"/>
        </w:rPr>
        <w:t xml:space="preserve">. Each of the following events shall be considered a </w:t>
      </w:r>
      <w:r>
        <w:rPr>
          <w:rFonts w:ascii="Arial" w:cs="Arial" w:eastAsia="Arial" w:hAnsi="Arial"/>
          <w:sz w:val="18"/>
          <w:szCs w:val="18"/>
          <w:b w:val="1"/>
          <w:bCs w:val="1"/>
          <w:color w:val="auto"/>
        </w:rPr>
        <w:t>“Deemed Liquidation Event”</w:t>
      </w:r>
      <w:r>
        <w:rPr>
          <w:rFonts w:ascii="Arial" w:cs="Arial" w:eastAsia="Arial" w:hAnsi="Arial"/>
          <w:sz w:val="18"/>
          <w:szCs w:val="18"/>
          <w:color w:val="auto"/>
        </w:rPr>
        <w:t xml:space="preserve"> unless the holders of at least sixty-seven percent (67%) of the outstanding shares of Series B Preferred Stock (the </w:t>
      </w:r>
      <w:r>
        <w:rPr>
          <w:rFonts w:ascii="Arial" w:cs="Arial" w:eastAsia="Arial" w:hAnsi="Arial"/>
          <w:sz w:val="18"/>
          <w:szCs w:val="18"/>
          <w:b w:val="1"/>
          <w:bCs w:val="1"/>
          <w:color w:val="auto"/>
        </w:rPr>
        <w:t>“Requisite Holders”),</w:t>
      </w:r>
      <w:r>
        <w:rPr>
          <w:rFonts w:ascii="Arial" w:cs="Arial" w:eastAsia="Arial" w:hAnsi="Arial"/>
          <w:sz w:val="18"/>
          <w:szCs w:val="18"/>
          <w:color w:val="auto"/>
        </w:rPr>
        <w:t xml:space="preserve"> elect otherwise by written notice sent to the Corporation at least 10 days prior to the effective date of any such event:</w:t>
      </w:r>
    </w:p>
    <w:p>
      <w:pPr>
        <w:spacing w:after="0" w:line="72" w:lineRule="exact"/>
        <w:rPr>
          <w:sz w:val="20"/>
          <w:szCs w:val="20"/>
          <w:color w:val="auto"/>
        </w:rPr>
      </w:pPr>
    </w:p>
    <w:p>
      <w:pPr>
        <w:ind w:left="2664" w:hanging="241"/>
        <w:spacing w:after="0"/>
        <w:tabs>
          <w:tab w:leader="none" w:pos="266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30" w:lineRule="exact"/>
        <w:rPr>
          <w:rFonts w:ascii="Arial" w:cs="Arial" w:eastAsia="Arial" w:hAnsi="Arial"/>
          <w:sz w:val="18"/>
          <w:szCs w:val="18"/>
          <w:color w:val="auto"/>
        </w:rPr>
      </w:pPr>
    </w:p>
    <w:p>
      <w:pPr>
        <w:ind w:left="3164" w:hanging="532"/>
        <w:spacing w:after="0"/>
        <w:tabs>
          <w:tab w:leader="none" w:pos="316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30" w:lineRule="exact"/>
        <w:rPr>
          <w:rFonts w:ascii="Arial" w:cs="Arial" w:eastAsia="Arial" w:hAnsi="Arial"/>
          <w:sz w:val="18"/>
          <w:szCs w:val="18"/>
          <w:color w:val="auto"/>
        </w:rPr>
      </w:pPr>
    </w:p>
    <w:p>
      <w:pPr>
        <w:ind w:left="3164" w:right="140" w:hanging="532"/>
        <w:spacing w:after="0" w:line="277" w:lineRule="auto"/>
        <w:tabs>
          <w:tab w:leader="none" w:pos="316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or consolidation,</w:t>
      </w:r>
    </w:p>
    <w:p>
      <w:pPr>
        <w:spacing w:after="0" w:line="170" w:lineRule="exact"/>
        <w:rPr>
          <w:sz w:val="20"/>
          <w:szCs w:val="20"/>
          <w:color w:val="auto"/>
        </w:rPr>
      </w:pPr>
    </w:p>
    <w:p>
      <w:pPr>
        <w:jc w:val="both"/>
        <w:ind w:left="4" w:right="140"/>
        <w:spacing w:after="0" w:line="287" w:lineRule="auto"/>
        <w:rPr>
          <w:sz w:val="20"/>
          <w:szCs w:val="20"/>
          <w:color w:val="auto"/>
        </w:rPr>
      </w:pPr>
      <w:r>
        <w:rPr>
          <w:rFonts w:ascii="Arial" w:cs="Arial" w:eastAsia="Arial" w:hAnsi="Arial"/>
          <w:sz w:val="16"/>
          <w:szCs w:val="16"/>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 majority, by voting power, of the capital stock of (l) the surviving or resulting corporation; or</w:t>
      </w:r>
    </w:p>
    <w:p>
      <w:pPr>
        <w:spacing w:after="0" w:line="2" w:lineRule="exact"/>
        <w:rPr>
          <w:sz w:val="20"/>
          <w:szCs w:val="20"/>
          <w:color w:val="auto"/>
        </w:rPr>
      </w:pPr>
    </w:p>
    <w:p>
      <w:pPr>
        <w:ind w:left="4" w:right="140" w:hanging="4"/>
        <w:spacing w:after="0" w:line="260" w:lineRule="auto"/>
        <w:tabs>
          <w:tab w:leader="none" w:pos="25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the surviving or resulting corporation is a wholly owned subsidiary of another corporation immediately following such merger or consolidation, the parent corporation of such surviving or resulting corporation; or</w:t>
      </w:r>
    </w:p>
    <w:p>
      <w:pPr>
        <w:spacing w:after="0" w:line="185" w:lineRule="exact"/>
        <w:rPr>
          <w:rFonts w:ascii="Arial" w:cs="Arial" w:eastAsia="Arial" w:hAnsi="Arial"/>
          <w:sz w:val="18"/>
          <w:szCs w:val="18"/>
          <w:color w:val="auto"/>
        </w:rPr>
      </w:pPr>
    </w:p>
    <w:p>
      <w:pPr>
        <w:ind w:left="4" w:firstLine="2419"/>
        <w:spacing w:after="0" w:line="255" w:lineRule="auto"/>
        <w:tabs>
          <w:tab w:leader="none" w:pos="268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(1) the sale, lease, transfer, exclusive license or other disposition, in a single transaction or series of related transactions, by the Corporation or any subsidiary of the Corporation of all or substantially all the assets of the Corporation and its subsidiaries taken as a whole, or (2) the sale or disposition (whether by merger, consolidation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92"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25" w:lineRule="exact"/>
        <w:rPr>
          <w:sz w:val="20"/>
          <w:szCs w:val="20"/>
          <w:color w:val="auto"/>
        </w:rPr>
      </w:pPr>
    </w:p>
    <w:p>
      <w:pPr>
        <w:ind w:left="4" w:right="40" w:firstLine="2419"/>
        <w:spacing w:after="0" w:line="259" w:lineRule="auto"/>
        <w:tabs>
          <w:tab w:leader="none" w:pos="267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The Corporation shall not have the power to effect a Deemed Liquidation Event referred to in </w:t>
      </w:r>
      <w:r>
        <w:rPr>
          <w:rFonts w:ascii="Arial" w:cs="Arial" w:eastAsia="Arial" w:hAnsi="Arial"/>
          <w:sz w:val="18"/>
          <w:szCs w:val="18"/>
          <w:u w:val="single" w:color="auto"/>
          <w:color w:val="auto"/>
        </w:rPr>
        <w:t>Section 2.5.1(a)(i)</w:t>
      </w:r>
      <w:r>
        <w:rPr>
          <w:rFonts w:ascii="Arial" w:cs="Arial" w:eastAsia="Arial" w:hAnsi="Arial"/>
          <w:sz w:val="18"/>
          <w:szCs w:val="18"/>
          <w:color w:val="auto"/>
        </w:rPr>
        <w:t xml:space="preserve"> unless the agreement or plan of merger or consolidation for such transaction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xml:space="preserve"> provides that the consideration payable to the stockholders of the Corporation in such Deemed Liquidation Event shall be paid to the holders of capital stock of the Corporation in accordance with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2.4</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 w:right="100" w:firstLine="2419"/>
        <w:spacing w:after="0" w:line="254" w:lineRule="auto"/>
        <w:tabs>
          <w:tab w:leader="none" w:pos="268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In the event of a Deemed Liquidation Event referred to in </w:t>
      </w:r>
      <w:r>
        <w:rPr>
          <w:rFonts w:ascii="Arial" w:cs="Arial" w:eastAsia="Arial" w:hAnsi="Arial"/>
          <w:sz w:val="18"/>
          <w:szCs w:val="18"/>
          <w:u w:val="single" w:color="auto"/>
          <w:color w:val="auto"/>
        </w:rPr>
        <w:t>Section 2.5.1(a)(ii)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2.5.l(b)</w:t>
      </w:r>
      <w:r>
        <w:rPr>
          <w:rFonts w:ascii="Arial" w:cs="Arial" w:eastAsia="Arial" w:hAnsi="Arial"/>
          <w:sz w:val="18"/>
          <w:szCs w:val="18"/>
          <w:color w:val="auto"/>
        </w:rPr>
        <w:t>, if the Corporation does not effect a dissolution of the Corporation under the General Corporation Law within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to require the redemption of such shares of Preferred Stock, and (ii) if the Requisite Holders so request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together with any other assets of the Corporation</w:t>
      </w:r>
    </w:p>
    <w:p>
      <w:pPr>
        <w:spacing w:after="0" w:line="124"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4"/>
          </w:cols>
          <w:pgMar w:left="436" w:top="274" w:right="559" w:bottom="1440" w:gutter="0" w:footer="0" w:header="0"/>
        </w:sectPr>
      </w:pPr>
    </w:p>
    <w:bookmarkStart w:id="227" w:name="page228"/>
    <w:bookmarkEnd w:id="22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available for distribution to its stockholders, all to the extent permitted by Delaware law governing distributions to stockholders (the “</w:t>
      </w:r>
      <w:r>
        <w:rPr>
          <w:rFonts w:ascii="Arial" w:cs="Arial" w:eastAsia="Arial" w:hAnsi="Arial"/>
          <w:sz w:val="17"/>
          <w:szCs w:val="17"/>
          <w:b w:val="1"/>
          <w:bCs w:val="1"/>
          <w:color w:val="auto"/>
        </w:rPr>
        <w:t>Available</w:t>
      </w:r>
      <w:r>
        <w:rPr>
          <w:rFonts w:ascii="Arial" w:cs="Arial" w:eastAsia="Arial" w:hAnsi="Arial"/>
          <w:sz w:val="17"/>
          <w:szCs w:val="17"/>
          <w:color w:val="auto"/>
        </w:rPr>
        <w:t xml:space="preserve"> </w:t>
      </w:r>
      <w:r>
        <w:rPr>
          <w:rFonts w:ascii="Arial" w:cs="Arial" w:eastAsia="Arial" w:hAnsi="Arial"/>
          <w:sz w:val="17"/>
          <w:szCs w:val="17"/>
          <w:b w:val="1"/>
          <w:bCs w:val="1"/>
          <w:color w:val="auto"/>
        </w:rPr>
        <w:t>Proceeds</w:t>
      </w:r>
      <w:r>
        <w:rPr>
          <w:rFonts w:ascii="Arial" w:cs="Arial" w:eastAsia="Arial" w:hAnsi="Arial"/>
          <w:sz w:val="17"/>
          <w:szCs w:val="17"/>
          <w:color w:val="auto"/>
        </w:rPr>
        <w:t>”), on the 150</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day after such Deemed Liquidation Event, to redeem all outstanding shares of Preferred Stock at a price per share equal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Applicable Liquidation Amount.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Prior to the distribution or redemption provided for in this </w:t>
      </w:r>
      <w:r>
        <w:rPr>
          <w:rFonts w:ascii="Arial" w:cs="Arial" w:eastAsia="Arial" w:hAnsi="Arial"/>
          <w:sz w:val="17"/>
          <w:szCs w:val="17"/>
          <w:u w:val="single" w:color="auto"/>
          <w:color w:val="auto"/>
        </w:rPr>
        <w:t>Section 2.5.2(b)</w:t>
      </w:r>
      <w:r>
        <w:rPr>
          <w:rFonts w:ascii="Arial" w:cs="Arial" w:eastAsia="Arial" w:hAnsi="Arial"/>
          <w:sz w:val="17"/>
          <w:szCs w:val="17"/>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78" w:lineRule="exact"/>
        <w:rPr>
          <w:sz w:val="20"/>
          <w:szCs w:val="20"/>
          <w:color w:val="auto"/>
        </w:rPr>
      </w:pPr>
    </w:p>
    <w:p>
      <w:pPr>
        <w:ind w:right="160" w:firstLine="1983"/>
        <w:spacing w:after="0" w:line="259" w:lineRule="auto"/>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 of the Corporation.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2.5.4 </w:t>
      </w:r>
      <w:r>
        <w:rPr>
          <w:rFonts w:ascii="Arial" w:cs="Arial" w:eastAsia="Arial" w:hAnsi="Arial"/>
          <w:sz w:val="18"/>
          <w:szCs w:val="18"/>
          <w:u w:val="single" w:color="auto"/>
          <w:color w:val="auto"/>
        </w:rPr>
        <w:t>Allocation of Escrow and Contingent Consideration</w:t>
      </w:r>
      <w:r>
        <w:rPr>
          <w:rFonts w:ascii="Arial" w:cs="Arial" w:eastAsia="Arial" w:hAnsi="Arial"/>
          <w:sz w:val="18"/>
          <w:szCs w:val="18"/>
          <w:color w:val="auto"/>
        </w:rPr>
        <w:t>. In the event of a Deemed Liquidation Event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2.5.1(a)(i)</w:t>
      </w:r>
      <w:r>
        <w:rPr>
          <w:rFonts w:ascii="Arial" w:cs="Arial" w:eastAsia="Arial" w:hAnsi="Arial"/>
          <w:sz w:val="16"/>
          <w:szCs w:val="16"/>
          <w:color w:val="auto"/>
        </w:rPr>
        <w:t>, if any portion of the consideration payable to the stockholders of the Corporation is payable only upon satisfaction of contingencies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Additional Consideration</w:t>
      </w:r>
      <w:r>
        <w:rPr>
          <w:rFonts w:ascii="Arial" w:cs="Arial" w:eastAsia="Arial" w:hAnsi="Arial"/>
          <w:sz w:val="16"/>
          <w:szCs w:val="16"/>
          <w:color w:val="auto"/>
        </w:rPr>
        <w:t>”), the Merger Agreement shall provide that (a) the portion of such consideration that is not Additional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portion,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as if the Initial Consideration were the only consideration payable in connection with such Deemed Liquidation Event; and (b)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 Consideration which becomes payable to the stockholders of the Corporation upon satisfaction of such contingencies shall be allocated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among the holders of capital stock of the Corporation in accordance with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after taking into account the previous payment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Initial Consideration as part of the same transaction. For the purposes of this </w:t>
      </w:r>
      <w:r>
        <w:rPr>
          <w:rFonts w:ascii="Arial" w:cs="Arial" w:eastAsia="Arial" w:hAnsi="Arial"/>
          <w:sz w:val="17"/>
          <w:szCs w:val="17"/>
          <w:u w:val="single" w:color="auto"/>
          <w:color w:val="auto"/>
        </w:rPr>
        <w:t>Section 2.5.4</w:t>
      </w:r>
      <w:r>
        <w:rPr>
          <w:rFonts w:ascii="Arial" w:cs="Arial" w:eastAsia="Arial" w:hAnsi="Arial"/>
          <w:sz w:val="17"/>
          <w:szCs w:val="17"/>
          <w:color w:val="auto"/>
        </w:rPr>
        <w:t>, consideration placed into escrow or retained as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holdback to be available for satisfaction of indemnification or similar obligations in connection with such Deemed Liquidation Event shall be deemed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Additional Consideration.</w:t>
      </w:r>
    </w:p>
    <w:p>
      <w:pPr>
        <w:spacing w:after="0" w:line="211" w:lineRule="exact"/>
        <w:rPr>
          <w:sz w:val="20"/>
          <w:szCs w:val="20"/>
          <w:color w:val="auto"/>
        </w:rPr>
      </w:pPr>
    </w:p>
    <w:p>
      <w:pPr>
        <w:ind w:left="1160" w:hanging="173"/>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firstLine="1432"/>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this Amended and Restated Certificate of Incorporation, holders of Preferred Stock shall vote together with the holders of Common Stock as a single class and on an as-converted to Common Stock basis.</w:t>
      </w:r>
    </w:p>
    <w:p>
      <w:pPr>
        <w:spacing w:after="0" w:line="192" w:lineRule="exact"/>
        <w:rPr>
          <w:sz w:val="20"/>
          <w:szCs w:val="20"/>
          <w:color w:val="auto"/>
        </w:rPr>
      </w:pPr>
    </w:p>
    <w:p>
      <w:pPr>
        <w:jc w:val="both"/>
        <w:ind w:firstLine="1432"/>
        <w:spacing w:after="0" w:line="28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Election of Directors</w:t>
      </w:r>
      <w:r>
        <w:rPr>
          <w:rFonts w:ascii="Arial" w:cs="Arial" w:eastAsia="Arial" w:hAnsi="Arial"/>
          <w:sz w:val="17"/>
          <w:szCs w:val="17"/>
          <w:color w:val="auto"/>
        </w:rPr>
        <w:t>. The holders of record of the shares of Series B Preferred Stock, voting together as a separate class, shall be entitled to elect two directors of the Corporation (each, a “</w:t>
      </w:r>
      <w:r>
        <w:rPr>
          <w:rFonts w:ascii="Arial" w:cs="Arial" w:eastAsia="Arial" w:hAnsi="Arial"/>
          <w:sz w:val="17"/>
          <w:szCs w:val="17"/>
          <w:b w:val="1"/>
          <w:bCs w:val="1"/>
          <w:color w:val="auto"/>
        </w:rPr>
        <w:t>Series B Director</w:t>
      </w:r>
      <w:r>
        <w:rPr>
          <w:rFonts w:ascii="Arial" w:cs="Arial" w:eastAsia="Arial" w:hAnsi="Arial"/>
          <w:sz w:val="17"/>
          <w:szCs w:val="17"/>
          <w:color w:val="auto"/>
        </w:rPr>
        <w:t>”), the holders of record of the shares of Series A Preferred Stock and Series A-1 Preferred Stock, voting together as a single class, shall be entitled to elect two directors of the Corporation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228" w:name="page229"/>
    <w:bookmarkEnd w:id="22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a </w:t>
      </w:r>
      <w:r>
        <w:rPr>
          <w:rFonts w:ascii="Arial" w:cs="Arial" w:eastAsia="Arial" w:hAnsi="Arial"/>
          <w:sz w:val="16"/>
          <w:szCs w:val="16"/>
          <w:b w:val="1"/>
          <w:bCs w:val="1"/>
          <w:color w:val="auto"/>
        </w:rPr>
        <w:t>“Series A/A-l Director”</w:t>
      </w:r>
      <w:r>
        <w:rPr>
          <w:rFonts w:ascii="Arial" w:cs="Arial" w:eastAsia="Arial" w:hAnsi="Arial"/>
          <w:sz w:val="16"/>
          <w:szCs w:val="16"/>
          <w:color w:val="auto"/>
        </w:rPr>
        <w:t xml:space="preserve"> and together with the Series B Directors, the </w:t>
      </w:r>
      <w:r>
        <w:rPr>
          <w:rFonts w:ascii="Arial" w:cs="Arial" w:eastAsia="Arial" w:hAnsi="Arial"/>
          <w:sz w:val="16"/>
          <w:szCs w:val="16"/>
          <w:b w:val="1"/>
          <w:bCs w:val="1"/>
          <w:color w:val="auto"/>
        </w:rPr>
        <w:t>“Preferred Directors”)</w:t>
      </w:r>
      <w:r>
        <w:rPr>
          <w:rFonts w:ascii="Arial" w:cs="Arial" w:eastAsia="Arial" w:hAnsi="Arial"/>
          <w:sz w:val="16"/>
          <w:szCs w:val="16"/>
          <w:color w:val="auto"/>
        </w:rPr>
        <w:t xml:space="preserve"> and the holders of record of the shares of Common Stock, exclusively and as a separate class, shall be entitled to elect two directors of the Corporation (the </w:t>
      </w:r>
      <w:r>
        <w:rPr>
          <w:rFonts w:ascii="Arial" w:cs="Arial" w:eastAsia="Arial" w:hAnsi="Arial"/>
          <w:sz w:val="16"/>
          <w:szCs w:val="16"/>
          <w:b w:val="1"/>
          <w:bCs w:val="1"/>
          <w:color w:val="auto"/>
        </w:rPr>
        <w:t>“Common Directors”);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for administrative convenience, the initial Series B Directors may also be appointed by the Board of Directors in connection with the approval of the initial issuance of Preferred Stock without a separate action by the holders of Preferred Stock.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then any directorship not so filled shall remain vacant until such time as the holders of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 vacancy in any directorship filled by the holders of any class or classes or series shall be filled only by vote or written consent in lieu of a meeting of the holders of such class or classes or series or by any remaining director or directors elected by the holders of such class or classes or series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78" w:lineRule="exact"/>
        <w:rPr>
          <w:sz w:val="20"/>
          <w:szCs w:val="20"/>
          <w:color w:val="auto"/>
        </w:rPr>
      </w:pPr>
    </w:p>
    <w:p>
      <w:pPr>
        <w:ind w:right="20" w:firstLine="1432"/>
        <w:spacing w:after="0" w:line="275"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Preferred Stock Protective Provisions</w:t>
      </w:r>
      <w:r>
        <w:rPr>
          <w:rFonts w:ascii="Arial" w:cs="Arial" w:eastAsia="Arial" w:hAnsi="Arial"/>
          <w:sz w:val="17"/>
          <w:szCs w:val="17"/>
          <w:color w:val="auto"/>
        </w:rPr>
        <w:t>. At any time when shares of Series A-l and Series B Preferred Stock are outstanding, the Corporation shall not, either directly or indirectly by amendment, merger, consolidation or otherwise, do any of the following without (in addition to any other vote required by law or this Amended and Restated Certificate of Incorporation) the written consent or affirmative vote of the Requisite Holders given in writing or by vote at a meeting, consenting or voting (as the case may be) separately as a class, and any such act or transaction entered into without such consent or vote shall be null and void ab initio, and of no force or effect:</w:t>
      </w:r>
    </w:p>
    <w:p>
      <w:pPr>
        <w:spacing w:after="0" w:line="176" w:lineRule="exact"/>
        <w:rPr>
          <w:sz w:val="20"/>
          <w:szCs w:val="20"/>
          <w:color w:val="auto"/>
        </w:rPr>
      </w:pPr>
    </w:p>
    <w:p>
      <w:pPr>
        <w:ind w:right="300" w:firstLine="1983"/>
        <w:spacing w:after="0" w:line="277" w:lineRule="auto"/>
        <w:rPr>
          <w:sz w:val="20"/>
          <w:szCs w:val="20"/>
          <w:color w:val="auto"/>
        </w:rPr>
      </w:pPr>
      <w:r>
        <w:rPr>
          <w:rFonts w:ascii="Arial" w:cs="Arial" w:eastAsia="Arial" w:hAnsi="Arial"/>
          <w:sz w:val="18"/>
          <w:szCs w:val="18"/>
          <w:color w:val="auto"/>
        </w:rPr>
        <w:t>3.3.1 liquidate, dissolve or wind-up the business and affairs of the Corporation, effect any merger or consolidation or any other Deemed Liquidation Event; or consent to any of the foregoing;</w:t>
      </w:r>
    </w:p>
    <w:p>
      <w:pPr>
        <w:spacing w:after="0" w:line="17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3.3.2 amend, alter or repeal any provision of the Certificate of Incorporation or Bylaws of the Corporation;</w:t>
      </w:r>
    </w:p>
    <w:p>
      <w:pPr>
        <w:spacing w:after="0" w:line="225" w:lineRule="exact"/>
        <w:rPr>
          <w:sz w:val="20"/>
          <w:szCs w:val="20"/>
          <w:color w:val="auto"/>
        </w:rPr>
      </w:pPr>
    </w:p>
    <w:p>
      <w:pPr>
        <w:ind w:firstLine="1983"/>
        <w:spacing w:after="0" w:line="254" w:lineRule="auto"/>
        <w:rPr>
          <w:sz w:val="20"/>
          <w:szCs w:val="20"/>
          <w:color w:val="auto"/>
        </w:rPr>
      </w:pPr>
      <w:r>
        <w:rPr>
          <w:rFonts w:ascii="Arial" w:cs="Arial" w:eastAsia="Arial" w:hAnsi="Arial"/>
          <w:sz w:val="18"/>
          <w:szCs w:val="18"/>
          <w:color w:val="auto"/>
        </w:rPr>
        <w:t>3.3.3 create, or authorize the creation of, or issue any additional class or series of capital stock unless the same ranks junior to the Series B Preferred Stock, Series A Preferred Stock and Series A-l Preferred Stock with respect to the distribution of assets on the liquidation, dissolution or winding up of the Corporation, the payment of dividends and rights of redemption, or increase or decrease the authorized number of shares of Series B Preferred Stock, Series A Preferred Stock or Series A-l Preferred Stock or increase or decrease the authorized number of shares of any additional class or series of capital stock of the Corporation unless the same ranks junior to the Series B Preferred Stock, Series A Preferred Stock and Series A-l Preferred Stock with respect to the distribution of assets on the liquidation, dissolution or winding up of the Corporation, the payment of dividends and rights of redemption;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229" w:name="page230"/>
    <w:bookmarkEnd w:id="229"/>
    <w:p>
      <w:pPr>
        <w:ind w:left="4" w:right="40" w:firstLine="198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3.3.4 (i) reclassify, alter or amend any existing security of the Corporation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B Preferred Stock, Series A Preferred Stock or Series A-l Preferred Stock in respect of the distribution of assets on the liquidation, dissolution or winding up of the Corporation, the payment of dividends or rights of redemption, if such reclassification, alteration or amendment would render such other security senior to the Series B Preferred Stock, Series A Preferred Stock or Series A-l Preferred Stock in respect of any such right, preference, or privilege or</w:t>
      </w:r>
    </w:p>
    <w:p>
      <w:pPr>
        <w:spacing w:after="0" w:line="1" w:lineRule="exact"/>
        <w:rPr>
          <w:sz w:val="20"/>
          <w:szCs w:val="20"/>
          <w:color w:val="auto"/>
        </w:rPr>
      </w:pPr>
    </w:p>
    <w:p>
      <w:pPr>
        <w:jc w:val="both"/>
        <w:ind w:left="4" w:right="120" w:hanging="4"/>
        <w:spacing w:after="0" w:line="273" w:lineRule="auto"/>
        <w:tabs>
          <w:tab w:leader="none" w:pos="26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reclassify, alter or amend any existing security of the Corporation that is junior to the Series B Preferred Stock, Series A Preferred Stock and Series A-l Preferred Stock in respect of the distribution of assets on the liquidation, dissolution or winding up of the Corporation, the payment of dividends or rights of redemption, if such reclassification, alteration or amendment would render such other security senior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B Preferred Stock, Series A Preferred Stock or Series A-l Preferred Stock in respect of any such right, preference or privilege;</w:t>
      </w:r>
    </w:p>
    <w:p>
      <w:pPr>
        <w:spacing w:after="0" w:line="176" w:lineRule="exact"/>
        <w:rPr>
          <w:sz w:val="20"/>
          <w:szCs w:val="20"/>
          <w:color w:val="auto"/>
        </w:rPr>
      </w:pPr>
    </w:p>
    <w:p>
      <w:pPr>
        <w:ind w:left="4" w:firstLine="1983"/>
        <w:spacing w:after="0" w:line="255" w:lineRule="auto"/>
        <w:rPr>
          <w:sz w:val="20"/>
          <w:szCs w:val="20"/>
          <w:color w:val="auto"/>
        </w:rPr>
      </w:pPr>
      <w:r>
        <w:rPr>
          <w:rFonts w:ascii="Arial" w:cs="Arial" w:eastAsia="Arial" w:hAnsi="Arial"/>
          <w:sz w:val="18"/>
          <w:szCs w:val="18"/>
          <w:color w:val="auto"/>
        </w:rPr>
        <w:t>3.3.5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or (iii) repurchases of stock from former employees, officers, directors, consultants or other persons who performed services for the Corporation or any subsidiary in connection with the cessation of such employment or service at the lower of the original purchase price or the then- current fair market value thereof;</w:t>
      </w:r>
    </w:p>
    <w:p>
      <w:pPr>
        <w:spacing w:after="0" w:line="192" w:lineRule="exact"/>
        <w:rPr>
          <w:sz w:val="20"/>
          <w:szCs w:val="20"/>
          <w:color w:val="auto"/>
        </w:rPr>
      </w:pPr>
    </w:p>
    <w:p>
      <w:pPr>
        <w:ind w:left="4" w:right="40" w:firstLine="1983"/>
        <w:spacing w:after="0" w:line="291" w:lineRule="auto"/>
        <w:rPr>
          <w:sz w:val="20"/>
          <w:szCs w:val="20"/>
          <w:color w:val="auto"/>
        </w:rPr>
      </w:pPr>
      <w:r>
        <w:rPr>
          <w:rFonts w:ascii="Arial" w:cs="Arial" w:eastAsia="Arial" w:hAnsi="Arial"/>
          <w:sz w:val="16"/>
          <w:szCs w:val="16"/>
          <w:color w:val="auto"/>
        </w:rPr>
        <w:t>3.3.6 create, or authorize the creation of, or issue, or authorize the issuance of any debt security or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if the aggregate indebtedness of the Corporation and its subsidiaries for borrowed money following such action would exceed $500,000 other than equipment leases, bank lines of credit or trade payables incurred in the ordinary course unless such debt security has received the prior approval of the Board of Directors, including the approval of a majority of the Preferred Directors;</w:t>
      </w:r>
    </w:p>
    <w:p>
      <w:pPr>
        <w:spacing w:after="0" w:line="166" w:lineRule="exact"/>
        <w:rPr>
          <w:sz w:val="20"/>
          <w:szCs w:val="20"/>
          <w:color w:val="auto"/>
        </w:rPr>
      </w:pPr>
    </w:p>
    <w:p>
      <w:pPr>
        <w:ind w:left="4" w:right="440" w:firstLine="1983"/>
        <w:spacing w:after="0" w:line="263" w:lineRule="auto"/>
        <w:rPr>
          <w:sz w:val="20"/>
          <w:szCs w:val="20"/>
          <w:color w:val="auto"/>
        </w:rPr>
      </w:pPr>
      <w:r>
        <w:rPr>
          <w:rFonts w:ascii="Arial" w:cs="Arial" w:eastAsia="Arial" w:hAnsi="Arial"/>
          <w:sz w:val="18"/>
          <w:szCs w:val="18"/>
          <w:color w:val="auto"/>
        </w:rPr>
        <w:t>3.3.7 approve the Corporation’s budget for a fiscal year or make any revision to such approved budget or authorize any expenditure or any commitment to make any expenditure not contemplated by such approved budget, unless approved by the Board of Directors, including the approval of a majority of the Preferred Directors;</w:t>
      </w:r>
    </w:p>
    <w:p>
      <w:pPr>
        <w:spacing w:after="0" w:line="184" w:lineRule="exact"/>
        <w:rPr>
          <w:sz w:val="20"/>
          <w:szCs w:val="20"/>
          <w:color w:val="auto"/>
        </w:rPr>
      </w:pPr>
    </w:p>
    <w:p>
      <w:pPr>
        <w:ind w:left="4" w:right="40" w:firstLine="1983"/>
        <w:spacing w:after="0" w:line="257" w:lineRule="auto"/>
        <w:rPr>
          <w:sz w:val="20"/>
          <w:szCs w:val="20"/>
          <w:color w:val="auto"/>
        </w:rPr>
      </w:pPr>
      <w:r>
        <w:rPr>
          <w:rFonts w:ascii="Arial" w:cs="Arial" w:eastAsia="Arial" w:hAnsi="Arial"/>
          <w:sz w:val="18"/>
          <w:szCs w:val="18"/>
          <w:color w:val="auto"/>
        </w:rPr>
        <w:t>3.3.8 create, or hold capital stock in, any subsidiary that is not wholly owned (either directly or through one or more other subsidiaries) by the 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188" w:lineRule="exact"/>
        <w:rPr>
          <w:sz w:val="20"/>
          <w:szCs w:val="20"/>
          <w:color w:val="auto"/>
        </w:rPr>
      </w:pPr>
    </w:p>
    <w:p>
      <w:pPr>
        <w:ind w:left="4" w:right="260" w:firstLine="1983"/>
        <w:spacing w:after="0" w:line="277" w:lineRule="auto"/>
        <w:rPr>
          <w:sz w:val="20"/>
          <w:szCs w:val="20"/>
          <w:color w:val="auto"/>
        </w:rPr>
      </w:pPr>
      <w:r>
        <w:rPr>
          <w:rFonts w:ascii="Arial" w:cs="Arial" w:eastAsia="Arial" w:hAnsi="Arial"/>
          <w:sz w:val="18"/>
          <w:szCs w:val="18"/>
          <w:color w:val="auto"/>
        </w:rPr>
        <w:t>3.3.9 increase or decrease the authorized number of directors constituting the Board of Directors or change the number of votes entitled to be cast by any director or directors on any matter; or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230" w:name="page231"/>
    <w:bookmarkEnd w:id="230"/>
    <w:p>
      <w:pPr>
        <w:ind w:left="4" w:right="20" w:firstLine="198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3.3.10 create, adopt, amend, terminate or repeal any equity (or equity-linked) compensation plan or amend or waive any of the terms of any option or other grants pursuant to any such plan unless such amendment or waiver is approved by the Board of Directors, including the approval of a majority of the Preferred Directors.</w:t>
      </w:r>
    </w:p>
    <w:p>
      <w:pPr>
        <w:spacing w:after="0" w:line="184" w:lineRule="exact"/>
        <w:rPr>
          <w:sz w:val="20"/>
          <w:szCs w:val="20"/>
          <w:color w:val="auto"/>
        </w:rPr>
      </w:pPr>
    </w:p>
    <w:p>
      <w:pPr>
        <w:ind w:left="4" w:firstLine="1432"/>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Series A-l Preferred Stock Protective Provisions</w:t>
      </w:r>
      <w:r>
        <w:rPr>
          <w:rFonts w:ascii="Arial" w:cs="Arial" w:eastAsia="Arial" w:hAnsi="Arial"/>
          <w:sz w:val="18"/>
          <w:szCs w:val="18"/>
          <w:color w:val="auto"/>
        </w:rPr>
        <w:t>. At any time when shares of Series A-l Preferred Stock are outstanding, the Corporation shall not, either directly or indirectly, by amendment, merger, consolidation or otherwise, do any of the following without (in addition to any other vote required by law or this Amended and Restated Certificate), the written consent or affirmative vote of the holders of a majority of the then outstanding shares of Series A-l Preferred Stock, given in writing or by vote at a meeting, consenting or voting (as the case may be) separately as a class:</w:t>
      </w:r>
    </w:p>
    <w:p>
      <w:pPr>
        <w:spacing w:after="0" w:line="188" w:lineRule="exact"/>
        <w:rPr>
          <w:sz w:val="20"/>
          <w:szCs w:val="20"/>
          <w:color w:val="auto"/>
        </w:rPr>
      </w:pPr>
    </w:p>
    <w:p>
      <w:pPr>
        <w:ind w:left="4" w:right="40" w:firstLine="1983"/>
        <w:spacing w:after="0" w:line="286" w:lineRule="auto"/>
        <w:rPr>
          <w:sz w:val="20"/>
          <w:szCs w:val="20"/>
          <w:color w:val="auto"/>
        </w:rPr>
      </w:pPr>
      <w:r>
        <w:rPr>
          <w:rFonts w:ascii="Arial" w:cs="Arial" w:eastAsia="Arial" w:hAnsi="Arial"/>
          <w:sz w:val="16"/>
          <w:szCs w:val="16"/>
          <w:color w:val="auto"/>
        </w:rPr>
        <w:t>3.4.1 amend, alter or repeal any provision of this Amended and Restated Certificate or Bylaws in a manner that adversely affects the powers, preferences or rights of the Series A-l Preferred Stock in a manner different than any other series of Preferred Stock (it being understood that a series of Preferred Stock shall not be affected differently because of (i) the proportional differences in the amounts of respective issue prices, liquidation preferences and redemption prices that arise out of differences in the original issue price vis-à-vis other series of Preferred Stock or</w:t>
      </w:r>
    </w:p>
    <w:p>
      <w:pPr>
        <w:spacing w:after="0" w:line="1" w:lineRule="exact"/>
        <w:rPr>
          <w:sz w:val="20"/>
          <w:szCs w:val="20"/>
          <w:color w:val="auto"/>
        </w:rPr>
      </w:pPr>
    </w:p>
    <w:p>
      <w:pPr>
        <w:ind w:left="4" w:hanging="4"/>
        <w:spacing w:after="0" w:line="290" w:lineRule="auto"/>
        <w:tabs>
          <w:tab w:leader="none" w:pos="26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creation of a any additional class or series of capital stock that ranks senior to a series of Preferred Stock with respect to the distribution of assets on the liquidation, dissolution or winding up of the Corporation, the payment of dividends and rights of redemption); or</w:t>
      </w:r>
    </w:p>
    <w:p>
      <w:pPr>
        <w:spacing w:after="0" w:line="161"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3.4.2 increase or decrease the authorized number of shares of Series A- 1 Preferred Stock.</w:t>
      </w:r>
    </w:p>
    <w:p>
      <w:pPr>
        <w:spacing w:after="0" w:line="225" w:lineRule="exact"/>
        <w:rPr>
          <w:sz w:val="20"/>
          <w:szCs w:val="20"/>
          <w:color w:val="auto"/>
        </w:rPr>
      </w:pPr>
    </w:p>
    <w:p>
      <w:pPr>
        <w:ind w:left="4" w:firstLine="1432"/>
        <w:spacing w:after="0" w:line="30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Series A Preferred Stock Protective Provisions</w:t>
      </w:r>
      <w:r>
        <w:rPr>
          <w:rFonts w:ascii="Arial" w:cs="Arial" w:eastAsia="Arial" w:hAnsi="Arial"/>
          <w:sz w:val="16"/>
          <w:szCs w:val="16"/>
          <w:color w:val="auto"/>
        </w:rPr>
        <w:t>. At any time when shares of Series A Preferred Stock are outstanding, the Corporation shall not, either directly or indirectly, by amendment, merger, consolidation or otherwise, do any of the following without (in addition to any other vote required by law or this Amended and Restated Certificate), the written consent or affirmative vote of the holders of a majority of the then outstanding shares of Series A Preferred Stock, given in writing or by vote at a meeting, consenting or voting (as the case may be) separately as a class:</w:t>
      </w:r>
    </w:p>
    <w:p>
      <w:pPr>
        <w:spacing w:after="0" w:line="157" w:lineRule="exact"/>
        <w:rPr>
          <w:sz w:val="20"/>
          <w:szCs w:val="20"/>
          <w:color w:val="auto"/>
        </w:rPr>
      </w:pPr>
    </w:p>
    <w:p>
      <w:pPr>
        <w:ind w:left="4" w:right="40" w:firstLine="1983"/>
        <w:spacing w:after="0" w:line="286" w:lineRule="auto"/>
        <w:rPr>
          <w:sz w:val="20"/>
          <w:szCs w:val="20"/>
          <w:color w:val="auto"/>
        </w:rPr>
      </w:pPr>
      <w:r>
        <w:rPr>
          <w:rFonts w:ascii="Arial" w:cs="Arial" w:eastAsia="Arial" w:hAnsi="Arial"/>
          <w:sz w:val="16"/>
          <w:szCs w:val="16"/>
          <w:color w:val="auto"/>
        </w:rPr>
        <w:t>3.5.1 amend, alter or repeal any provision of this Amended and Restated Certificate or Bylaws in a manner that adversely affects the powers, preferences or rights of the Series A Preferred Stock in a manner different than any other series of Preferred Stock (it being understood that a series of Preferred Stock shall not be affected differently because of (i) the proportional differences in the amounts of respective issue prices, liquidation preferences and redemption prices that arise out of differences in the original issue price vis-à-vis other series of Preferred Stock or</w:t>
      </w:r>
    </w:p>
    <w:p>
      <w:pPr>
        <w:spacing w:after="0" w:line="1" w:lineRule="exact"/>
        <w:rPr>
          <w:sz w:val="20"/>
          <w:szCs w:val="20"/>
          <w:color w:val="auto"/>
        </w:rPr>
      </w:pPr>
    </w:p>
    <w:p>
      <w:pPr>
        <w:ind w:left="4" w:hanging="4"/>
        <w:spacing w:after="0" w:line="290" w:lineRule="auto"/>
        <w:tabs>
          <w:tab w:leader="none" w:pos="269"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creation of a any additional class or series of capital stock that ranks senior to a series of Preferred Stock with respect to the distribution of assets on the liquidation, dissolution or winding up of the Corporation, the payment of dividends and rights of redemption); or</w:t>
      </w:r>
    </w:p>
    <w:p>
      <w:pPr>
        <w:spacing w:after="0" w:line="161"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3.5.2 increase or decrease the authorized number of shares of Series A Preferred Stock.</w:t>
      </w:r>
    </w:p>
    <w:p>
      <w:pPr>
        <w:spacing w:after="0" w:line="333" w:lineRule="exact"/>
        <w:rPr>
          <w:sz w:val="20"/>
          <w:szCs w:val="20"/>
          <w:color w:val="auto"/>
        </w:rPr>
      </w:pPr>
    </w:p>
    <w:p>
      <w:pPr>
        <w:ind w:left="1164" w:hanging="173"/>
        <w:spacing w:after="0"/>
        <w:tabs>
          <w:tab w:leader="none" w:pos="1164"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16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4"/>
          </w:cols>
          <w:pgMar w:left="436" w:top="274" w:right="519" w:bottom="1440" w:gutter="0" w:footer="0" w:header="0"/>
        </w:sectPr>
      </w:pPr>
    </w:p>
    <w:bookmarkStart w:id="231" w:name="page232"/>
    <w:bookmarkEnd w:id="231"/>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117" w:lineRule="exact"/>
        <w:rPr>
          <w:sz w:val="20"/>
          <w:szCs w:val="20"/>
          <w:color w:val="auto"/>
        </w:rPr>
      </w:pPr>
    </w:p>
    <w:p>
      <w:pPr>
        <w:ind w:right="60" w:firstLine="1983"/>
        <w:spacing w:after="0" w:line="271"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Conversion Ratio</w:t>
      </w:r>
      <w:r>
        <w:rPr>
          <w:rFonts w:ascii="Arial" w:cs="Arial" w:eastAsia="Arial" w:hAnsi="Arial"/>
          <w:sz w:val="17"/>
          <w:szCs w:val="17"/>
          <w:color w:val="auto"/>
        </w:rPr>
        <w:t xml:space="preserve">.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 Price by the Applicable Conversion Price (as defined below) in effect at the time of conversion. The </w:t>
      </w:r>
      <w:r>
        <w:rPr>
          <w:rFonts w:ascii="Arial" w:cs="Arial" w:eastAsia="Arial" w:hAnsi="Arial"/>
          <w:sz w:val="17"/>
          <w:szCs w:val="17"/>
          <w:b w:val="1"/>
          <w:bCs w:val="1"/>
          <w:color w:val="auto"/>
        </w:rPr>
        <w:t>“Series A Conversion Price”</w:t>
      </w:r>
      <w:r>
        <w:rPr>
          <w:rFonts w:ascii="Arial" w:cs="Arial" w:eastAsia="Arial" w:hAnsi="Arial"/>
          <w:sz w:val="17"/>
          <w:szCs w:val="17"/>
          <w:color w:val="auto"/>
        </w:rPr>
        <w:t xml:space="preserve"> shall initially be equal to the Series </w:t>
      </w:r>
      <w:r>
        <w:rPr>
          <w:rFonts w:ascii="Arial" w:cs="Arial" w:eastAsia="Arial" w:hAnsi="Arial"/>
          <w:sz w:val="17"/>
          <w:szCs w:val="17"/>
          <w:b w:val="1"/>
          <w:bCs w:val="1"/>
          <w:color w:val="auto"/>
        </w:rPr>
        <w:t>A</w:t>
      </w:r>
      <w:r>
        <w:rPr>
          <w:rFonts w:ascii="Arial" w:cs="Arial" w:eastAsia="Arial" w:hAnsi="Arial"/>
          <w:sz w:val="17"/>
          <w:szCs w:val="17"/>
          <w:color w:val="auto"/>
        </w:rPr>
        <w:t xml:space="preserve"> Original Issue Price. The </w:t>
      </w:r>
      <w:r>
        <w:rPr>
          <w:rFonts w:ascii="Arial" w:cs="Arial" w:eastAsia="Arial" w:hAnsi="Arial"/>
          <w:sz w:val="17"/>
          <w:szCs w:val="17"/>
          <w:b w:val="1"/>
          <w:bCs w:val="1"/>
          <w:color w:val="auto"/>
        </w:rPr>
        <w:t>“Series A-l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Conversion Price” </w:t>
      </w:r>
      <w:r>
        <w:rPr>
          <w:rFonts w:ascii="Arial" w:cs="Arial" w:eastAsia="Arial" w:hAnsi="Arial"/>
          <w:sz w:val="17"/>
          <w:szCs w:val="17"/>
          <w:color w:val="auto"/>
        </w:rPr>
        <w:t>shall initially be equal to the Series A-1 Original Issue Price. The</w:t>
      </w:r>
      <w:r>
        <w:rPr>
          <w:rFonts w:ascii="Arial" w:cs="Arial" w:eastAsia="Arial" w:hAnsi="Arial"/>
          <w:sz w:val="17"/>
          <w:szCs w:val="17"/>
          <w:b w:val="1"/>
          <w:bCs w:val="1"/>
          <w:color w:val="auto"/>
        </w:rPr>
        <w:t xml:space="preserve"> “Series B Conversion Price” </w:t>
      </w:r>
      <w:r>
        <w:rPr>
          <w:rFonts w:ascii="Arial" w:cs="Arial" w:eastAsia="Arial" w:hAnsi="Arial"/>
          <w:sz w:val="17"/>
          <w:szCs w:val="17"/>
          <w:color w:val="auto"/>
        </w:rPr>
        <w:t>shall initially be equal to the Series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 Original Issue Price. The Series A Conversion Price, Series A-l Conversion Price and Series B Conversion Price shall be referred to as the </w:t>
      </w:r>
      <w:r>
        <w:rPr>
          <w:rFonts w:ascii="Arial" w:cs="Arial" w:eastAsia="Arial" w:hAnsi="Arial"/>
          <w:sz w:val="17"/>
          <w:szCs w:val="17"/>
          <w:b w:val="1"/>
          <w:bCs w:val="1"/>
          <w:color w:val="auto"/>
        </w:rPr>
        <w:t xml:space="preserve">“Conversion Price” </w:t>
      </w:r>
      <w:r>
        <w:rPr>
          <w:rFonts w:ascii="Arial" w:cs="Arial" w:eastAsia="Arial" w:hAnsi="Arial"/>
          <w:sz w:val="17"/>
          <w:szCs w:val="17"/>
          <w:color w:val="auto"/>
        </w:rPr>
        <w:t>and, individually, as the</w:t>
      </w:r>
      <w:r>
        <w:rPr>
          <w:rFonts w:ascii="Arial" w:cs="Arial" w:eastAsia="Arial" w:hAnsi="Arial"/>
          <w:sz w:val="17"/>
          <w:szCs w:val="17"/>
          <w:b w:val="1"/>
          <w:bCs w:val="1"/>
          <w:color w:val="auto"/>
        </w:rPr>
        <w:t xml:space="preserve"> “Applicable Conversion Price.” </w:t>
      </w:r>
      <w:r>
        <w:rPr>
          <w:rFonts w:ascii="Arial" w:cs="Arial" w:eastAsia="Arial" w:hAnsi="Arial"/>
          <w:sz w:val="17"/>
          <w:szCs w:val="17"/>
          <w:color w:val="auto"/>
        </w:rPr>
        <w:t>Each such initial Conversion Price, and the rate at which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Stock may be converted into shares of Common Stock, shall be subject to adjustment as provided below.</w:t>
      </w:r>
    </w:p>
    <w:p>
      <w:pPr>
        <w:spacing w:after="0" w:line="178" w:lineRule="exact"/>
        <w:rPr>
          <w:sz w:val="20"/>
          <w:szCs w:val="20"/>
          <w:color w:val="auto"/>
        </w:rPr>
      </w:pPr>
    </w:p>
    <w:p>
      <w:pPr>
        <w:ind w:firstLine="1983"/>
        <w:spacing w:after="0" w:line="25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xml:space="preserve">.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termination of Conversion Rights shall not affect the amount(s) otherwise paid or payable in accordance with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to the holders of Preferred Stock pursuant to such liquidation, dissolution or winding up of the Corporation or a Deemed Liquidation Event.</w:t>
      </w:r>
    </w:p>
    <w:p>
      <w:pPr>
        <w:spacing w:after="0" w:line="188" w:lineRule="exact"/>
        <w:rPr>
          <w:sz w:val="20"/>
          <w:szCs w:val="20"/>
          <w:color w:val="auto"/>
        </w:rPr>
      </w:pPr>
    </w:p>
    <w:p>
      <w:pPr>
        <w:ind w:right="120" w:firstLine="1432"/>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28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117" w:lineRule="exact"/>
        <w:rPr>
          <w:sz w:val="20"/>
          <w:szCs w:val="20"/>
          <w:color w:val="auto"/>
        </w:rPr>
      </w:pPr>
    </w:p>
    <w:p>
      <w:pPr>
        <w:ind w:right="40" w:firstLine="1983"/>
        <w:spacing w:after="0" w:line="286"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xml:space="preserve">.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6"/>
          <w:szCs w:val="16"/>
          <w:b w:val="1"/>
          <w:bCs w:val="1"/>
          <w:color w:val="auto"/>
        </w:rPr>
        <w:t>“Conversion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32" w:name="page233"/>
    <w:bookmarkEnd w:id="232"/>
    <w:p>
      <w:pPr>
        <w:ind w:right="12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Time”), </w:t>
      </w:r>
      <w:r>
        <w:rPr>
          <w:rFonts w:ascii="Arial" w:cs="Arial" w:eastAsia="Arial" w:hAnsi="Arial"/>
          <w:sz w:val="17"/>
          <w:szCs w:val="17"/>
          <w:color w:val="auto"/>
        </w:rPr>
        <w:t>and the shares of Common Stock issuable upon conversion of the specified shares shall be deemed to be outstanding of record as of such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in lieu of any fraction of a share of Common Stock otherwise issuable upon such conversion and (iii) pay all declared but unpaid dividends on the shares of Preferred Stock converted.</w:t>
      </w:r>
    </w:p>
    <w:p>
      <w:pPr>
        <w:spacing w:after="0" w:line="177" w:lineRule="exact"/>
        <w:rPr>
          <w:sz w:val="20"/>
          <w:szCs w:val="20"/>
          <w:color w:val="auto"/>
        </w:rPr>
      </w:pPr>
    </w:p>
    <w:p>
      <w:pPr>
        <w:ind w:firstLine="1983"/>
        <w:spacing w:after="0" w:line="288"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Amended and Restated Certificate of Incorporation. Before taking any action which would cause an adjustment reducing the Applicable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Applicable Conversion Price.</w:t>
      </w:r>
    </w:p>
    <w:p>
      <w:pPr>
        <w:spacing w:after="0" w:line="168" w:lineRule="exact"/>
        <w:rPr>
          <w:sz w:val="20"/>
          <w:szCs w:val="20"/>
          <w:color w:val="auto"/>
        </w:rPr>
      </w:pPr>
    </w:p>
    <w:p>
      <w:pPr>
        <w:ind w:right="80" w:firstLine="1983"/>
        <w:spacing w:after="0" w:line="254"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Effect of Conversion</w:t>
      </w:r>
      <w:r>
        <w:rPr>
          <w:rFonts w:ascii="Arial" w:cs="Arial" w:eastAsia="Arial" w:hAnsi="Arial"/>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95" w:lineRule="exact"/>
        <w:rPr>
          <w:sz w:val="20"/>
          <w:szCs w:val="20"/>
          <w:color w:val="auto"/>
        </w:rPr>
      </w:pPr>
    </w:p>
    <w:p>
      <w:pPr>
        <w:ind w:right="220" w:firstLine="1983"/>
        <w:spacing w:after="0" w:line="342" w:lineRule="auto"/>
        <w:rPr>
          <w:sz w:val="20"/>
          <w:szCs w:val="20"/>
          <w:color w:val="auto"/>
        </w:rPr>
      </w:pPr>
      <w:r>
        <w:rPr>
          <w:rFonts w:ascii="Arial" w:cs="Arial" w:eastAsia="Arial" w:hAnsi="Arial"/>
          <w:sz w:val="16"/>
          <w:szCs w:val="16"/>
          <w:color w:val="auto"/>
        </w:rPr>
        <w:t xml:space="preserve">4.3.4 </w:t>
      </w:r>
      <w:r>
        <w:rPr>
          <w:rFonts w:ascii="Arial" w:cs="Arial" w:eastAsia="Arial" w:hAnsi="Arial"/>
          <w:sz w:val="16"/>
          <w:szCs w:val="16"/>
          <w:u w:val="single" w:color="auto"/>
          <w:color w:val="auto"/>
        </w:rPr>
        <w:t>No Further Adjustment</w:t>
      </w:r>
      <w:r>
        <w:rPr>
          <w:rFonts w:ascii="Arial" w:cs="Arial" w:eastAsia="Arial" w:hAnsi="Arial"/>
          <w:sz w:val="16"/>
          <w:szCs w:val="16"/>
          <w:color w:val="auto"/>
        </w:rPr>
        <w:t>. Upon any such conversion, no adjustment to the Applicable Conversion Price shall be made for any declared but unpaid dividends on the Preferred Stock surrendered for conversion or on the Common Stock delivered upon conversion.</w:t>
      </w:r>
    </w:p>
    <w:p>
      <w:pPr>
        <w:spacing w:after="0" w:line="124" w:lineRule="exact"/>
        <w:rPr>
          <w:sz w:val="20"/>
          <w:szCs w:val="20"/>
          <w:color w:val="auto"/>
        </w:rPr>
      </w:pPr>
    </w:p>
    <w:p>
      <w:pPr>
        <w:ind w:right="60" w:firstLine="1983"/>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233" w:name="page234"/>
    <w:bookmarkEnd w:id="233"/>
    <w:p>
      <w:pPr>
        <w:ind w:left="1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4.4 </w:t>
      </w:r>
      <w:r>
        <w:rPr>
          <w:rFonts w:ascii="Arial" w:cs="Arial" w:eastAsia="Arial" w:hAnsi="Arial"/>
          <w:sz w:val="18"/>
          <w:szCs w:val="18"/>
          <w:u w:val="single" w:color="auto"/>
          <w:color w:val="auto"/>
        </w:rPr>
        <w:t>Adjustments to Applicable Conversion Price for Diluting Issues.</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 For purposes of this Article Fourth, the following definitions shall apply:</w:t>
      </w:r>
    </w:p>
    <w:p>
      <w:pPr>
        <w:spacing w:after="0" w:line="221" w:lineRule="exact"/>
        <w:rPr>
          <w:sz w:val="20"/>
          <w:szCs w:val="20"/>
          <w:color w:val="auto"/>
        </w:rPr>
      </w:pPr>
    </w:p>
    <w:p>
      <w:pPr>
        <w:ind w:left="2424"/>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“Option”</w:t>
      </w:r>
      <w:r>
        <w:rPr>
          <w:rFonts w:ascii="Arial" w:cs="Arial" w:eastAsia="Arial" w:hAnsi="Arial"/>
          <w:sz w:val="16"/>
          <w:szCs w:val="16"/>
          <w:color w:val="auto"/>
        </w:rPr>
        <w:t xml:space="preserve"> shall mean rights, options or warrants to subscribe for, purchase or otherwise acquire Common Stock or</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Convertible Securities.</w:t>
      </w:r>
    </w:p>
    <w:p>
      <w:pPr>
        <w:spacing w:after="0" w:line="207" w:lineRule="exact"/>
        <w:rPr>
          <w:sz w:val="20"/>
          <w:szCs w:val="20"/>
          <w:color w:val="auto"/>
        </w:rPr>
      </w:pPr>
    </w:p>
    <w:p>
      <w:pPr>
        <w:ind w:left="2684" w:hanging="261"/>
        <w:spacing w:after="0"/>
        <w:tabs>
          <w:tab w:leader="none" w:pos="2684" w:val="left"/>
        </w:tabs>
        <w:numPr>
          <w:ilvl w:val="0"/>
          <w:numId w:val="152"/>
        </w:numPr>
        <w:rPr>
          <w:rFonts w:ascii="Arial" w:cs="Arial" w:eastAsia="Arial" w:hAnsi="Arial"/>
          <w:sz w:val="17"/>
          <w:szCs w:val="17"/>
          <w:color w:val="auto"/>
        </w:rPr>
      </w:pPr>
      <w:r>
        <w:rPr>
          <w:rFonts w:ascii="Arial" w:cs="Arial" w:eastAsia="Arial" w:hAnsi="Arial"/>
          <w:sz w:val="17"/>
          <w:szCs w:val="17"/>
          <w:b w:val="1"/>
          <w:bCs w:val="1"/>
          <w:color w:val="auto"/>
        </w:rPr>
        <w:t xml:space="preserve">“Original Issue Date” </w:t>
      </w:r>
      <w:r>
        <w:rPr>
          <w:rFonts w:ascii="Arial" w:cs="Arial" w:eastAsia="Arial" w:hAnsi="Arial"/>
          <w:sz w:val="17"/>
          <w:szCs w:val="17"/>
          <w:color w:val="auto"/>
        </w:rPr>
        <w:t>shall mean the date on which the first share of Series B Preferred Stock was issued.</w:t>
      </w:r>
    </w:p>
    <w:p>
      <w:pPr>
        <w:spacing w:after="0" w:line="236" w:lineRule="exact"/>
        <w:rPr>
          <w:rFonts w:ascii="Arial" w:cs="Arial" w:eastAsia="Arial" w:hAnsi="Arial"/>
          <w:sz w:val="17"/>
          <w:szCs w:val="17"/>
          <w:color w:val="auto"/>
        </w:rPr>
      </w:pPr>
    </w:p>
    <w:p>
      <w:pPr>
        <w:ind w:left="4" w:firstLine="2419"/>
        <w:spacing w:after="0" w:line="282" w:lineRule="auto"/>
        <w:tabs>
          <w:tab w:leader="none" w:pos="2672"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 xml:space="preserve">“Convertible Securities” </w:t>
      </w:r>
      <w:r>
        <w:rPr>
          <w:rFonts w:ascii="Arial" w:cs="Arial" w:eastAsia="Arial" w:hAnsi="Arial"/>
          <w:sz w:val="18"/>
          <w:szCs w:val="18"/>
          <w:color w:val="auto"/>
        </w:rPr>
        <w:t>shall mean any evidences of indebtedness, shares or other securities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into or exchangeable for Common Stock, but excluding Options.</w:t>
      </w:r>
    </w:p>
    <w:p>
      <w:pPr>
        <w:spacing w:after="0" w:line="161" w:lineRule="exact"/>
        <w:rPr>
          <w:rFonts w:ascii="Arial" w:cs="Arial" w:eastAsia="Arial" w:hAnsi="Arial"/>
          <w:sz w:val="18"/>
          <w:szCs w:val="18"/>
          <w:color w:val="auto"/>
        </w:rPr>
      </w:pPr>
    </w:p>
    <w:p>
      <w:pPr>
        <w:ind w:left="2684" w:hanging="261"/>
        <w:spacing w:after="0"/>
        <w:tabs>
          <w:tab w:leader="none" w:pos="2684" w:val="left"/>
        </w:tabs>
        <w:numPr>
          <w:ilvl w:val="0"/>
          <w:numId w:val="152"/>
        </w:numPr>
        <w:rPr>
          <w:rFonts w:ascii="Arial" w:cs="Arial" w:eastAsia="Arial" w:hAnsi="Arial"/>
          <w:sz w:val="17"/>
          <w:szCs w:val="17"/>
          <w:color w:val="auto"/>
        </w:rPr>
      </w:pPr>
      <w:r>
        <w:rPr>
          <w:rFonts w:ascii="Arial" w:cs="Arial" w:eastAsia="Arial" w:hAnsi="Arial"/>
          <w:sz w:val="17"/>
          <w:szCs w:val="17"/>
          <w:b w:val="1"/>
          <w:bCs w:val="1"/>
          <w:color w:val="auto"/>
        </w:rPr>
        <w:t xml:space="preserve">“Additional Shares of Common Stock” </w:t>
      </w:r>
      <w:r>
        <w:rPr>
          <w:rFonts w:ascii="Arial" w:cs="Arial" w:eastAsia="Arial" w:hAnsi="Arial"/>
          <w:sz w:val="17"/>
          <w:szCs w:val="17"/>
          <w:color w:val="auto"/>
        </w:rPr>
        <w:t>shall mean all shares of Common Stock issued (or, pursuant to</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Section 4.4.3</w:t>
      </w:r>
      <w:r>
        <w:rPr>
          <w:rFonts w:ascii="Arial" w:cs="Arial" w:eastAsia="Arial" w:hAnsi="Arial"/>
          <w:sz w:val="16"/>
          <w:szCs w:val="16"/>
          <w:color w:val="auto"/>
        </w:rPr>
        <w:t xml:space="preserve"> below, deemed to be issued) by the Corporation after the Original Issue Date, other than (1) the following shares of Common Stock and</w:t>
      </w:r>
    </w:p>
    <w:p>
      <w:pPr>
        <w:spacing w:after="0" w:line="32" w:lineRule="exact"/>
        <w:rPr>
          <w:sz w:val="20"/>
          <w:szCs w:val="20"/>
          <w:color w:val="auto"/>
        </w:rPr>
      </w:pPr>
    </w:p>
    <w:p>
      <w:pPr>
        <w:ind w:left="264" w:hanging="264"/>
        <w:spacing w:after="0"/>
        <w:tabs>
          <w:tab w:leader="none" w:pos="26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shares of Common Stock deemed issued pursuant to the following Options and Convertible Securities (clauses (1) and (2), collectively, </w:t>
      </w:r>
      <w:r>
        <w:rPr>
          <w:rFonts w:ascii="Arial" w:cs="Arial" w:eastAsia="Arial" w:hAnsi="Arial"/>
          <w:sz w:val="16"/>
          <w:szCs w:val="16"/>
          <w:b w:val="1"/>
          <w:bCs w:val="1"/>
          <w:color w:val="auto"/>
        </w:rPr>
        <w:t>“Exempted</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b w:val="1"/>
          <w:bCs w:val="1"/>
          <w:color w:val="auto"/>
        </w:rPr>
        <w:t>Securities”):</w:t>
      </w:r>
    </w:p>
    <w:p>
      <w:pPr>
        <w:spacing w:after="0" w:line="116" w:lineRule="exact"/>
        <w:rPr>
          <w:rFonts w:ascii="Arial" w:cs="Arial" w:eastAsia="Arial" w:hAnsi="Arial"/>
          <w:sz w:val="16"/>
          <w:szCs w:val="16"/>
          <w:color w:val="auto"/>
        </w:rPr>
      </w:pPr>
    </w:p>
    <w:p>
      <w:pPr>
        <w:ind w:left="3404" w:right="500" w:hanging="542"/>
        <w:spacing w:after="0" w:line="277" w:lineRule="auto"/>
        <w:tabs>
          <w:tab w:leader="none" w:pos="340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as a dividend or distribution on Preferred Stock;</w:t>
      </w:r>
    </w:p>
    <w:p>
      <w:pPr>
        <w:spacing w:after="0" w:line="75" w:lineRule="exact"/>
        <w:rPr>
          <w:rFonts w:ascii="Arial" w:cs="Arial" w:eastAsia="Arial" w:hAnsi="Arial"/>
          <w:sz w:val="18"/>
          <w:szCs w:val="18"/>
          <w:color w:val="auto"/>
        </w:rPr>
      </w:pPr>
    </w:p>
    <w:p>
      <w:pPr>
        <w:jc w:val="both"/>
        <w:ind w:left="3404" w:right="160" w:hanging="542"/>
        <w:spacing w:after="0" w:line="342" w:lineRule="auto"/>
        <w:tabs>
          <w:tab w:leader="none" w:pos="3404" w:val="left"/>
        </w:tabs>
        <w:numPr>
          <w:ilvl w:val="1"/>
          <w:numId w:val="153"/>
        </w:numPr>
        <w:rPr>
          <w:rFonts w:ascii="Arial" w:cs="Arial" w:eastAsia="Arial" w:hAnsi="Arial"/>
          <w:sz w:val="16"/>
          <w:szCs w:val="16"/>
          <w:color w:val="auto"/>
        </w:rPr>
      </w:pPr>
      <w:r>
        <w:rPr>
          <w:rFonts w:ascii="Arial" w:cs="Arial" w:eastAsia="Arial" w:hAnsi="Arial"/>
          <w:sz w:val="16"/>
          <w:szCs w:val="16"/>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w:t>
      </w:r>
      <w:r>
        <w:rPr>
          <w:rFonts w:ascii="Arial" w:cs="Arial" w:eastAsia="Arial" w:hAnsi="Arial"/>
          <w:sz w:val="16"/>
          <w:szCs w:val="16"/>
          <w:u w:val="single" w:color="auto"/>
          <w:color w:val="auto"/>
        </w:rPr>
        <w:t>4.6</w:t>
      </w:r>
      <w:r>
        <w:rPr>
          <w:rFonts w:ascii="Arial" w:cs="Arial" w:eastAsia="Arial" w:hAnsi="Arial"/>
          <w:sz w:val="16"/>
          <w:szCs w:val="16"/>
          <w:color w:val="auto"/>
        </w:rPr>
        <w:t xml:space="preserve">,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4.8</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3404" w:hanging="542"/>
        <w:spacing w:after="0" w:line="311" w:lineRule="auto"/>
        <w:tabs>
          <w:tab w:leader="none" w:pos="3404" w:val="left"/>
        </w:tabs>
        <w:numPr>
          <w:ilvl w:val="1"/>
          <w:numId w:val="153"/>
        </w:numPr>
        <w:rPr>
          <w:rFonts w:ascii="Arial" w:cs="Arial" w:eastAsia="Arial" w:hAnsi="Arial"/>
          <w:sz w:val="16"/>
          <w:szCs w:val="16"/>
          <w:color w:val="auto"/>
        </w:rPr>
      </w:pPr>
      <w:r>
        <w:rPr>
          <w:rFonts w:ascii="Arial" w:cs="Arial" w:eastAsia="Arial" w:hAnsi="Arial"/>
          <w:sz w:val="16"/>
          <w:szCs w:val="16"/>
          <w:color w:val="auto"/>
        </w:rPr>
        <w:t>shares of Common Stock or Options issued to employees or directors of, or consultants or advisors to, the Corporation or any of its subsidiaries pursuant to a plan, agreement or arrangement approved by the Board of Directors of the Corporation, including the approval of a majority of the Preferred Directors;</w:t>
      </w:r>
    </w:p>
    <w:p>
      <w:pPr>
        <w:spacing w:after="0" w:line="54" w:lineRule="exact"/>
        <w:rPr>
          <w:rFonts w:ascii="Arial" w:cs="Arial" w:eastAsia="Arial" w:hAnsi="Arial"/>
          <w:sz w:val="16"/>
          <w:szCs w:val="16"/>
          <w:color w:val="auto"/>
        </w:rPr>
      </w:pPr>
    </w:p>
    <w:p>
      <w:pPr>
        <w:ind w:left="3404" w:right="40" w:hanging="542"/>
        <w:spacing w:after="0" w:line="311" w:lineRule="auto"/>
        <w:tabs>
          <w:tab w:leader="none" w:pos="3404" w:val="left"/>
        </w:tabs>
        <w:numPr>
          <w:ilvl w:val="1"/>
          <w:numId w:val="153"/>
        </w:numPr>
        <w:rPr>
          <w:rFonts w:ascii="Arial" w:cs="Arial" w:eastAsia="Arial" w:hAnsi="Arial"/>
          <w:sz w:val="16"/>
          <w:szCs w:val="16"/>
          <w:color w:val="auto"/>
        </w:rPr>
      </w:pPr>
      <w:r>
        <w:rPr>
          <w:rFonts w:ascii="Arial" w:cs="Arial" w:eastAsia="Arial" w:hAnsi="Arial"/>
          <w:sz w:val="16"/>
          <w:szCs w:val="16"/>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 or</w:t>
      </w:r>
    </w:p>
    <w:p>
      <w:pPr>
        <w:spacing w:after="0" w:line="54" w:lineRule="exact"/>
        <w:rPr>
          <w:rFonts w:ascii="Arial" w:cs="Arial" w:eastAsia="Arial" w:hAnsi="Arial"/>
          <w:sz w:val="16"/>
          <w:szCs w:val="16"/>
          <w:color w:val="auto"/>
        </w:rPr>
      </w:pPr>
    </w:p>
    <w:p>
      <w:pPr>
        <w:jc w:val="both"/>
        <w:ind w:left="3404" w:right="140" w:hanging="542"/>
        <w:spacing w:after="0" w:line="263" w:lineRule="auto"/>
        <w:tabs>
          <w:tab w:leader="none" w:pos="340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34" w:name="page235"/>
    <w:bookmarkEnd w:id="234"/>
    <w:p>
      <w:pPr>
        <w:ind w:left="318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approved by the Board of Directors of the Corporation, including the approval of a majority of the Preferred Directors.</w:t>
      </w:r>
    </w:p>
    <w:p>
      <w:pPr>
        <w:spacing w:after="0" w:line="170" w:lineRule="exact"/>
        <w:rPr>
          <w:sz w:val="20"/>
          <w:szCs w:val="20"/>
          <w:color w:val="auto"/>
        </w:rPr>
      </w:pPr>
    </w:p>
    <w:p>
      <w:pPr>
        <w:ind w:right="200" w:firstLine="1983"/>
        <w:spacing w:after="0" w:line="311"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u w:val="single" w:color="auto"/>
          <w:color w:val="auto"/>
        </w:rPr>
        <w:t>No Adjustment of Applicable Conversion Price</w:t>
      </w:r>
      <w:r>
        <w:rPr>
          <w:rFonts w:ascii="Arial" w:cs="Arial" w:eastAsia="Arial" w:hAnsi="Arial"/>
          <w:sz w:val="16"/>
          <w:szCs w:val="16"/>
          <w:color w:val="auto"/>
        </w:rPr>
        <w:t>. No adjustment in the Applicable Conversion Price shall be made as the result of the issuance or deemed issuance of Additional Shares of Common Stock if the Corporation receives written notice from the Requisite Holders agreeing that no such adjustment shall be made as the result of the issuance or deemed issuance of such Additional Shares of Common Stock.</w:t>
      </w:r>
    </w:p>
    <w:p>
      <w:pPr>
        <w:spacing w:after="0" w:line="14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4.4.3 </w:t>
      </w:r>
      <w:r>
        <w:rPr>
          <w:rFonts w:ascii="Arial" w:cs="Arial" w:eastAsia="Arial" w:hAnsi="Arial"/>
          <w:sz w:val="18"/>
          <w:szCs w:val="18"/>
          <w:u w:val="single" w:color="auto"/>
          <w:color w:val="auto"/>
        </w:rPr>
        <w:t>Deemed Issue of Additional Shares of Common Stock</w:t>
      </w:r>
      <w:r>
        <w:rPr>
          <w:rFonts w:ascii="Arial" w:cs="Arial" w:eastAsia="Arial" w:hAnsi="Arial"/>
          <w:sz w:val="18"/>
          <w:szCs w:val="18"/>
          <w:color w:val="auto"/>
        </w:rPr>
        <w:t>.</w:t>
      </w:r>
    </w:p>
    <w:p>
      <w:pPr>
        <w:spacing w:after="0" w:line="225" w:lineRule="exact"/>
        <w:rPr>
          <w:sz w:val="20"/>
          <w:szCs w:val="20"/>
          <w:color w:val="auto"/>
        </w:rPr>
      </w:pPr>
    </w:p>
    <w:p>
      <w:pPr>
        <w:ind w:right="40" w:firstLine="2419"/>
        <w:spacing w:after="0" w:line="254" w:lineRule="auto"/>
        <w:tabs>
          <w:tab w:leader="none" w:pos="266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91" w:lineRule="exact"/>
        <w:rPr>
          <w:rFonts w:ascii="Arial" w:cs="Arial" w:eastAsia="Arial" w:hAnsi="Arial"/>
          <w:sz w:val="18"/>
          <w:szCs w:val="18"/>
          <w:color w:val="auto"/>
        </w:rPr>
      </w:pPr>
    </w:p>
    <w:p>
      <w:pPr>
        <w:ind w:right="20" w:firstLine="2419"/>
        <w:spacing w:after="0" w:line="286" w:lineRule="auto"/>
        <w:tabs>
          <w:tab w:leader="none" w:pos="267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the issuance of which resulted in an adjustment to the Applicable Conversion Price pursuant to the terms of </w:t>
      </w:r>
      <w:r>
        <w:rPr>
          <w:rFonts w:ascii="Arial" w:cs="Arial" w:eastAsia="Arial" w:hAnsi="Arial"/>
          <w:sz w:val="16"/>
          <w:szCs w:val="16"/>
          <w:u w:val="single" w:color="auto"/>
          <w:color w:val="auto"/>
        </w:rPr>
        <w:t>Section 4.4.4</w:t>
      </w:r>
      <w:r>
        <w:rPr>
          <w:rFonts w:ascii="Arial" w:cs="Arial" w:eastAsia="Arial" w:hAnsi="Arial"/>
          <w:sz w:val="16"/>
          <w:szCs w:val="16"/>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Applicable Conversion Price as would have obtained had such revised terms been in effect upon the original date of issuance of such Option or Convertible Security. Notwithstanding the foregoing, no readjustment pursuant to this clause (b) shall have the effect of increasing the Applicable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73" w:lineRule="exact"/>
        <w:rPr>
          <w:rFonts w:ascii="Arial" w:cs="Arial" w:eastAsia="Arial" w:hAnsi="Arial"/>
          <w:sz w:val="16"/>
          <w:szCs w:val="16"/>
          <w:color w:val="auto"/>
        </w:rPr>
      </w:pPr>
    </w:p>
    <w:p>
      <w:pPr>
        <w:ind w:firstLine="2419"/>
        <w:spacing w:after="0" w:line="296" w:lineRule="auto"/>
        <w:tabs>
          <w:tab w:leader="none" w:pos="266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(excluding Options or Convertible Securities which are themselves Exempted Securities), the issuance of which did not result in an adjustment to the Applicable Conversion Price pursuant to the terms of </w:t>
      </w:r>
      <w:r>
        <w:rPr>
          <w:rFonts w:ascii="Arial" w:cs="Arial" w:eastAsia="Arial" w:hAnsi="Arial"/>
          <w:sz w:val="16"/>
          <w:szCs w:val="16"/>
          <w:u w:val="single" w:color="auto"/>
          <w:color w:val="auto"/>
        </w:rPr>
        <w:t>Section 4.4.4</w:t>
      </w:r>
      <w:r>
        <w:rPr>
          <w:rFonts w:ascii="Arial" w:cs="Arial" w:eastAsia="Arial" w:hAnsi="Arial"/>
          <w:sz w:val="16"/>
          <w:szCs w:val="16"/>
          <w:color w:val="auto"/>
        </w:rPr>
        <w:t xml:space="preserve"> (either because the consideration per share (determined pursuant to </w:t>
      </w:r>
      <w:r>
        <w:rPr>
          <w:rFonts w:ascii="Arial" w:cs="Arial" w:eastAsia="Arial" w:hAnsi="Arial"/>
          <w:sz w:val="16"/>
          <w:szCs w:val="16"/>
          <w:u w:val="single" w:color="auto"/>
          <w:color w:val="auto"/>
        </w:rPr>
        <w:t>Section 4.4.5</w:t>
      </w:r>
      <w:r>
        <w:rPr>
          <w:rFonts w:ascii="Arial" w:cs="Arial" w:eastAsia="Arial" w:hAnsi="Arial"/>
          <w:sz w:val="16"/>
          <w:szCs w:val="16"/>
          <w:color w:val="auto"/>
        </w:rPr>
        <w:t>) of the Additional Shares of Common Stock subject thereto was equal to or greater than the Applicable Conversion Price then in effect, or because such Option or Convertible Security was issued before the Original Issue Date), are revised after the Original Issue Date as a result of an amendment to such terms or any other adjustment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35" w:name="page236"/>
    <w:bookmarkEnd w:id="23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8"/>
          <w:szCs w:val="18"/>
          <w:u w:val="single" w:color="auto"/>
          <w:color w:val="auto"/>
        </w:rPr>
        <w:t>Section 4.4.3(a)</w:t>
      </w:r>
      <w:r>
        <w:rPr>
          <w:rFonts w:ascii="Arial" w:cs="Arial" w:eastAsia="Arial" w:hAnsi="Arial"/>
          <w:sz w:val="18"/>
          <w:szCs w:val="18"/>
          <w:color w:val="auto"/>
        </w:rPr>
        <w:t>) shall be deemed to have been issued effective upon such increase or decrease becoming effective.</w:t>
      </w:r>
    </w:p>
    <w:p>
      <w:pPr>
        <w:spacing w:after="0" w:line="192" w:lineRule="exact"/>
        <w:rPr>
          <w:sz w:val="20"/>
          <w:szCs w:val="20"/>
          <w:color w:val="auto"/>
        </w:rPr>
      </w:pPr>
    </w:p>
    <w:p>
      <w:pPr>
        <w:jc w:val="both"/>
        <w:ind w:firstLine="2419"/>
        <w:spacing w:after="0" w:line="259" w:lineRule="auto"/>
        <w:tabs>
          <w:tab w:leader="none" w:pos="267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w:t>
      </w:r>
      <w:r>
        <w:rPr>
          <w:rFonts w:ascii="Arial" w:cs="Arial" w:eastAsia="Arial" w:hAnsi="Arial"/>
          <w:sz w:val="18"/>
          <w:szCs w:val="18"/>
          <w:u w:val="single" w:color="auto"/>
          <w:color w:val="auto"/>
        </w:rPr>
        <w:t>Section 4.4.4</w:t>
      </w:r>
      <w:r>
        <w:rPr>
          <w:rFonts w:ascii="Arial" w:cs="Arial" w:eastAsia="Arial" w:hAnsi="Arial"/>
          <w:sz w:val="18"/>
          <w:szCs w:val="18"/>
          <w:color w:val="auto"/>
        </w:rPr>
        <w:t>, the Applicable Conversion Price shall be readjusted to such Applicable Conversion Price as would have obtained had such Option or Convertible Security (or portion thereof) never been issued.</w:t>
      </w:r>
    </w:p>
    <w:p>
      <w:pPr>
        <w:spacing w:after="0" w:line="186" w:lineRule="exact"/>
        <w:rPr>
          <w:rFonts w:ascii="Arial" w:cs="Arial" w:eastAsia="Arial" w:hAnsi="Arial"/>
          <w:sz w:val="18"/>
          <w:szCs w:val="18"/>
          <w:color w:val="auto"/>
        </w:rPr>
      </w:pPr>
    </w:p>
    <w:p>
      <w:pPr>
        <w:ind w:firstLine="2419"/>
        <w:spacing w:after="0" w:line="287" w:lineRule="auto"/>
        <w:tabs>
          <w:tab w:leader="none" w:pos="266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Arial" w:cs="Arial" w:eastAsia="Arial" w:hAnsi="Arial"/>
          <w:sz w:val="16"/>
          <w:szCs w:val="16"/>
          <w:u w:val="single" w:color="auto"/>
          <w:color w:val="auto"/>
        </w:rPr>
        <w:t>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6"/>
          <w:szCs w:val="16"/>
          <w:u w:val="single" w:color="auto"/>
          <w:color w:val="auto"/>
        </w:rPr>
        <w:t>Section 4.4.3</w:t>
      </w:r>
      <w:r>
        <w:rPr>
          <w:rFonts w:ascii="Arial" w:cs="Arial" w:eastAsia="Arial" w:hAnsi="Arial"/>
          <w:sz w:val="16"/>
          <w:szCs w:val="16"/>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Arial" w:cs="Arial" w:eastAsia="Arial" w:hAnsi="Arial"/>
          <w:sz w:val="16"/>
          <w:szCs w:val="16"/>
          <w:u w:val="single" w:color="auto"/>
          <w:color w:val="auto"/>
        </w:rPr>
        <w:t>Section 4.4.3</w:t>
      </w:r>
      <w:r>
        <w:rPr>
          <w:rFonts w:ascii="Arial" w:cs="Arial" w:eastAsia="Arial" w:hAnsi="Arial"/>
          <w:sz w:val="16"/>
          <w:szCs w:val="16"/>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172" w:lineRule="exact"/>
        <w:rPr>
          <w:sz w:val="20"/>
          <w:szCs w:val="20"/>
          <w:color w:val="auto"/>
        </w:rPr>
      </w:pPr>
    </w:p>
    <w:p>
      <w:pPr>
        <w:ind w:firstLine="1983"/>
        <w:spacing w:after="0" w:line="275" w:lineRule="auto"/>
        <w:rPr>
          <w:sz w:val="20"/>
          <w:szCs w:val="20"/>
          <w:color w:val="auto"/>
        </w:rPr>
      </w:pPr>
      <w:r>
        <w:rPr>
          <w:rFonts w:ascii="Arial" w:cs="Arial" w:eastAsia="Arial" w:hAnsi="Arial"/>
          <w:sz w:val="17"/>
          <w:szCs w:val="17"/>
          <w:color w:val="auto"/>
        </w:rPr>
        <w:t xml:space="preserve">4.4.4 </w:t>
      </w:r>
      <w:r>
        <w:rPr>
          <w:rFonts w:ascii="Arial" w:cs="Arial" w:eastAsia="Arial" w:hAnsi="Arial"/>
          <w:sz w:val="17"/>
          <w:szCs w:val="17"/>
          <w:u w:val="single" w:color="auto"/>
          <w:color w:val="auto"/>
        </w:rPr>
        <w:t>Adjustment of Applicable Conversion Price Upon Issuance of Additional Shares of Common Stock</w:t>
      </w:r>
      <w:r>
        <w:rPr>
          <w:rFonts w:ascii="Arial" w:cs="Arial" w:eastAsia="Arial" w:hAnsi="Arial"/>
          <w:sz w:val="17"/>
          <w:szCs w:val="17"/>
          <w:color w:val="auto"/>
        </w:rPr>
        <w:t xml:space="preserve">. In the event the Corporation shall at any time after the Original Issue Date issue Additional Shares of Common Stock (including Additional Shares of Common Stock deemed to be issued pursuant to </w:t>
      </w:r>
      <w:r>
        <w:rPr>
          <w:rFonts w:ascii="Arial" w:cs="Arial" w:eastAsia="Arial" w:hAnsi="Arial"/>
          <w:sz w:val="17"/>
          <w:szCs w:val="17"/>
          <w:u w:val="single" w:color="auto"/>
          <w:color w:val="auto"/>
        </w:rPr>
        <w:t>Section 4.4.3</w:t>
      </w:r>
      <w:r>
        <w:rPr>
          <w:rFonts w:ascii="Arial" w:cs="Arial" w:eastAsia="Arial" w:hAnsi="Arial"/>
          <w:sz w:val="17"/>
          <w:szCs w:val="17"/>
          <w:color w:val="auto"/>
        </w:rPr>
        <w:t>), without consideration or for a consideration per share less than the Applicable Conversion Price in effect immediately prior to such issuance or deemed issuance, then the Applicable Conversion Price shall be reduced, concurrently with such issue, to a price (calculated to the nearest one-hundredth of a cent) determined in accordance with the following formula:</w:t>
      </w:r>
    </w:p>
    <w:p>
      <w:pPr>
        <w:spacing w:after="0" w:line="1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225" w:lineRule="exact"/>
        <w:rPr>
          <w:sz w:val="20"/>
          <w:szCs w:val="20"/>
          <w:color w:val="auto"/>
        </w:rPr>
      </w:pPr>
    </w:p>
    <w:p>
      <w:pPr>
        <w:ind w:left="2660" w:hanging="241"/>
        <w:spacing w:after="0"/>
        <w:tabs>
          <w:tab w:leader="none" w:pos="26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“CP</w:t>
      </w:r>
      <w:r>
        <w:rPr>
          <w:rFonts w:ascii="Arial" w:cs="Arial" w:eastAsia="Arial" w:hAnsi="Arial"/>
          <w:sz w:val="13"/>
          <w:szCs w:val="13"/>
          <w:color w:val="auto"/>
        </w:rPr>
        <w:t>2</w:t>
      </w:r>
      <w:r>
        <w:rPr>
          <w:rFonts w:ascii="Arial" w:cs="Arial" w:eastAsia="Arial" w:hAnsi="Arial"/>
          <w:sz w:val="16"/>
          <w:szCs w:val="16"/>
          <w:color w:val="auto"/>
        </w:rPr>
        <w:t>” shall mean the Applicable Conversion Price in effect immediately after such issuance or deemed issuance of</w:t>
      </w:r>
    </w:p>
    <w:p>
      <w:pPr>
        <w:spacing w:after="0" w:line="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Additional Shares of Common Stock</w:t>
      </w:r>
    </w:p>
    <w:p>
      <w:pPr>
        <w:spacing w:after="0" w:line="209" w:lineRule="exact"/>
        <w:rPr>
          <w:rFonts w:ascii="Arial" w:cs="Arial" w:eastAsia="Arial" w:hAnsi="Arial"/>
          <w:sz w:val="16"/>
          <w:szCs w:val="16"/>
          <w:color w:val="auto"/>
        </w:rPr>
      </w:pPr>
    </w:p>
    <w:p>
      <w:pPr>
        <w:ind w:firstLine="2419"/>
        <w:spacing w:after="0" w:line="277" w:lineRule="auto"/>
        <w:tabs>
          <w:tab w:leader="none" w:pos="26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shall mean the Applicable Conversion Price in effect immediately prior to such issuance or deemed issuance of Additional Shares of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36" w:name="page237"/>
    <w:bookmarkEnd w:id="236"/>
    <w:p>
      <w:pPr>
        <w:jc w:val="both"/>
        <w:ind w:firstLine="2419"/>
        <w:spacing w:after="0" w:line="279" w:lineRule="auto"/>
        <w:tabs>
          <w:tab w:leader="none" w:pos="2668" w:val="left"/>
        </w:tabs>
        <w:numPr>
          <w:ilvl w:val="0"/>
          <w:numId w:val="1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71" w:lineRule="exact"/>
        <w:rPr>
          <w:rFonts w:ascii="Arial" w:cs="Arial" w:eastAsia="Arial" w:hAnsi="Arial"/>
          <w:sz w:val="17"/>
          <w:szCs w:val="17"/>
          <w:color w:val="auto"/>
        </w:rPr>
      </w:pPr>
    </w:p>
    <w:p>
      <w:pPr>
        <w:ind w:right="60" w:firstLine="2419"/>
        <w:spacing w:after="0" w:line="275" w:lineRule="auto"/>
        <w:tabs>
          <w:tab w:leader="none" w:pos="26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or deemed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152" w:lineRule="exact"/>
        <w:rPr>
          <w:rFonts w:ascii="Arial" w:cs="Arial" w:eastAsia="Arial" w:hAnsi="Arial"/>
          <w:sz w:val="18"/>
          <w:szCs w:val="18"/>
          <w:color w:val="auto"/>
        </w:rPr>
      </w:pPr>
    </w:p>
    <w:p>
      <w:pPr>
        <w:ind w:left="2660" w:hanging="241"/>
        <w:spacing w:after="0"/>
        <w:tabs>
          <w:tab w:leader="none" w:pos="2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25" w:lineRule="exact"/>
        <w:rPr>
          <w:sz w:val="20"/>
          <w:szCs w:val="20"/>
          <w:color w:val="auto"/>
        </w:rPr>
      </w:pPr>
    </w:p>
    <w:p>
      <w:pPr>
        <w:ind w:right="20" w:firstLine="1983"/>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4.4</w:t>
      </w:r>
      <w:r>
        <w:rPr>
          <w:rFonts w:ascii="Arial" w:cs="Arial" w:eastAsia="Arial" w:hAnsi="Arial"/>
          <w:sz w:val="18"/>
          <w:szCs w:val="18"/>
          <w:color w:val="auto"/>
        </w:rPr>
        <w:t>, the consideration received by the Corporation for the issuance or deemed issuance of any Additional Shares of Common Stock shall be computed as follows:</w:t>
      </w:r>
    </w:p>
    <w:p>
      <w:pPr>
        <w:spacing w:after="0" w:line="62" w:lineRule="exact"/>
        <w:rPr>
          <w:sz w:val="20"/>
          <w:szCs w:val="20"/>
          <w:color w:val="auto"/>
        </w:rPr>
      </w:pPr>
    </w:p>
    <w:p>
      <w:pPr>
        <w:ind w:left="2660" w:hanging="241"/>
        <w:spacing w:after="0"/>
        <w:tabs>
          <w:tab w:leader="none" w:pos="266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30" w:lineRule="exact"/>
        <w:rPr>
          <w:rFonts w:ascii="Arial" w:cs="Arial" w:eastAsia="Arial" w:hAnsi="Arial"/>
          <w:sz w:val="18"/>
          <w:szCs w:val="18"/>
          <w:color w:val="auto"/>
        </w:rPr>
      </w:pPr>
    </w:p>
    <w:p>
      <w:pPr>
        <w:ind w:left="3400" w:right="120" w:hanging="542"/>
        <w:spacing w:after="0" w:line="277" w:lineRule="auto"/>
        <w:tabs>
          <w:tab w:leader="none" w:pos="34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75" w:lineRule="exact"/>
        <w:rPr>
          <w:rFonts w:ascii="Arial" w:cs="Arial" w:eastAsia="Arial" w:hAnsi="Arial"/>
          <w:sz w:val="18"/>
          <w:szCs w:val="18"/>
          <w:color w:val="auto"/>
        </w:rPr>
      </w:pPr>
    </w:p>
    <w:p>
      <w:pPr>
        <w:ind w:left="3400" w:right="60" w:hanging="542"/>
        <w:spacing w:after="0" w:line="308" w:lineRule="auto"/>
        <w:tabs>
          <w:tab w:leader="none" w:pos="340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insofar as it consists of property other than cash, be computed at the fair market value thereof at the time of such issue, as determined in good faith by the Board of Directors of the Corporation; and</w:t>
      </w:r>
    </w:p>
    <w:p>
      <w:pPr>
        <w:spacing w:after="0" w:line="51" w:lineRule="exact"/>
        <w:rPr>
          <w:rFonts w:ascii="Arial" w:cs="Arial" w:eastAsia="Arial" w:hAnsi="Arial"/>
          <w:sz w:val="17"/>
          <w:szCs w:val="17"/>
          <w:color w:val="auto"/>
        </w:rPr>
      </w:pPr>
    </w:p>
    <w:p>
      <w:pPr>
        <w:ind w:left="3400" w:hanging="542"/>
        <w:spacing w:after="0" w:line="259" w:lineRule="auto"/>
        <w:tabs>
          <w:tab w:leader="none" w:pos="34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 of the Corporation.</w:t>
      </w:r>
    </w:p>
    <w:p>
      <w:pPr>
        <w:spacing w:after="0" w:line="186" w:lineRule="exact"/>
        <w:rPr>
          <w:rFonts w:ascii="Arial" w:cs="Arial" w:eastAsia="Arial" w:hAnsi="Arial"/>
          <w:sz w:val="18"/>
          <w:szCs w:val="18"/>
          <w:color w:val="auto"/>
        </w:rPr>
      </w:pPr>
    </w:p>
    <w:p>
      <w:pPr>
        <w:ind w:right="40" w:firstLine="2419"/>
        <w:spacing w:after="0" w:line="263" w:lineRule="auto"/>
        <w:tabs>
          <w:tab w:leader="none" w:pos="267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auto"/>
        </w:rPr>
        <w:t>Section 4.4.3</w:t>
      </w:r>
      <w:r>
        <w:rPr>
          <w:rFonts w:ascii="Arial" w:cs="Arial" w:eastAsia="Arial" w:hAnsi="Arial"/>
          <w:sz w:val="18"/>
          <w:szCs w:val="18"/>
          <w:color w:val="auto"/>
        </w:rPr>
        <w:t>, relating to Options and Convertible Securities, shall be determined by dividing:</w:t>
      </w:r>
    </w:p>
    <w:p>
      <w:pPr>
        <w:spacing w:after="0" w:line="89" w:lineRule="exact"/>
        <w:rPr>
          <w:rFonts w:ascii="Arial" w:cs="Arial" w:eastAsia="Arial" w:hAnsi="Arial"/>
          <w:sz w:val="18"/>
          <w:szCs w:val="18"/>
          <w:color w:val="auto"/>
        </w:rPr>
      </w:pPr>
    </w:p>
    <w:p>
      <w:pPr>
        <w:ind w:left="3400" w:right="80" w:hanging="542"/>
        <w:spacing w:after="0" w:line="259" w:lineRule="auto"/>
        <w:tabs>
          <w:tab w:leader="none" w:pos="34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37" w:name="page238"/>
    <w:bookmarkEnd w:id="237"/>
    <w:p>
      <w:pPr>
        <w:ind w:left="3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92" w:lineRule="exact"/>
        <w:rPr>
          <w:sz w:val="20"/>
          <w:szCs w:val="20"/>
          <w:color w:val="auto"/>
        </w:rPr>
      </w:pPr>
    </w:p>
    <w:p>
      <w:pPr>
        <w:ind w:left="3620" w:right="340" w:hanging="438"/>
        <w:spacing w:after="0" w:line="296" w:lineRule="auto"/>
        <w:tabs>
          <w:tab w:leader="none" w:pos="36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61" w:lineRule="exact"/>
        <w:rPr>
          <w:sz w:val="20"/>
          <w:szCs w:val="20"/>
          <w:color w:val="auto"/>
        </w:rPr>
      </w:pPr>
    </w:p>
    <w:p>
      <w:pPr>
        <w:ind w:right="140" w:firstLine="1983"/>
        <w:spacing w:after="0" w:line="257"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Arial" w:cs="Arial" w:eastAsia="Arial" w:hAnsi="Arial"/>
          <w:sz w:val="18"/>
          <w:szCs w:val="18"/>
          <w:u w:val="single" w:color="auto"/>
          <w:color w:val="auto"/>
        </w:rPr>
        <w:t>Section 4.4.4</w:t>
      </w:r>
      <w:r>
        <w:rPr>
          <w:rFonts w:ascii="Arial" w:cs="Arial" w:eastAsia="Arial" w:hAnsi="Arial"/>
          <w:sz w:val="18"/>
          <w:szCs w:val="18"/>
          <w:color w:val="auto"/>
        </w:rPr>
        <w:t xml:space="preserve">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88" w:lineRule="exact"/>
        <w:rPr>
          <w:sz w:val="20"/>
          <w:szCs w:val="20"/>
          <w:color w:val="auto"/>
        </w:rPr>
      </w:pPr>
    </w:p>
    <w:p>
      <w:pPr>
        <w:ind w:right="100" w:firstLine="1432"/>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If the Corporation shall at any time or from time to time after the Original Issue Date effect a subdivision of the outstanding Common Stock, the Applicable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Applicable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65" w:lineRule="exact"/>
        <w:rPr>
          <w:sz w:val="20"/>
          <w:szCs w:val="20"/>
          <w:color w:val="auto"/>
        </w:rPr>
      </w:pPr>
    </w:p>
    <w:p>
      <w:pPr>
        <w:ind w:firstLine="1432"/>
        <w:spacing w:after="0" w:line="275"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38" w:name="page239"/>
    <w:bookmarkEnd w:id="238"/>
    <w:p>
      <w:pPr>
        <w:ind w:firstLine="1979"/>
        <w:spacing w:after="0" w:line="277" w:lineRule="auto"/>
        <w:tabs>
          <w:tab w:leader="none" w:pos="2238"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ind w:right="20" w:firstLine="1979"/>
        <w:spacing w:after="0" w:line="263" w:lineRule="auto"/>
        <w:tabs>
          <w:tab w:leader="none" w:pos="223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92" w:lineRule="exact"/>
        <w:rPr>
          <w:sz w:val="20"/>
          <w:szCs w:val="20"/>
          <w:color w:val="auto"/>
        </w:rPr>
      </w:pPr>
    </w:p>
    <w:p>
      <w:pPr>
        <w:ind w:right="40" w:firstLine="1432"/>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77" w:lineRule="exact"/>
        <w:rPr>
          <w:sz w:val="20"/>
          <w:szCs w:val="20"/>
          <w:color w:val="auto"/>
        </w:rPr>
      </w:pPr>
    </w:p>
    <w:p>
      <w:pPr>
        <w:ind w:right="40" w:firstLine="1432"/>
        <w:spacing w:after="0" w:line="252"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Adjustment for Merger or Reorganization, etc</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8"/>
          <w:szCs w:val="18"/>
          <w:u w:val="single" w:color="auto"/>
          <w:color w:val="auto"/>
        </w:rPr>
        <w:t>Sections 4.4</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with respect to the rights and interests thereafter of the holders of the Preferred Stock, to the end that the provisions set forth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the Preferred Stock.</w:t>
      </w:r>
    </w:p>
    <w:p>
      <w:pPr>
        <w:spacing w:after="0" w:line="200" w:lineRule="exact"/>
        <w:rPr>
          <w:sz w:val="20"/>
          <w:szCs w:val="20"/>
          <w:color w:val="auto"/>
        </w:rPr>
      </w:pPr>
    </w:p>
    <w:p>
      <w:pPr>
        <w:ind w:right="180" w:firstLine="1432"/>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Certificate as to Adjustments</w:t>
      </w:r>
      <w:r>
        <w:rPr>
          <w:rFonts w:ascii="Arial" w:cs="Arial" w:eastAsia="Arial" w:hAnsi="Arial"/>
          <w:sz w:val="18"/>
          <w:szCs w:val="18"/>
          <w:color w:val="auto"/>
        </w:rPr>
        <w:t xml:space="preserve">. Upon the occurrence of each adjustment or readjustment of the Applicable Conversion Price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at its expense shall, as promptly as reasonably practicable but in any event not later than 10 days thereafter, compute such adjustment or readjustment in accordance with the terms hereof and furnish to each holder of Preferred Stock a certificate setting forth such adjustment or readjustment (including the kind and amount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39" w:name="page240"/>
    <w:bookmarkEnd w:id="239"/>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10 days thereafter), furnish or cause to be furnished to such holder a certificate setting forth (i) the Applicable Conversion Price then in effect, and (ii) the number of shares of Common Stock and the amount, if any, of other securities, cash or property which then would be received upon the conversion of Preferred Stock.</w:t>
      </w:r>
    </w:p>
    <w:p>
      <w:pPr>
        <w:spacing w:after="0" w:line="296"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Notice of Record Date</w:t>
      </w:r>
      <w:r>
        <w:rPr>
          <w:rFonts w:ascii="Arial" w:cs="Arial" w:eastAsia="Arial" w:hAnsi="Arial"/>
          <w:sz w:val="18"/>
          <w:szCs w:val="18"/>
          <w:color w:val="auto"/>
        </w:rPr>
        <w:t>. In the event:</w:t>
      </w:r>
    </w:p>
    <w:p>
      <w:pPr>
        <w:spacing w:after="0" w:line="117" w:lineRule="exact"/>
        <w:rPr>
          <w:sz w:val="20"/>
          <w:szCs w:val="20"/>
          <w:color w:val="auto"/>
        </w:rPr>
      </w:pPr>
    </w:p>
    <w:p>
      <w:pPr>
        <w:ind w:left="4" w:right="40" w:firstLine="1979"/>
        <w:spacing w:after="0" w:line="311" w:lineRule="auto"/>
        <w:tabs>
          <w:tab w:leader="none" w:pos="2231"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48" w:lineRule="exact"/>
        <w:rPr>
          <w:rFonts w:ascii="Arial" w:cs="Arial" w:eastAsia="Arial" w:hAnsi="Arial"/>
          <w:sz w:val="16"/>
          <w:szCs w:val="16"/>
          <w:color w:val="auto"/>
        </w:rPr>
      </w:pPr>
    </w:p>
    <w:p>
      <w:pPr>
        <w:ind w:left="2244" w:hanging="261"/>
        <w:spacing w:after="0"/>
        <w:tabs>
          <w:tab w:leader="none" w:pos="224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of any capital reorganization of the Corporation, any reclassification of the Common Stock of the Corporation, or any</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Deemed Liquidation Event; or</w:t>
      </w:r>
    </w:p>
    <w:p>
      <w:pPr>
        <w:spacing w:after="0" w:line="210" w:lineRule="exact"/>
        <w:rPr>
          <w:rFonts w:ascii="Arial" w:cs="Arial" w:eastAsia="Arial" w:hAnsi="Arial"/>
          <w:sz w:val="17"/>
          <w:szCs w:val="17"/>
          <w:color w:val="auto"/>
        </w:rPr>
      </w:pPr>
    </w:p>
    <w:p>
      <w:pPr>
        <w:ind w:left="2224" w:hanging="241"/>
        <w:spacing w:after="0"/>
        <w:tabs>
          <w:tab w:leader="none" w:pos="222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w:t>
      </w:r>
    </w:p>
    <w:p>
      <w:pPr>
        <w:spacing w:after="0" w:line="46" w:lineRule="exact"/>
        <w:rPr>
          <w:sz w:val="20"/>
          <w:szCs w:val="20"/>
          <w:color w:val="auto"/>
        </w:rPr>
      </w:pPr>
    </w:p>
    <w:p>
      <w:pPr>
        <w:ind w:left="4" w:right="40" w:hanging="4"/>
        <w:spacing w:after="0" w:line="269" w:lineRule="auto"/>
        <w:tabs>
          <w:tab w:leader="none" w:pos="219"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10 days prior to the record date or effective date for the event specified in such notice.</w:t>
      </w:r>
    </w:p>
    <w:p>
      <w:pPr>
        <w:spacing w:after="0" w:line="288" w:lineRule="exact"/>
        <w:rPr>
          <w:sz w:val="20"/>
          <w:szCs w:val="20"/>
          <w:color w:val="auto"/>
        </w:rPr>
      </w:pPr>
    </w:p>
    <w:p>
      <w:pPr>
        <w:ind w:left="1164" w:hanging="173"/>
        <w:spacing w:after="0"/>
        <w:tabs>
          <w:tab w:leader="none" w:pos="1164"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117" w:lineRule="exact"/>
        <w:rPr>
          <w:sz w:val="20"/>
          <w:szCs w:val="20"/>
          <w:color w:val="auto"/>
        </w:rPr>
      </w:pPr>
    </w:p>
    <w:p>
      <w:pPr>
        <w:jc w:val="both"/>
        <w:ind w:left="4" w:right="20" w:firstLine="1432"/>
        <w:spacing w:after="0" w:line="28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Events</w:t>
      </w:r>
      <w:r>
        <w:rPr>
          <w:rFonts w:ascii="Arial" w:cs="Arial" w:eastAsia="Arial" w:hAnsi="Arial"/>
          <w:sz w:val="16"/>
          <w:szCs w:val="16"/>
          <w:color w:val="auto"/>
        </w:rPr>
        <w:t xml:space="preserve">. Upon either (a) the closing of the sale of shares of Common Stock to in a firm-commitment underwritten public offering pursuant to an effective registration statement under the Securities Act of 1933, as amended, resulting in at least $75,000,000 of gross proceeds to the Corporation and at a price per share equal to at least two (2) times the Series B Original Issue Price (subject to appropriate adjustment in the event of any stock dividend, stock split, combination or other similar recapitalization with respect to the Series B Preferred Stock) (a </w:t>
      </w:r>
      <w:r>
        <w:rPr>
          <w:rFonts w:ascii="Arial" w:cs="Arial" w:eastAsia="Arial" w:hAnsi="Arial"/>
          <w:sz w:val="16"/>
          <w:szCs w:val="16"/>
          <w:b w:val="1"/>
          <w:bCs w:val="1"/>
          <w:color w:val="auto"/>
        </w:rPr>
        <w:t>“Qualified IPO”)</w:t>
      </w:r>
      <w:r>
        <w:rPr>
          <w:rFonts w:ascii="Arial" w:cs="Arial" w:eastAsia="Arial" w:hAnsi="Arial"/>
          <w:sz w:val="16"/>
          <w:szCs w:val="16"/>
          <w:color w:val="auto"/>
        </w:rPr>
        <w:t xml:space="preserve"> or</w:t>
      </w:r>
    </w:p>
    <w:p>
      <w:pPr>
        <w:spacing w:after="0" w:line="1" w:lineRule="exact"/>
        <w:rPr>
          <w:sz w:val="20"/>
          <w:szCs w:val="20"/>
          <w:color w:val="auto"/>
        </w:rPr>
      </w:pPr>
    </w:p>
    <w:p>
      <w:pPr>
        <w:ind w:left="4" w:right="160" w:hanging="4"/>
        <w:spacing w:after="0" w:line="281" w:lineRule="auto"/>
        <w:tabs>
          <w:tab w:leader="none" w:pos="259"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the date and time, or the occurrence of an event, specified by vote or written consent of the Requisite Holders (the time of such closing or the date and time specified or the time of the event specified in such vote or written consent is referred to herein as the </w:t>
      </w:r>
      <w:r>
        <w:rPr>
          <w:rFonts w:ascii="Arial" w:cs="Arial" w:eastAsia="Arial" w:hAnsi="Arial"/>
          <w:sz w:val="16"/>
          <w:szCs w:val="16"/>
          <w:b w:val="1"/>
          <w:bCs w:val="1"/>
          <w:color w:val="auto"/>
        </w:rPr>
        <w:t>“Mandatory Conversion Time”),</w:t>
      </w:r>
      <w:r>
        <w:rPr>
          <w:rFonts w:ascii="Arial" w:cs="Arial" w:eastAsia="Arial" w:hAnsi="Arial"/>
          <w:sz w:val="16"/>
          <w:szCs w:val="16"/>
          <w:color w:val="auto"/>
        </w:rPr>
        <w:t xml:space="preserve"> then</w:t>
      </w:r>
    </w:p>
    <w:p>
      <w:pPr>
        <w:spacing w:after="0" w:line="1" w:lineRule="exact"/>
        <w:rPr>
          <w:rFonts w:ascii="Arial" w:cs="Arial" w:eastAsia="Arial" w:hAnsi="Arial"/>
          <w:sz w:val="16"/>
          <w:szCs w:val="16"/>
          <w:color w:val="auto"/>
        </w:rPr>
      </w:pPr>
    </w:p>
    <w:p>
      <w:pPr>
        <w:ind w:left="4" w:right="420" w:hanging="4"/>
        <w:spacing w:after="0" w:line="260" w:lineRule="auto"/>
        <w:tabs>
          <w:tab w:leader="none" w:pos="21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all outstanding shares of Preferred Stock shall automatically be converted into shares of Common Stock, at the then effective conversion rate as calculated pursuant to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and (ii) such shares may not be reissued by the Corporation.</w:t>
      </w:r>
    </w:p>
    <w:p>
      <w:pPr>
        <w:spacing w:after="0" w:line="185" w:lineRule="exact"/>
        <w:rPr>
          <w:sz w:val="20"/>
          <w:szCs w:val="20"/>
          <w:color w:val="auto"/>
        </w:rPr>
      </w:pPr>
    </w:p>
    <w:p>
      <w:pPr>
        <w:ind w:left="4" w:right="540" w:firstLine="1432"/>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Procedural Requirements</w:t>
      </w:r>
      <w:r>
        <w:rPr>
          <w:rFonts w:ascii="Arial" w:cs="Arial" w:eastAsia="Arial" w:hAnsi="Arial"/>
          <w:sz w:val="18"/>
          <w:szCs w:val="18"/>
          <w:color w:val="auto"/>
        </w:rPr>
        <w:t>. All holders of record of shares of Preferred Stock shall be sent written notice of the Mandatory Conversion Time and the place designated for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240" w:name="page241"/>
    <w:bookmarkEnd w:id="240"/>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mandatory conversion of all such shares of Preferred Stock pursuant to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298" w:lineRule="exact"/>
        <w:rPr>
          <w:sz w:val="20"/>
          <w:szCs w:val="20"/>
          <w:color w:val="auto"/>
        </w:rPr>
      </w:pPr>
    </w:p>
    <w:p>
      <w:pPr>
        <w:ind w:left="1160" w:hanging="173"/>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Special Mandatory Conversion</w:t>
      </w:r>
      <w:r>
        <w:rPr>
          <w:rFonts w:ascii="Arial" w:cs="Arial" w:eastAsia="Arial" w:hAnsi="Arial"/>
          <w:sz w:val="18"/>
          <w:szCs w:val="18"/>
          <w:color w:val="auto"/>
        </w:rPr>
        <w:t>.</w:t>
      </w:r>
    </w:p>
    <w:p>
      <w:pPr>
        <w:spacing w:after="0" w:line="117" w:lineRule="exact"/>
        <w:rPr>
          <w:sz w:val="20"/>
          <w:szCs w:val="20"/>
          <w:color w:val="auto"/>
        </w:rPr>
      </w:pPr>
    </w:p>
    <w:p>
      <w:pPr>
        <w:ind w:right="180" w:firstLine="1432"/>
        <w:spacing w:after="0" w:line="259" w:lineRule="auto"/>
        <w:rPr>
          <w:sz w:val="20"/>
          <w:szCs w:val="20"/>
          <w:color w:val="auto"/>
        </w:rPr>
      </w:pPr>
      <w:r>
        <w:rPr>
          <w:rFonts w:ascii="Arial" w:cs="Arial" w:eastAsia="Arial" w:hAnsi="Arial"/>
          <w:sz w:val="18"/>
          <w:szCs w:val="18"/>
          <w:color w:val="auto"/>
        </w:rPr>
        <w:t xml:space="preserve">6.1 Two days after the Milestone Closing (as defined in that certain Series B Preferred Stock Purchase Agreement by and between the Corporation and the other parties thereto (the </w:t>
      </w:r>
      <w:r>
        <w:rPr>
          <w:rFonts w:ascii="Arial" w:cs="Arial" w:eastAsia="Arial" w:hAnsi="Arial"/>
          <w:sz w:val="18"/>
          <w:szCs w:val="18"/>
          <w:b w:val="1"/>
          <w:bCs w:val="1"/>
          <w:color w:val="auto"/>
        </w:rPr>
        <w:t>“SPA”</w:t>
      </w:r>
      <w:r>
        <w:rPr>
          <w:rFonts w:ascii="Arial" w:cs="Arial" w:eastAsia="Arial" w:hAnsi="Arial"/>
          <w:sz w:val="18"/>
          <w:szCs w:val="18"/>
          <w:color w:val="auto"/>
        </w:rPr>
        <w:t xml:space="preserve">)) occurs, if ever, each share of Series B Preferred Stock held by a Defaulting Purchaser (as defined in the SPA) shall be automatically, and without any further action on the part of such Defaulting Purchaser, converted into one (1) fully-paid, nonassessable share of Common Stock (a </w:t>
      </w:r>
      <w:r>
        <w:rPr>
          <w:rFonts w:ascii="Arial" w:cs="Arial" w:eastAsia="Arial" w:hAnsi="Arial"/>
          <w:sz w:val="18"/>
          <w:szCs w:val="18"/>
          <w:b w:val="1"/>
          <w:bCs w:val="1"/>
          <w:color w:val="auto"/>
        </w:rPr>
        <w:t>“Special Conversion”</w:t>
      </w:r>
      <w:r>
        <w:rPr>
          <w:rFonts w:ascii="Arial" w:cs="Arial" w:eastAsia="Arial" w:hAnsi="Arial"/>
          <w:sz w:val="18"/>
          <w:szCs w:val="18"/>
          <w:color w:val="auto"/>
        </w:rPr>
        <w:t>).</w:t>
      </w:r>
    </w:p>
    <w:p>
      <w:pPr>
        <w:spacing w:after="0" w:line="187" w:lineRule="exact"/>
        <w:rPr>
          <w:sz w:val="20"/>
          <w:szCs w:val="20"/>
          <w:color w:val="auto"/>
        </w:rPr>
      </w:pPr>
    </w:p>
    <w:p>
      <w:pPr>
        <w:ind w:firstLine="1432"/>
        <w:spacing w:after="0" w:line="28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Upon a Special Conversion, each holder of shares of Series B Preferred Stock converted pursuant to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be sent written notice of such Special Conversion and the place designated for mandatory conversion of all such shares of Series B Preferred Stock pursuant to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Upon receipt of such notice, each holder of such shares of Series B Preferred Stock in certificated form shall surrender his, her or its certificate or certificates for all such shares (or, if such holder alleges that any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Series B Preferred Stock converted pursuant to this </w:t>
      </w:r>
      <w:r>
        <w:rPr>
          <w:rFonts w:ascii="Arial" w:cs="Arial" w:eastAsia="Arial" w:hAnsi="Arial"/>
          <w:sz w:val="16"/>
          <w:szCs w:val="16"/>
          <w:u w:val="single" w:color="auto"/>
          <w:color w:val="auto"/>
        </w:rPr>
        <w:t>Section 6</w:t>
      </w:r>
      <w:r>
        <w:rPr>
          <w:rFonts w:ascii="Arial" w:cs="Arial" w:eastAsia="Arial" w:hAnsi="Arial"/>
          <w:sz w:val="16"/>
          <w:szCs w:val="16"/>
          <w:color w:val="auto"/>
        </w:rPr>
        <w:t>, including the rights, if any, to receive notices and vote (other than as a holder of Common Stock), will terminate at the time of the Special Conversion (notwithstanding the failure of the holder or holders thereof to surrender any certificates for such shares at or prior to such time), except only the rights of the holders thereof, upon surrender of any certificate or certificates of such holders therefor (or lost certificate affidavit and agreement), to receive the items provided for in the next sentence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41" w:name="page242"/>
    <w:bookmarkEnd w:id="241"/>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As soon as practicable after the Special Conversion and, if applicable, the surrender of any certificate or certificates (or lost certificate affidavit and agreement) for Series B Preferred Stock so converted, the Corporation shall (i) issue and deliver to such holder of Series B Preferred Stock, or to his, her or its nominees, a certificate or certificates for the number of full shares of Common Stock issuable upon such conversion in accordance with the provisions hereof and (ii) pay in cash such amount as provided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in lieu of any fraction of a share of Common Stock otherwise issuable upon such conversion. Such converted Series B Preferred Stock shall be retired and cancelled and may not be reissued as shares of such series, and the Corporation may thereafter take such appropriate action (without the need for stockholder action) as may be necessary to reduce the authorized number of shares of Series B Preferred Stock accordingly.</w:t>
      </w:r>
    </w:p>
    <w:p>
      <w:pPr>
        <w:spacing w:after="0" w:line="177" w:lineRule="exact"/>
        <w:rPr>
          <w:sz w:val="20"/>
          <w:szCs w:val="20"/>
          <w:color w:val="auto"/>
        </w:rPr>
      </w:pPr>
    </w:p>
    <w:p>
      <w:pPr>
        <w:ind w:left="1160" w:hanging="173"/>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xml:space="preserve">. Other than as set forth in </w:t>
      </w:r>
      <w:r>
        <w:rPr>
          <w:rFonts w:ascii="Arial" w:cs="Arial" w:eastAsia="Arial" w:hAnsi="Arial"/>
          <w:sz w:val="18"/>
          <w:szCs w:val="18"/>
          <w:u w:val="single" w:color="auto"/>
          <w:color w:val="auto"/>
        </w:rPr>
        <w:t>Section 2.5.2(b)</w:t>
      </w:r>
      <w:r>
        <w:rPr>
          <w:rFonts w:ascii="Arial" w:cs="Arial" w:eastAsia="Arial" w:hAnsi="Arial"/>
          <w:sz w:val="18"/>
          <w:szCs w:val="18"/>
          <w:color w:val="auto"/>
        </w:rPr>
        <w:t>, the Preferred Stock is not redeemable.</w:t>
      </w:r>
    </w:p>
    <w:p>
      <w:pPr>
        <w:spacing w:after="0" w:line="225" w:lineRule="exact"/>
        <w:rPr>
          <w:rFonts w:ascii="Arial" w:cs="Arial" w:eastAsia="Arial" w:hAnsi="Arial"/>
          <w:sz w:val="18"/>
          <w:szCs w:val="18"/>
          <w:color w:val="auto"/>
        </w:rPr>
      </w:pPr>
    </w:p>
    <w:p>
      <w:pPr>
        <w:ind w:firstLine="987"/>
        <w:spacing w:after="0" w:line="311" w:lineRule="auto"/>
        <w:tabs>
          <w:tab w:leader="none" w:pos="1171"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Redeemed or Otherwise Acquired Shares</w:t>
      </w:r>
      <w:r>
        <w:rPr>
          <w:rFonts w:ascii="Arial" w:cs="Arial" w:eastAsia="Arial" w:hAnsi="Arial"/>
          <w:sz w:val="16"/>
          <w:szCs w:val="16"/>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48" w:lineRule="exact"/>
        <w:rPr>
          <w:rFonts w:ascii="Arial" w:cs="Arial" w:eastAsia="Arial" w:hAnsi="Arial"/>
          <w:sz w:val="16"/>
          <w:szCs w:val="16"/>
          <w:color w:val="auto"/>
        </w:rPr>
      </w:pPr>
    </w:p>
    <w:p>
      <w:pPr>
        <w:ind w:right="280" w:firstLine="987"/>
        <w:spacing w:after="0" w:line="277" w:lineRule="auto"/>
        <w:tabs>
          <w:tab w:leader="none" w:pos="1171"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of the rights, powers, preferences and other terms of the Preferred Stock set forth herein may be waived on behalf of all holders of Preferred Stock by the affirmative written consent or vote of the Requisite Holders.</w:t>
      </w:r>
    </w:p>
    <w:p>
      <w:pPr>
        <w:spacing w:after="0" w:line="170" w:lineRule="exact"/>
        <w:rPr>
          <w:rFonts w:ascii="Arial" w:cs="Arial" w:eastAsia="Arial" w:hAnsi="Arial"/>
          <w:sz w:val="18"/>
          <w:szCs w:val="18"/>
          <w:color w:val="auto"/>
        </w:rPr>
      </w:pPr>
    </w:p>
    <w:p>
      <w:pPr>
        <w:ind w:right="160" w:firstLine="987"/>
        <w:spacing w:after="0" w:line="311" w:lineRule="auto"/>
        <w:tabs>
          <w:tab w:leader="none" w:pos="1261"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37" w:lineRule="exact"/>
        <w:rPr>
          <w:sz w:val="20"/>
          <w:szCs w:val="20"/>
          <w:color w:val="auto"/>
        </w:rPr>
      </w:pPr>
    </w:p>
    <w:p>
      <w:pPr>
        <w:ind w:left="440" w:right="20" w:firstLine="423"/>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Subject to any additional vote required by this Amended and Restated Certificate of Incorporation or Bylaws, in furtherance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not in limitation of the powers conferred by statute, the Board of Directors is expressly authorized to make, repeal, alter, amend and rescind any or all of the Bylaws of the Corporation.</w:t>
      </w:r>
    </w:p>
    <w:p>
      <w:pPr>
        <w:spacing w:after="0" w:line="68" w:lineRule="exact"/>
        <w:rPr>
          <w:sz w:val="20"/>
          <w:szCs w:val="20"/>
          <w:color w:val="auto"/>
        </w:rPr>
      </w:pPr>
    </w:p>
    <w:p>
      <w:pPr>
        <w:ind w:left="440" w:right="180" w:firstLine="423"/>
        <w:spacing w:after="0" w:line="266"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this Amended and Restated Certificate of Incorporation, the number of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be determined in the manner set forth in the Bylaws of the Corporation. Each director shall be entitled to one vote on each matter presented to the Board of Directors.</w:t>
      </w:r>
    </w:p>
    <w:p>
      <w:pPr>
        <w:spacing w:after="0" w:line="68"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117" w:lineRule="exact"/>
        <w:rPr>
          <w:sz w:val="20"/>
          <w:szCs w:val="20"/>
          <w:color w:val="auto"/>
        </w:rPr>
      </w:pPr>
    </w:p>
    <w:p>
      <w:pPr>
        <w:jc w:val="both"/>
        <w:ind w:left="440" w:right="220" w:firstLine="423"/>
        <w:spacing w:after="0" w:line="26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The books of the Corporation may be kept outside the State of Delaware at such place or places as may be designated from time to time by the Board of Directors or in the Bylaws of the Corporation.</w:t>
      </w:r>
    </w:p>
    <w:p>
      <w:pPr>
        <w:spacing w:after="0" w:line="68" w:lineRule="exact"/>
        <w:rPr>
          <w:sz w:val="20"/>
          <w:szCs w:val="20"/>
          <w:color w:val="auto"/>
        </w:rPr>
      </w:pPr>
    </w:p>
    <w:p>
      <w:pPr>
        <w:ind w:left="440" w:right="400" w:firstLine="423"/>
        <w:spacing w:after="0" w:line="266"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To the fullest extent permitted by law, a director of the Corporation shall not be personally liable to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for monetary damages for breach of fiduciary duty as a director. If the General Corporation Law or any other law of the State of Delaware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42" w:name="page243"/>
    <w:bookmarkEnd w:id="242"/>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 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49" w:lineRule="exact"/>
        <w:rPr>
          <w:sz w:val="20"/>
          <w:szCs w:val="20"/>
          <w:color w:val="auto"/>
        </w:rPr>
      </w:pPr>
    </w:p>
    <w:p>
      <w:pPr>
        <w:ind w:right="20" w:firstLine="423"/>
        <w:spacing w:after="0" w:line="303" w:lineRule="auto"/>
        <w:rPr>
          <w:sz w:val="20"/>
          <w:szCs w:val="20"/>
          <w:color w:val="auto"/>
        </w:rPr>
      </w:pPr>
      <w:r>
        <w:rPr>
          <w:rFonts w:ascii="Arial" w:cs="Arial" w:eastAsia="Arial" w:hAnsi="Arial"/>
          <w:sz w:val="16"/>
          <w:szCs w:val="16"/>
          <w:b w:val="1"/>
          <w:bCs w:val="1"/>
          <w:color w:val="auto"/>
        </w:rPr>
        <w:t xml:space="preserve">TENTH: </w:t>
      </w:r>
      <w:r>
        <w:rPr>
          <w:rFonts w:ascii="Arial" w:cs="Arial" w:eastAsia="Arial" w:hAnsi="Arial"/>
          <w:sz w:val="16"/>
          <w:szCs w:val="16"/>
          <w:color w:val="auto"/>
        </w:rPr>
        <w:t>To the fullest extent permitted by applicable law, the Corporation is authorized to provide indemnification of (and advancement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47" w:lineRule="exact"/>
        <w:rPr>
          <w:sz w:val="20"/>
          <w:szCs w:val="20"/>
          <w:color w:val="auto"/>
        </w:rPr>
      </w:pPr>
    </w:p>
    <w:p>
      <w:pPr>
        <w:ind w:firstLine="423"/>
        <w:spacing w:after="0" w:line="259" w:lineRule="auto"/>
        <w:rPr>
          <w:sz w:val="20"/>
          <w:szCs w:val="20"/>
          <w:color w:val="auto"/>
        </w:rPr>
      </w:pPr>
      <w:r>
        <w:rPr>
          <w:rFonts w:ascii="Arial" w:cs="Arial" w:eastAsia="Arial" w:hAnsi="Arial"/>
          <w:sz w:val="18"/>
          <w:szCs w:val="18"/>
          <w:color w:val="auto"/>
        </w:rPr>
        <w:t>Any amendment, repeal or modification of the foregoing provisions of this Article Tenth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w:t>
      </w:r>
    </w:p>
    <w:p>
      <w:pPr>
        <w:spacing w:after="0" w:line="75" w:lineRule="exact"/>
        <w:rPr>
          <w:sz w:val="20"/>
          <w:szCs w:val="20"/>
          <w:color w:val="auto"/>
        </w:rPr>
      </w:pPr>
    </w:p>
    <w:p>
      <w:pPr>
        <w:ind w:right="20" w:firstLine="423"/>
        <w:spacing w:after="0" w:line="268" w:lineRule="auto"/>
        <w:rPr>
          <w:sz w:val="20"/>
          <w:szCs w:val="20"/>
          <w:color w:val="auto"/>
        </w:rPr>
      </w:pPr>
      <w:r>
        <w:rPr>
          <w:rFonts w:ascii="Arial" w:cs="Arial" w:eastAsia="Arial" w:hAnsi="Arial"/>
          <w:sz w:val="17"/>
          <w:szCs w:val="17"/>
          <w:b w:val="1"/>
          <w:bCs w:val="1"/>
          <w:color w:val="auto"/>
        </w:rPr>
        <w:t xml:space="preserve">ELEVENTH: </w:t>
      </w:r>
      <w:r>
        <w:rPr>
          <w:rFonts w:ascii="Arial" w:cs="Arial" w:eastAsia="Arial" w:hAnsi="Arial"/>
          <w:sz w:val="17"/>
          <w:szCs w:val="17"/>
          <w:color w:val="auto"/>
        </w:rPr>
        <w:t>In the event that a director of the Corporation who is also a partner or employee of an entity that is a holder of Preferred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 or any of its affiliates and that is in the business of investing and reinvesting in other entities (each, a </w:t>
      </w:r>
      <w:r>
        <w:rPr>
          <w:rFonts w:ascii="Arial" w:cs="Arial" w:eastAsia="Arial" w:hAnsi="Arial"/>
          <w:sz w:val="17"/>
          <w:szCs w:val="17"/>
          <w:b w:val="1"/>
          <w:bCs w:val="1"/>
          <w:color w:val="auto"/>
        </w:rPr>
        <w:t>“Fund”),</w:t>
      </w:r>
      <w:r>
        <w:rPr>
          <w:rFonts w:ascii="Arial" w:cs="Arial" w:eastAsia="Arial" w:hAnsi="Arial"/>
          <w:sz w:val="17"/>
          <w:szCs w:val="17"/>
          <w:color w:val="auto"/>
        </w:rPr>
        <w:t xml:space="preserve"> acquires knowledge of a potential transaction or matter in such person’s capacity as a partner or employee of the Fund and that may be a corporate opportunity for both the Corporation and such Fund, such director shall to the fullest extent permitted by law be deemed to have fully satisfied and fulfilled such director’s fiduciary duty to the Corporation and its stockholders with respect to such corporate opportunity, and the Corporation to the fullest extent permitted by law renounces and waives any claim that such business opportunity constituted a corporate opportunity that should have been presented to the Corporation or any of its affiliates, if such director acts in good faith in a manner consistent with the following policy: a corporate opportunity offered to any person who is a director of the Corporation, and who is also a partner, member, employee, service provider, affiliate or agent of a Fund, shall belong to such Fund, unless such opportunity was expressly offered to such person solely in his or her capacity as a director of the Corporation, while such person is performing services in such capacity.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Amended and Restated Certificate of Incorporation, the affirmative vote of the Requisite Holders, will be required to amend or repeal, or to adopt any provisions inconsistent with this Article Eleventh.</w:t>
      </w:r>
    </w:p>
    <w:p>
      <w:pPr>
        <w:spacing w:after="0" w:line="76" w:lineRule="exact"/>
        <w:rPr>
          <w:sz w:val="20"/>
          <w:szCs w:val="20"/>
          <w:color w:val="auto"/>
        </w:rPr>
      </w:pPr>
    </w:p>
    <w:p>
      <w:pPr>
        <w:ind w:firstLine="423"/>
        <w:spacing w:after="0" w:line="255" w:lineRule="auto"/>
        <w:rPr>
          <w:sz w:val="20"/>
          <w:szCs w:val="20"/>
          <w:color w:val="auto"/>
        </w:rPr>
      </w:pPr>
      <w:r>
        <w:rPr>
          <w:rFonts w:ascii="Arial" w:cs="Arial" w:eastAsia="Arial" w:hAnsi="Arial"/>
          <w:sz w:val="18"/>
          <w:szCs w:val="18"/>
          <w:b w:val="1"/>
          <w:bCs w:val="1"/>
          <w:color w:val="auto"/>
        </w:rPr>
        <w:t xml:space="preserve">TWELFTH: </w:t>
      </w:r>
      <w:r>
        <w:rPr>
          <w:rFonts w:ascii="Arial" w:cs="Arial" w:eastAsia="Arial" w:hAnsi="Arial"/>
          <w:sz w:val="18"/>
          <w:szCs w:val="18"/>
          <w:color w:val="auto"/>
        </w:rPr>
        <w:t>Unless the Corporation consents in writing to the selection of an alternative forum, the Court of Chancery in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w:t>
      </w:r>
    </w:p>
    <w:p>
      <w:pPr>
        <w:spacing w:after="0" w:line="1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40"/>
          </w:cols>
          <w:pgMar w:left="880" w:top="274" w:right="479" w:bottom="1440" w:gutter="0" w:footer="0" w:header="0"/>
        </w:sectPr>
      </w:pPr>
    </w:p>
    <w:bookmarkStart w:id="243" w:name="page244"/>
    <w:bookmarkEnd w:id="243"/>
    <w:p>
      <w:pPr>
        <w:ind w:left="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10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81" w:lineRule="exact"/>
        <w:rPr>
          <w:sz w:val="20"/>
          <w:szCs w:val="20"/>
          <w:color w:val="auto"/>
        </w:rPr>
      </w:pPr>
    </w:p>
    <w:p>
      <w:pPr>
        <w:jc w:val="center"/>
        <w:ind w:right="180"/>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right="360" w:firstLine="987"/>
        <w:spacing w:after="0" w:line="277" w:lineRule="auto"/>
        <w:tabs>
          <w:tab w:leader="none" w:pos="117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That the foregoing amendment and restatement was approved by the holders of the requisite number of shares of this corporation in accordance with Section 228 of the General Corporation Law.</w:t>
      </w:r>
    </w:p>
    <w:p>
      <w:pPr>
        <w:spacing w:after="0" w:line="170" w:lineRule="exact"/>
        <w:rPr>
          <w:rFonts w:ascii="Arial" w:cs="Arial" w:eastAsia="Arial" w:hAnsi="Arial"/>
          <w:sz w:val="18"/>
          <w:szCs w:val="18"/>
          <w:color w:val="auto"/>
        </w:rPr>
      </w:pPr>
    </w:p>
    <w:p>
      <w:pPr>
        <w:ind w:right="180" w:firstLine="987"/>
        <w:spacing w:after="0" w:line="308" w:lineRule="auto"/>
        <w:tabs>
          <w:tab w:leader="none" w:pos="117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That this Certificate of Incorporation, which restates and integrates and further amends the provisions of this Corporation’s Certificate of Incorporation, has been duly adopted in accordance with Sections 242 and 245 of the General Corporation Law.</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44" w:name="page245"/>
    <w:bookmarkEnd w:id="2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Amended and Restated Certificate of Incorporation has been executed by a duly authorized officer of the Corporation on November 20, 2020.</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Daniel J.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Daniel O’Connell, Chief Executive Officer</w:t>
      </w:r>
    </w:p>
    <w:p>
      <w:pPr>
        <w:sectPr>
          <w:pgSz w:w="11900" w:h="16838" w:orient="portrait"/>
          <w:cols w:equalWidth="0" w:num="1">
            <w:col w:w="10580"/>
          </w:cols>
          <w:pgMar w:left="880" w:top="274" w:right="4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ACUMEN PHARMACEUTICALS,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OFFICES: REGISTERED AGENT</w:t>
      </w:r>
    </w:p>
    <w:p>
      <w:pPr>
        <w:spacing w:after="0" w:line="225" w:lineRule="exact"/>
        <w:rPr>
          <w:sz w:val="20"/>
          <w:szCs w:val="20"/>
          <w:color w:val="auto"/>
        </w:rPr>
      </w:pPr>
    </w:p>
    <w:p>
      <w:pPr>
        <w:ind w:right="420" w:firstLine="436"/>
        <w:spacing w:after="0" w:line="282" w:lineRule="auto"/>
        <w:tabs>
          <w:tab w:leader="none" w:pos="57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Registered Office and Agent.</w:t>
      </w:r>
      <w:r>
        <w:rPr>
          <w:rFonts w:ascii="Arial" w:cs="Arial" w:eastAsia="Arial" w:hAnsi="Arial"/>
          <w:sz w:val="18"/>
          <w:szCs w:val="18"/>
          <w:color w:val="auto"/>
        </w:rPr>
        <w:t xml:space="preserve"> The corporation shall maintain in the State of Delaware a registered office and a registered agent whose business office is identical with such registered office.</w:t>
      </w:r>
    </w:p>
    <w:p>
      <w:pPr>
        <w:spacing w:after="0" w:line="161" w:lineRule="exact"/>
        <w:rPr>
          <w:rFonts w:ascii="Arial" w:cs="Arial" w:eastAsia="Arial" w:hAnsi="Arial"/>
          <w:sz w:val="18"/>
          <w:szCs w:val="18"/>
          <w:color w:val="auto"/>
        </w:rPr>
      </w:pPr>
    </w:p>
    <w:p>
      <w:pPr>
        <w:ind w:right="100" w:firstLine="436"/>
        <w:spacing w:after="0" w:line="282" w:lineRule="auto"/>
        <w:tabs>
          <w:tab w:leader="none" w:pos="57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b w:val="1"/>
          <w:bCs w:val="1"/>
          <w:u w:val="single" w:color="auto"/>
          <w:color w:val="auto"/>
        </w:rPr>
        <w:t>Principal Business Office.</w:t>
      </w:r>
      <w:r>
        <w:rPr>
          <w:rFonts w:ascii="Arial" w:cs="Arial" w:eastAsia="Arial" w:hAnsi="Arial"/>
          <w:sz w:val="18"/>
          <w:szCs w:val="18"/>
          <w:color w:val="auto"/>
        </w:rPr>
        <w:t xml:space="preserve"> The corporation shall have its principal business office at such location within or without the State of Delaware as the board of directors may from time to time determine.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5" w:lineRule="exact"/>
        <w:rPr>
          <w:sz w:val="20"/>
          <w:szCs w:val="20"/>
          <w:color w:val="auto"/>
        </w:rPr>
      </w:pPr>
    </w:p>
    <w:p>
      <w:pPr>
        <w:ind w:right="20" w:firstLine="436"/>
        <w:spacing w:after="0" w:line="266" w:lineRule="auto"/>
        <w:tabs>
          <w:tab w:leader="none" w:pos="57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Annual Meeting.</w:t>
      </w:r>
      <w:r>
        <w:rPr>
          <w:rFonts w:ascii="Arial" w:cs="Arial" w:eastAsia="Arial" w:hAnsi="Arial"/>
          <w:sz w:val="18"/>
          <w:szCs w:val="18"/>
          <w:color w:val="auto"/>
        </w:rPr>
        <w:t xml:space="preserve"> The annual meeting of the stockholders shall be held on the first Tuesday of April each year, at the hour of 10:00 a.m., for the purpose of electing directors and for the transaction of such other business as may properly come before the meeting. If the day fixed for the annual meeting shall be a legal holiday, such meeting shall be held on the next succeeding business day.</w:t>
      </w:r>
    </w:p>
    <w:p>
      <w:pPr>
        <w:spacing w:after="0" w:line="175" w:lineRule="exact"/>
        <w:rPr>
          <w:rFonts w:ascii="Arial" w:cs="Arial" w:eastAsia="Arial" w:hAnsi="Arial"/>
          <w:sz w:val="18"/>
          <w:szCs w:val="18"/>
          <w:color w:val="auto"/>
        </w:rPr>
      </w:pPr>
    </w:p>
    <w:p>
      <w:pPr>
        <w:ind w:right="580" w:firstLine="436"/>
        <w:spacing w:after="0" w:line="282" w:lineRule="auto"/>
        <w:tabs>
          <w:tab w:leader="none" w:pos="57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b w:val="1"/>
          <w:bCs w:val="1"/>
          <w:u w:val="single" w:color="auto"/>
          <w:color w:val="auto"/>
        </w:rPr>
        <w:t>Special Meetings.</w:t>
      </w:r>
      <w:r>
        <w:rPr>
          <w:rFonts w:ascii="Arial" w:cs="Arial" w:eastAsia="Arial" w:hAnsi="Arial"/>
          <w:sz w:val="18"/>
          <w:szCs w:val="18"/>
          <w:color w:val="auto"/>
        </w:rPr>
        <w:t xml:space="preserve"> Special meetings of the stockholders of for any purpose or purposes may be called by the Chairman, the Board of Directors or by the President.</w:t>
      </w:r>
    </w:p>
    <w:p>
      <w:pPr>
        <w:spacing w:after="0" w:line="161" w:lineRule="exact"/>
        <w:rPr>
          <w:rFonts w:ascii="Arial" w:cs="Arial" w:eastAsia="Arial" w:hAnsi="Arial"/>
          <w:sz w:val="18"/>
          <w:szCs w:val="18"/>
          <w:color w:val="auto"/>
        </w:rPr>
      </w:pPr>
    </w:p>
    <w:p>
      <w:pPr>
        <w:ind w:right="140" w:firstLine="436"/>
        <w:spacing w:after="0" w:line="303" w:lineRule="auto"/>
        <w:tabs>
          <w:tab w:leader="none" w:pos="57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3 </w:t>
      </w:r>
      <w:r>
        <w:rPr>
          <w:rFonts w:ascii="Arial" w:cs="Arial" w:eastAsia="Arial" w:hAnsi="Arial"/>
          <w:sz w:val="16"/>
          <w:szCs w:val="16"/>
          <w:b w:val="1"/>
          <w:bCs w:val="1"/>
          <w:u w:val="single" w:color="auto"/>
          <w:color w:val="auto"/>
        </w:rPr>
        <w:t>Place of Meetings.</w:t>
      </w:r>
      <w:r>
        <w:rPr>
          <w:rFonts w:ascii="Arial" w:cs="Arial" w:eastAsia="Arial" w:hAnsi="Arial"/>
          <w:sz w:val="16"/>
          <w:szCs w:val="16"/>
          <w:color w:val="auto"/>
        </w:rPr>
        <w:t xml:space="preserve"> The board of directors may designate any place, either within or without the State of Delaware, as the place of meeting for any annual meeting or for any special meeting called by the board of directors, but if no designation is made, or if a special meeting be otherwise called, the place of meeting shall be the principal business office of the corporation; provided, however, that for any meeting of the stockholders for which a waiver of notice designating a place is signed by all of the stockholders, then that shall be the place for the holding of such meeting.</w:t>
      </w:r>
    </w:p>
    <w:p>
      <w:pPr>
        <w:spacing w:after="0" w:line="150" w:lineRule="exact"/>
        <w:rPr>
          <w:rFonts w:ascii="Arial" w:cs="Arial" w:eastAsia="Arial" w:hAnsi="Arial"/>
          <w:sz w:val="16"/>
          <w:szCs w:val="16"/>
          <w:color w:val="auto"/>
        </w:rPr>
      </w:pPr>
    </w:p>
    <w:p>
      <w:pPr>
        <w:ind w:right="40" w:firstLine="436"/>
        <w:spacing w:after="0" w:line="261" w:lineRule="auto"/>
        <w:tabs>
          <w:tab w:leader="none" w:pos="57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4 </w:t>
      </w:r>
      <w:r>
        <w:rPr>
          <w:rFonts w:ascii="Arial" w:cs="Arial" w:eastAsia="Arial" w:hAnsi="Arial"/>
          <w:sz w:val="18"/>
          <w:szCs w:val="18"/>
          <w:b w:val="1"/>
          <w:bCs w:val="1"/>
          <w:u w:val="single" w:color="auto"/>
          <w:color w:val="auto"/>
        </w:rPr>
        <w:t>Notice of Meetings.</w:t>
      </w:r>
      <w:r>
        <w:rPr>
          <w:rFonts w:ascii="Arial" w:cs="Arial" w:eastAsia="Arial" w:hAnsi="Arial"/>
          <w:sz w:val="18"/>
          <w:szCs w:val="18"/>
          <w:color w:val="auto"/>
        </w:rPr>
        <w:t xml:space="preserve"> Written or printed notice stating the place, date and hour of the meeting of the stockholders and, in the case of a special meeting, the purpose or purposes for which the meeting is called, shall be given to each stockholder of record entitled to vote at the meeting, not less than 10 nor more than 60 days before the date of the meeting, or in the case of a meeting called for the purpose of acting upon a merger or consolidation not less than 20 nor</w:t>
      </w:r>
    </w:p>
    <w:p>
      <w:pPr>
        <w:sectPr>
          <w:pgSz w:w="11900" w:h="16838" w:orient="portrait"/>
          <w:cols w:equalWidth="0" w:num="1">
            <w:col w:w="11020"/>
          </w:cols>
          <w:pgMar w:left="440" w:top="121" w:right="439" w:bottom="1440" w:gutter="0" w:footer="0" w:header="0"/>
        </w:sectPr>
      </w:pPr>
    </w:p>
    <w:bookmarkStart w:id="246" w:name="page247"/>
    <w:bookmarkEnd w:id="246"/>
    <w:p>
      <w:pPr>
        <w:jc w:val="both"/>
        <w:ind w:right="3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more than 60 days before the meeting. Such notice shall be given by or at the direction of the secretary. If mailed, such notice shall be deemed to be given when deposited in the United States mail addressed to the stockholder at his or her address as it appears on the records of the corporation, with postage thereon prepaid. If delivered (rather than mailed) to such address, such notice shall be deemed to be given when so delivered.</w:t>
      </w:r>
    </w:p>
    <w:p>
      <w:pPr>
        <w:spacing w:after="0" w:line="149"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When a meeting is adjourned to another time or place, notice need not be given of the adjourned meeting if the time and place thereof are announced at the meeting at which the adjournment is taken, unless the adjournment is for more than 30 days or unless a new record date is fixed for the adjourned meeting.</w:t>
      </w:r>
    </w:p>
    <w:p>
      <w:pPr>
        <w:spacing w:after="0" w:line="180" w:lineRule="exact"/>
        <w:rPr>
          <w:sz w:val="20"/>
          <w:szCs w:val="20"/>
          <w:color w:val="auto"/>
        </w:rPr>
      </w:pPr>
    </w:p>
    <w:p>
      <w:pPr>
        <w:ind w:firstLine="436"/>
        <w:spacing w:after="0" w:line="281" w:lineRule="auto"/>
        <w:tabs>
          <w:tab w:leader="none" w:pos="57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5 </w:t>
      </w:r>
      <w:r>
        <w:rPr>
          <w:rFonts w:ascii="Arial" w:cs="Arial" w:eastAsia="Arial" w:hAnsi="Arial"/>
          <w:sz w:val="17"/>
          <w:szCs w:val="17"/>
          <w:b w:val="1"/>
          <w:bCs w:val="1"/>
          <w:u w:val="single" w:color="auto"/>
          <w:color w:val="auto"/>
        </w:rPr>
        <w:t>Waiver of Notice.</w:t>
      </w:r>
      <w:r>
        <w:rPr>
          <w:rFonts w:ascii="Arial" w:cs="Arial" w:eastAsia="Arial" w:hAnsi="Arial"/>
          <w:sz w:val="17"/>
          <w:szCs w:val="17"/>
          <w:color w:val="auto"/>
        </w:rPr>
        <w:t xml:space="preserve"> A waiver of notice in writing signed by a stockholder entitled to such notice, whether before or after the time stated therein, shall be deemed equivalent to the giving of such notice. Attendance of a stockholder in person or by proxy at a meeting of stockholders shall constitute a waiver of notice of such meeting except when the stockholder or his or her proxy attends the meeting for the express purpose of objecting, at the beginning of the meeting, to the transaction of any business because the meeting is not lawfully called or convened.</w:t>
      </w:r>
    </w:p>
    <w:p>
      <w:pPr>
        <w:spacing w:after="0" w:line="164" w:lineRule="exact"/>
        <w:rPr>
          <w:rFonts w:ascii="Arial" w:cs="Arial" w:eastAsia="Arial" w:hAnsi="Arial"/>
          <w:sz w:val="17"/>
          <w:szCs w:val="17"/>
          <w:color w:val="auto"/>
        </w:rPr>
      </w:pPr>
    </w:p>
    <w:p>
      <w:pPr>
        <w:jc w:val="both"/>
        <w:ind w:right="20" w:firstLine="436"/>
        <w:spacing w:after="0" w:line="266" w:lineRule="auto"/>
        <w:tabs>
          <w:tab w:leader="none" w:pos="57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8"/>
          <w:szCs w:val="18"/>
          <w:b w:val="1"/>
          <w:bCs w:val="1"/>
          <w:u w:val="single" w:color="auto"/>
          <w:color w:val="auto"/>
        </w:rPr>
        <w:t>Meeting of All Stockholders.</w:t>
      </w:r>
      <w:r>
        <w:rPr>
          <w:rFonts w:ascii="Arial" w:cs="Arial" w:eastAsia="Arial" w:hAnsi="Arial"/>
          <w:sz w:val="18"/>
          <w:szCs w:val="18"/>
          <w:color w:val="auto"/>
        </w:rPr>
        <w:t xml:space="preserve"> If all of the stockholders shall meet at any time and place, either within or without the State of Delaware, and shall, in writing signed by all of the stockholders, waive notice of, and consent to the holding of, a meeting at such time and place, such meeting shall be valid without call or notice, and at such meeting any corporate action may be taken.</w:t>
      </w:r>
    </w:p>
    <w:p>
      <w:pPr>
        <w:spacing w:after="0" w:line="283" w:lineRule="exact"/>
        <w:rPr>
          <w:rFonts w:ascii="Arial" w:cs="Arial" w:eastAsia="Arial" w:hAnsi="Arial"/>
          <w:sz w:val="18"/>
          <w:szCs w:val="18"/>
          <w:color w:val="auto"/>
        </w:rPr>
      </w:pPr>
    </w:p>
    <w:p>
      <w:pPr>
        <w:ind w:left="580" w:hanging="144"/>
        <w:spacing w:after="0"/>
        <w:tabs>
          <w:tab w:leader="none" w:pos="5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7   </w:t>
      </w:r>
      <w:r>
        <w:rPr>
          <w:rFonts w:ascii="Arial" w:cs="Arial" w:eastAsia="Arial" w:hAnsi="Arial"/>
          <w:sz w:val="18"/>
          <w:szCs w:val="18"/>
          <w:b w:val="1"/>
          <w:bCs w:val="1"/>
          <w:u w:val="single" w:color="auto"/>
          <w:color w:val="auto"/>
        </w:rPr>
        <w:t>Record Dates.</w:t>
      </w:r>
    </w:p>
    <w:p>
      <w:pPr>
        <w:spacing w:after="0" w:line="121" w:lineRule="exact"/>
        <w:rPr>
          <w:rFonts w:ascii="Arial" w:cs="Arial" w:eastAsia="Arial" w:hAnsi="Arial"/>
          <w:sz w:val="18"/>
          <w:szCs w:val="18"/>
          <w:color w:val="auto"/>
        </w:rPr>
      </w:pPr>
    </w:p>
    <w:p>
      <w:pPr>
        <w:ind w:firstLine="987"/>
        <w:spacing w:after="0" w:line="271" w:lineRule="auto"/>
        <w:tabs>
          <w:tab w:leader="none" w:pos="1236"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or to vote at any meeting of stockholders or any adjournment thereof, the board of directors may fix a record date, which record date shall not precede the date on which the resolution fixing the record date is adopted by the board of directors, and which record date shall not be more than 60 nor less than 10 days before the date of such meeting (or 20 days if a merger or consolidation is to be acted upon at such meeting). If no record date is fixed by the board of directors, the record date for determining stockholders entitled to notice of or to vote at a meeting of stockholders shall be at the close of business on the next day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8" w:lineRule="exact"/>
        <w:rPr>
          <w:rFonts w:ascii="Arial" w:cs="Arial" w:eastAsia="Arial" w:hAnsi="Arial"/>
          <w:sz w:val="17"/>
          <w:szCs w:val="17"/>
          <w:color w:val="auto"/>
        </w:rPr>
      </w:pPr>
    </w:p>
    <w:p>
      <w:pPr>
        <w:ind w:right="40" w:firstLine="987"/>
        <w:spacing w:after="0" w:line="255" w:lineRule="auto"/>
        <w:tabs>
          <w:tab w:leader="none" w:pos="1246"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consent to corporate action in writing without a meeting, the board of directors may fix a record date, which record date shall not precede the date on which the resolution fixing the record date is adopted by the board of directors, and which date shall not be more than 10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the certificate of incorporation of the corporation or by statute,</w:t>
      </w:r>
    </w:p>
    <w:p>
      <w:pPr>
        <w:sectPr>
          <w:pgSz w:w="11900" w:h="16838" w:orient="portrait"/>
          <w:cols w:equalWidth="0" w:num="1">
            <w:col w:w="11000"/>
          </w:cols>
          <w:pgMar w:left="440" w:top="274" w:right="459" w:bottom="1440" w:gutter="0" w:footer="0" w:header="0"/>
        </w:sectPr>
      </w:pPr>
    </w:p>
    <w:bookmarkStart w:id="247" w:name="page248"/>
    <w:bookmarkEnd w:id="247"/>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the first date on which a signed written consent setting forth the action taken or proposed to be taken is delivered in the manner required by law to the corporation at its registered office in the State of Delaware or at its principal place of business or to an officer or agent of the corporation having custody of the book in which proceedings of meetings of the corporation’s stockholders are recorded. If no record date has been fixed by the board of directors and prior action by the board of directors is required by the certificate of incorporation or by statute, the record date for determining stockholders entitled to consent to corporate action in writing without a meeting shall be at the close of business on the day on which the board of directors adopts the resolution taking such prior action.</w:t>
      </w:r>
    </w:p>
    <w:p>
      <w:pPr>
        <w:spacing w:after="0" w:line="192" w:lineRule="exact"/>
        <w:rPr>
          <w:sz w:val="20"/>
          <w:szCs w:val="20"/>
          <w:color w:val="auto"/>
        </w:rPr>
      </w:pPr>
    </w:p>
    <w:p>
      <w:pPr>
        <w:ind w:right="20" w:firstLine="987"/>
        <w:spacing w:after="0" w:line="255" w:lineRule="auto"/>
        <w:tabs>
          <w:tab w:leader="none" w:pos="123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92" w:lineRule="exact"/>
        <w:rPr>
          <w:rFonts w:ascii="Arial" w:cs="Arial" w:eastAsia="Arial" w:hAnsi="Arial"/>
          <w:sz w:val="18"/>
          <w:szCs w:val="18"/>
          <w:color w:val="auto"/>
        </w:rPr>
      </w:pPr>
    </w:p>
    <w:p>
      <w:pPr>
        <w:ind w:right="120" w:firstLine="987"/>
        <w:spacing w:after="0" w:line="259" w:lineRule="auto"/>
        <w:tabs>
          <w:tab w:leader="none" w:pos="124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Only those who shall be stockholders of record on the record date so fixed as aforesaid shall be entitled to such notice of, and to vote at, such meeting and any adjournment thereof, or to consent to such corporate action in writing, or to receive payment of such dividend or other distribution, or to receive such allotment of rights, or to exercise such rights, as the case may be, notwithstanding the transfer of any stock on the books of the corporation after the applicable record date.</w:t>
      </w:r>
    </w:p>
    <w:p>
      <w:pPr>
        <w:spacing w:after="0" w:line="182" w:lineRule="exact"/>
        <w:rPr>
          <w:rFonts w:ascii="Arial" w:cs="Arial" w:eastAsia="Arial" w:hAnsi="Arial"/>
          <w:sz w:val="18"/>
          <w:szCs w:val="18"/>
          <w:color w:val="auto"/>
        </w:rPr>
      </w:pPr>
    </w:p>
    <w:p>
      <w:pPr>
        <w:ind w:firstLine="436"/>
        <w:spacing w:after="0" w:line="255" w:lineRule="auto"/>
        <w:tabs>
          <w:tab w:leader="none" w:pos="57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8 </w:t>
      </w:r>
      <w:r>
        <w:rPr>
          <w:rFonts w:ascii="Arial" w:cs="Arial" w:eastAsia="Arial" w:hAnsi="Arial"/>
          <w:sz w:val="18"/>
          <w:szCs w:val="18"/>
          <w:b w:val="1"/>
          <w:bCs w:val="1"/>
          <w:u w:val="single" w:color="auto"/>
          <w:color w:val="auto"/>
        </w:rPr>
        <w:t>Lists Of Stockholders</w:t>
      </w:r>
      <w:r>
        <w:rPr>
          <w:rFonts w:ascii="Arial" w:cs="Arial" w:eastAsia="Arial" w:hAnsi="Arial"/>
          <w:sz w:val="18"/>
          <w:szCs w:val="18"/>
          <w:u w:val="single" w:color="auto"/>
          <w:color w:val="auto"/>
        </w:rPr>
        <w:t>.</w:t>
      </w:r>
      <w:r>
        <w:rPr>
          <w:rFonts w:ascii="Arial" w:cs="Arial" w:eastAsia="Arial" w:hAnsi="Arial"/>
          <w:sz w:val="18"/>
          <w:szCs w:val="18"/>
          <w:color w:val="auto"/>
        </w:rPr>
        <w:t xml:space="preserve"> The officer who has charge of the stock ledger of the corporation shall prepare and make, at least 10 days before each meeting of stockholders, a complete list of the stockholders entitled to vote thereat, arranged in alphabetical order, and showing the address of and the number of shares registered in the name of each stockholder. Such list shall be open to the examination of any stockholder, for any purpose germane to the meeting, during ordinary business hours, for a period of at least 10 days prior to the meeting, either at a place within the municipality where the meeting is to be held, which place shall be specified in the notice of the meeting, or, if not so specified, at the place where said meeting is to be held, and the list shall be produced and kept at the time and place of meeting during the whole time thereof, for inspection by any stockholder who may be present.</w:t>
      </w:r>
    </w:p>
    <w:p>
      <w:pPr>
        <w:spacing w:after="0" w:line="188" w:lineRule="exact"/>
        <w:rPr>
          <w:rFonts w:ascii="Arial" w:cs="Arial" w:eastAsia="Arial" w:hAnsi="Arial"/>
          <w:sz w:val="18"/>
          <w:szCs w:val="18"/>
          <w:color w:val="auto"/>
        </w:rPr>
      </w:pPr>
    </w:p>
    <w:p>
      <w:pPr>
        <w:ind w:right="60" w:firstLine="436"/>
        <w:spacing w:after="0" w:line="274" w:lineRule="auto"/>
        <w:tabs>
          <w:tab w:leader="none" w:pos="57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9 </w:t>
      </w:r>
      <w:r>
        <w:rPr>
          <w:rFonts w:ascii="Arial" w:cs="Arial" w:eastAsia="Arial" w:hAnsi="Arial"/>
          <w:sz w:val="17"/>
          <w:szCs w:val="17"/>
          <w:b w:val="1"/>
          <w:bCs w:val="1"/>
          <w:u w:val="single" w:color="auto"/>
          <w:color w:val="auto"/>
        </w:rPr>
        <w:t>Quorum and Vote Required For Action.</w:t>
      </w:r>
      <w:r>
        <w:rPr>
          <w:rFonts w:ascii="Arial" w:cs="Arial" w:eastAsia="Arial" w:hAnsi="Arial"/>
          <w:sz w:val="17"/>
          <w:szCs w:val="17"/>
          <w:color w:val="auto"/>
        </w:rPr>
        <w:t xml:space="preserve"> Except as may otherwise be provided in the certificate of incorporation of the corporation, the holders of stock of the corporation having a majority of the total votes which all of the outstanding stock of the corporation would be entitled to cast at the meeting, when present in person or by proxy, shall constitute a quorum at any meeting of the stockholders; provided, however, that where a separate vote by a class or classes of stock is required, the holders of stock of such class or classes having a majority of the total votes which all of the outstanding stock of such class or classes would be entitled to cast at the meeting, when present in person or by proxy, shall constitute a quorum entitled to take action with respect to the vote on the matter. Unless a different number of votes is required by statute</w:t>
      </w:r>
    </w:p>
    <w:p>
      <w:pPr>
        <w:sectPr>
          <w:pgSz w:w="11900" w:h="16838" w:orient="portrait"/>
          <w:cols w:equalWidth="0" w:num="1">
            <w:col w:w="11000"/>
          </w:cols>
          <w:pgMar w:left="440" w:top="274" w:right="459" w:bottom="1440" w:gutter="0" w:footer="0" w:header="0"/>
        </w:sectPr>
      </w:pPr>
    </w:p>
    <w:bookmarkStart w:id="248" w:name="page249"/>
    <w:bookmarkEnd w:id="248"/>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the certificate of incorporation of the corporation, (a) if a quorum is present with respect to the election of directors, directors shall be elected by a plurality of the votes cast by those stockholders present in person or represented by proxy at the meeting and entitled to vote on the election of directors, and (b) in all matters other than the election of directors, if a quorum is present at any meeting of the stockholders, a majority of the votes entitled to be cast by those stockholders present in person or by proxy shall be the act of the stockholders except where a separate vote by class or classes of stock is required, in which case, if a quorum of such class or classes is present, a majority of the votes entitled to be cast by those stockholders of such class or classes present in person or by proxy shall be the act of the stockholders of such class or classes. If a quorum is not present at any meeting of stockholders, then holders of stock of the corporation who are present in person or by proxy representing a majority of the votes cast may adjourn the meeting from time to time without further notice and, where a separate vote by a class or classes of stock is required on any matter, then holders of stock of such class or classes who are present in person or by proxy representing a majority of the votes of such class or classes cast may adjourn the meeting with respect to the vote on that matter from time to time without further notice. At any adjourned meeting at which a quorum is present, any business may be transacted which might have been transacted at the original meeting. Withdrawal of stockholders from any meeting shall not cause failure of a duly constituted quorum at that meeting.</w:t>
      </w:r>
    </w:p>
    <w:p>
      <w:pPr>
        <w:spacing w:after="0" w:line="175" w:lineRule="exact"/>
        <w:rPr>
          <w:sz w:val="20"/>
          <w:szCs w:val="20"/>
          <w:color w:val="auto"/>
        </w:rPr>
      </w:pPr>
    </w:p>
    <w:p>
      <w:pPr>
        <w:ind w:right="220" w:firstLine="436"/>
        <w:spacing w:after="0" w:line="261" w:lineRule="auto"/>
        <w:tabs>
          <w:tab w:leader="none" w:pos="57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b w:val="1"/>
          <w:bCs w:val="1"/>
          <w:u w:val="single" w:color="auto"/>
          <w:color w:val="auto"/>
        </w:rPr>
        <w:t>Proxies</w:t>
      </w:r>
      <w:r>
        <w:rPr>
          <w:rFonts w:ascii="Arial" w:cs="Arial" w:eastAsia="Arial" w:hAnsi="Arial"/>
          <w:sz w:val="18"/>
          <w:szCs w:val="18"/>
          <w:u w:val="single" w:color="auto"/>
          <w:color w:val="auto"/>
        </w:rPr>
        <w:t>.</w:t>
      </w:r>
      <w:r>
        <w:rPr>
          <w:rFonts w:ascii="Arial" w:cs="Arial" w:eastAsia="Arial" w:hAnsi="Arial"/>
          <w:sz w:val="18"/>
          <w:szCs w:val="18"/>
          <w:color w:val="auto"/>
        </w:rPr>
        <w:t xml:space="preserve"> Each stockholder entitled to vote at a meeting of the stockholders or to express consent to corporate action in writing without a meeting may authorize another person or persons to act for him by proxy, but no proxy shall be valid after three years from its date unless otherwise provided in the proxy. Such proxy shall be in writing and shall be filed with the secretary of the corporation before or at the time of the meeting or the giving of such written consent, as the case may be.</w:t>
      </w:r>
    </w:p>
    <w:p>
      <w:pPr>
        <w:spacing w:after="0" w:line="179" w:lineRule="exact"/>
        <w:rPr>
          <w:rFonts w:ascii="Arial" w:cs="Arial" w:eastAsia="Arial" w:hAnsi="Arial"/>
          <w:sz w:val="18"/>
          <w:szCs w:val="18"/>
          <w:color w:val="auto"/>
        </w:rPr>
      </w:pPr>
    </w:p>
    <w:p>
      <w:pPr>
        <w:ind w:right="80" w:firstLine="436"/>
        <w:spacing w:after="0" w:line="266" w:lineRule="auto"/>
        <w:tabs>
          <w:tab w:leader="none" w:pos="57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Voting of Shares</w:t>
      </w:r>
      <w:r>
        <w:rPr>
          <w:rFonts w:ascii="Arial" w:cs="Arial" w:eastAsia="Arial" w:hAnsi="Arial"/>
          <w:sz w:val="18"/>
          <w:szCs w:val="18"/>
          <w:u w:val="single" w:color="auto"/>
          <w:color w:val="auto"/>
        </w:rPr>
        <w:t>.</w:t>
      </w:r>
      <w:r>
        <w:rPr>
          <w:rFonts w:ascii="Arial" w:cs="Arial" w:eastAsia="Arial" w:hAnsi="Arial"/>
          <w:sz w:val="18"/>
          <w:szCs w:val="18"/>
          <w:color w:val="auto"/>
        </w:rPr>
        <w:t xml:space="preserve"> Each stockholder of the corporation shall be entitled to such vote (in person or by proxy) for each share of stock having voting power held of record by such stockholder as shall be provided in the certificate of incorporation of the corporation or, absent provision therein fixing or denying voting rights, shall be entitled to one vote per share.</w:t>
      </w:r>
    </w:p>
    <w:p>
      <w:pPr>
        <w:spacing w:after="0" w:line="175" w:lineRule="exact"/>
        <w:rPr>
          <w:rFonts w:ascii="Arial" w:cs="Arial" w:eastAsia="Arial" w:hAnsi="Arial"/>
          <w:sz w:val="18"/>
          <w:szCs w:val="18"/>
          <w:color w:val="auto"/>
        </w:rPr>
      </w:pPr>
    </w:p>
    <w:p>
      <w:pPr>
        <w:ind w:right="60" w:firstLine="436"/>
        <w:spacing w:after="0" w:line="312" w:lineRule="auto"/>
        <w:tabs>
          <w:tab w:leader="none" w:pos="57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12 </w:t>
      </w:r>
      <w:r>
        <w:rPr>
          <w:rFonts w:ascii="Arial" w:cs="Arial" w:eastAsia="Arial" w:hAnsi="Arial"/>
          <w:sz w:val="17"/>
          <w:szCs w:val="17"/>
          <w:b w:val="1"/>
          <w:bCs w:val="1"/>
          <w:u w:val="single" w:color="auto"/>
          <w:color w:val="auto"/>
        </w:rPr>
        <w:t>Voting By Ballot.</w:t>
      </w:r>
      <w:r>
        <w:rPr>
          <w:rFonts w:ascii="Arial" w:cs="Arial" w:eastAsia="Arial" w:hAnsi="Arial"/>
          <w:sz w:val="17"/>
          <w:szCs w:val="17"/>
          <w:color w:val="auto"/>
        </w:rPr>
        <w:t xml:space="preserve"> Any question or any election at a meeting of the stockholders may be decided by voice vote unless the presiding officer shall order that voting be by ballot or unless otherwise provided in the certificate of incorporation of the corporation or required by statute.</w:t>
      </w:r>
    </w:p>
    <w:p>
      <w:pPr>
        <w:spacing w:after="0" w:line="139" w:lineRule="exact"/>
        <w:rPr>
          <w:rFonts w:ascii="Arial" w:cs="Arial" w:eastAsia="Arial" w:hAnsi="Arial"/>
          <w:sz w:val="17"/>
          <w:szCs w:val="17"/>
          <w:color w:val="auto"/>
        </w:rPr>
      </w:pPr>
    </w:p>
    <w:p>
      <w:pPr>
        <w:ind w:firstLine="436"/>
        <w:spacing w:after="0" w:line="255" w:lineRule="auto"/>
        <w:tabs>
          <w:tab w:leader="none" w:pos="57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13 </w:t>
      </w:r>
      <w:r>
        <w:rPr>
          <w:rFonts w:ascii="Arial" w:cs="Arial" w:eastAsia="Arial" w:hAnsi="Arial"/>
          <w:sz w:val="18"/>
          <w:szCs w:val="18"/>
          <w:b w:val="1"/>
          <w:bCs w:val="1"/>
          <w:u w:val="single" w:color="auto"/>
          <w:color w:val="auto"/>
        </w:rPr>
        <w:t>Inspectors.</w:t>
      </w:r>
      <w:r>
        <w:rPr>
          <w:rFonts w:ascii="Arial" w:cs="Arial" w:eastAsia="Arial" w:hAnsi="Arial"/>
          <w:sz w:val="18"/>
          <w:szCs w:val="18"/>
          <w:color w:val="auto"/>
        </w:rPr>
        <w:t xml:space="preserve"> At any meeting of the stockholders the presiding officer may, or upon the request of any stockholder shall, appoint one or more persons as inspectors for such meeting. Such inspectors shall ascertain and report the number of shares represented at the meeting, based upon their determination of the validity and effect of proxies; count all votes and report the results; and do such other acts as are proper to conduct the election and voting with impartiality and fairness to all the stockholders. Each report of an inspector shall be in writing and signed by him or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ectPr>
          <w:pgSz w:w="11900" w:h="16838" w:orient="portrait"/>
          <w:cols w:equalWidth="0" w:num="1">
            <w:col w:w="11000"/>
          </w:cols>
          <w:pgMar w:left="440" w:top="274" w:right="459" w:bottom="1440" w:gutter="0" w:footer="0" w:header="0"/>
        </w:sectPr>
      </w:pPr>
    </w:p>
    <w:bookmarkStart w:id="249" w:name="page250"/>
    <w:bookmarkEnd w:id="249"/>
    <w:p>
      <w:pPr>
        <w:ind w:left="-20" w:firstLine="436"/>
        <w:spacing w:after="0" w:line="269" w:lineRule="auto"/>
        <w:tabs>
          <w:tab w:leader="none" w:pos="555" w:val="left"/>
        </w:tabs>
        <w:numPr>
          <w:ilvl w:val="0"/>
          <w:numId w:val="1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 </w:t>
      </w:r>
      <w:r>
        <w:rPr>
          <w:rFonts w:ascii="Arial" w:cs="Arial" w:eastAsia="Arial" w:hAnsi="Arial"/>
          <w:sz w:val="17"/>
          <w:szCs w:val="17"/>
          <w:b w:val="1"/>
          <w:bCs w:val="1"/>
          <w:u w:val="single" w:color="auto"/>
          <w:color w:val="auto"/>
        </w:rPr>
        <w:t>Informal Action.</w:t>
      </w:r>
      <w:r>
        <w:rPr>
          <w:rFonts w:ascii="Arial" w:cs="Arial" w:eastAsia="Arial" w:hAnsi="Arial"/>
          <w:sz w:val="17"/>
          <w:szCs w:val="17"/>
          <w:color w:val="auto"/>
        </w:rPr>
        <w:t xml:space="preserve"> Any corporate action upon which a vote of stockholders is required or permitted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in the manner required by law at its registered office within the State of Delaware or at its principal place of business or to an officer or agent of the corporation having custody of the book in which proceedings of meetings of stockholders of the corporation are recorded. Every written consent shall bear the date of signature of each stockholder who signs the consent and no written consent shall be effective to take the corporate action referred to therein unless, within 60 days of the earliest dated consent delivered, as aforesaid, written consents signed by a sufficient number of holders to take action are delivered to the corporation in the manner required by law at its registered office within the State of Delaware or at its principal place of business or to an officer or agent of the corporation having or at its principal place of business or to an officer or agent of the corporation having custody of the book in which proceedings of meetings of stockholders of the corporation are recorded. Prompt notice of the taking of the corporate action without a meeting by less than unanimous written consent shall be given to those stockholders who have not so consented in writing.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w:t>
      </w:r>
    </w:p>
    <w:p>
      <w:pPr>
        <w:spacing w:after="0" w:line="225" w:lineRule="exact"/>
        <w:rPr>
          <w:sz w:val="20"/>
          <w:szCs w:val="20"/>
          <w:color w:val="auto"/>
        </w:rPr>
      </w:pPr>
    </w:p>
    <w:p>
      <w:pPr>
        <w:ind w:left="-20" w:right="280" w:firstLine="436"/>
        <w:spacing w:after="0" w:line="266" w:lineRule="auto"/>
        <w:tabs>
          <w:tab w:leader="none" w:pos="5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Powers.</w:t>
      </w:r>
      <w:r>
        <w:rPr>
          <w:rFonts w:ascii="Arial" w:cs="Arial" w:eastAsia="Arial" w:hAnsi="Arial"/>
          <w:sz w:val="18"/>
          <w:szCs w:val="18"/>
          <w:color w:val="auto"/>
        </w:rPr>
        <w:t xml:space="preserve"> The business and affairs of the corporation shall be managed under the direction of its board of directors which may do all such lawful acts and things as are not by statute or by the certificate of incorporation of the corporation or by these by-laws directed or required to be exercised or done by the stockholders.</w:t>
      </w:r>
    </w:p>
    <w:p>
      <w:pPr>
        <w:spacing w:after="0" w:line="175" w:lineRule="exact"/>
        <w:rPr>
          <w:rFonts w:ascii="Arial" w:cs="Arial" w:eastAsia="Arial" w:hAnsi="Arial"/>
          <w:sz w:val="18"/>
          <w:szCs w:val="18"/>
          <w:color w:val="auto"/>
        </w:rPr>
      </w:pPr>
    </w:p>
    <w:p>
      <w:pPr>
        <w:ind w:left="-20" w:right="60" w:firstLine="436"/>
        <w:spacing w:after="0" w:line="261" w:lineRule="auto"/>
        <w:tabs>
          <w:tab w:leader="none" w:pos="5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b w:val="1"/>
          <w:bCs w:val="1"/>
          <w:u w:val="single" w:color="auto"/>
          <w:color w:val="auto"/>
        </w:rPr>
        <w:t>Number, Election Term of Office and Qualifications.</w:t>
      </w:r>
      <w:r>
        <w:rPr>
          <w:rFonts w:ascii="Arial" w:cs="Arial" w:eastAsia="Arial" w:hAnsi="Arial"/>
          <w:sz w:val="18"/>
          <w:szCs w:val="18"/>
          <w:color w:val="auto"/>
        </w:rPr>
        <w:t xml:space="preserve"> The number of directors which shall constitute the whole board shall be that number determined by the board from time to time. The directors shall be elected at the annual meeting of the stockholders, except as provided in § 3.3, and each director elected shall hold office until his or her successor is elected and qualified or until his or her earlier death, resignation or removal in a manner permitted by statute or these by-laws. Directors need not be stockholders.</w:t>
      </w:r>
    </w:p>
    <w:p>
      <w:pPr>
        <w:spacing w:after="0" w:line="179" w:lineRule="exact"/>
        <w:rPr>
          <w:rFonts w:ascii="Arial" w:cs="Arial" w:eastAsia="Arial" w:hAnsi="Arial"/>
          <w:sz w:val="18"/>
          <w:szCs w:val="18"/>
          <w:color w:val="auto"/>
        </w:rPr>
      </w:pPr>
    </w:p>
    <w:p>
      <w:pPr>
        <w:jc w:val="both"/>
        <w:ind w:left="-20" w:right="220" w:firstLine="436"/>
        <w:spacing w:after="0" w:line="261" w:lineRule="auto"/>
        <w:tabs>
          <w:tab w:leader="none" w:pos="5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3 </w:t>
      </w:r>
      <w:r>
        <w:rPr>
          <w:rFonts w:ascii="Arial" w:cs="Arial" w:eastAsia="Arial" w:hAnsi="Arial"/>
          <w:sz w:val="18"/>
          <w:szCs w:val="18"/>
          <w:b w:val="1"/>
          <w:bCs w:val="1"/>
          <w:u w:val="single" w:color="auto"/>
          <w:color w:val="auto"/>
        </w:rPr>
        <w:t>Vacancies.</w:t>
      </w:r>
      <w:r>
        <w:rPr>
          <w:rFonts w:ascii="Arial" w:cs="Arial" w:eastAsia="Arial" w:hAnsi="Arial"/>
          <w:sz w:val="18"/>
          <w:szCs w:val="18"/>
          <w:color w:val="auto"/>
        </w:rPr>
        <w:t xml:space="preserve"> Vacancies occurring in the board of directors and newly-created directorships resulting from any increase in the authorized number of directors may be filled by a majority of the directors then in office, although less than a quorum, or by a sole remaining director, and any director so chosen shall hold office until the next annual election of directors and until his or her successor is duly elected and qualified or until his or her earlier death, resignation or removal in a manner permitted by statute or these by-laws.</w:t>
      </w:r>
    </w:p>
    <w:p>
      <w:pPr>
        <w:spacing w:after="0" w:line="179" w:lineRule="exact"/>
        <w:rPr>
          <w:rFonts w:ascii="Arial" w:cs="Arial" w:eastAsia="Arial" w:hAnsi="Arial"/>
          <w:sz w:val="18"/>
          <w:szCs w:val="18"/>
          <w:color w:val="auto"/>
        </w:rPr>
      </w:pPr>
    </w:p>
    <w:p>
      <w:pPr>
        <w:ind w:left="-20" w:right="160" w:firstLine="436"/>
        <w:spacing w:after="0" w:line="282" w:lineRule="auto"/>
        <w:tabs>
          <w:tab w:leader="none" w:pos="5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4 </w:t>
      </w:r>
      <w:r>
        <w:rPr>
          <w:rFonts w:ascii="Arial" w:cs="Arial" w:eastAsia="Arial" w:hAnsi="Arial"/>
          <w:sz w:val="18"/>
          <w:szCs w:val="18"/>
          <w:b w:val="1"/>
          <w:bCs w:val="1"/>
          <w:u w:val="single" w:color="auto"/>
          <w:color w:val="auto"/>
        </w:rPr>
        <w:t>Regular Meetings.</w:t>
      </w:r>
      <w:r>
        <w:rPr>
          <w:rFonts w:ascii="Arial" w:cs="Arial" w:eastAsia="Arial" w:hAnsi="Arial"/>
          <w:sz w:val="18"/>
          <w:szCs w:val="18"/>
          <w:color w:val="auto"/>
        </w:rPr>
        <w:t xml:space="preserve"> A regular meeting of the board of directors shall be held immediately following the close of, and at the same place as, each annual meeting of</w:t>
      </w:r>
    </w:p>
    <w:p>
      <w:pPr>
        <w:sectPr>
          <w:pgSz w:w="11900" w:h="16838" w:orient="portrait"/>
          <w:cols w:equalWidth="0" w:num="1">
            <w:col w:w="10960"/>
          </w:cols>
          <w:pgMar w:left="460" w:top="270" w:right="479" w:bottom="1440" w:gutter="0" w:footer="0" w:header="0"/>
        </w:sectPr>
      </w:pPr>
    </w:p>
    <w:bookmarkStart w:id="250" w:name="page251"/>
    <w:bookmarkEnd w:id="250"/>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stockholders. No notice of any such meeting, other than this by-law, shall be necessary in order legally to constitute the meeting, provided a quorum shall be present. In the event such meeting is not held at such time and place the meeting may be held at such time and place as shall be specified in a notice given as hereinafter provided for special meetings of the board of directors or as shall be specified in a written waiver signed by all of the directors. The board of directors may provide, by resolution, the time and place for the holding of additional regular meetings without notice other than such resolution.</w:t>
      </w:r>
    </w:p>
    <w:p>
      <w:pPr>
        <w:spacing w:after="0" w:line="184" w:lineRule="exact"/>
        <w:rPr>
          <w:sz w:val="20"/>
          <w:szCs w:val="20"/>
          <w:color w:val="auto"/>
        </w:rPr>
      </w:pPr>
    </w:p>
    <w:p>
      <w:pPr>
        <w:ind w:right="240" w:firstLine="436"/>
        <w:spacing w:after="0" w:line="266" w:lineRule="auto"/>
        <w:tabs>
          <w:tab w:leader="none" w:pos="57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5 </w:t>
      </w:r>
      <w:r>
        <w:rPr>
          <w:rFonts w:ascii="Arial" w:cs="Arial" w:eastAsia="Arial" w:hAnsi="Arial"/>
          <w:sz w:val="18"/>
          <w:szCs w:val="18"/>
          <w:b w:val="1"/>
          <w:bCs w:val="1"/>
          <w:u w:val="single" w:color="auto"/>
          <w:color w:val="auto"/>
        </w:rPr>
        <w:t>Special Meetings.</w:t>
      </w:r>
      <w:r>
        <w:rPr>
          <w:rFonts w:ascii="Arial" w:cs="Arial" w:eastAsia="Arial" w:hAnsi="Arial"/>
          <w:sz w:val="18"/>
          <w:szCs w:val="18"/>
          <w:color w:val="auto"/>
        </w:rPr>
        <w:t xml:space="preserve"> Special meetings of the board may be called by the president or any two directors. The person or persons calling a special meeting of the board shall fix the time and place at which the meeting shall be held and such time and place shall be specified in the notice of such meeting,</w:t>
      </w:r>
    </w:p>
    <w:p>
      <w:pPr>
        <w:spacing w:after="0" w:line="175" w:lineRule="exact"/>
        <w:rPr>
          <w:rFonts w:ascii="Arial" w:cs="Arial" w:eastAsia="Arial" w:hAnsi="Arial"/>
          <w:sz w:val="18"/>
          <w:szCs w:val="18"/>
          <w:color w:val="auto"/>
        </w:rPr>
      </w:pPr>
    </w:p>
    <w:p>
      <w:pPr>
        <w:ind w:firstLine="436"/>
        <w:spacing w:after="0" w:line="291" w:lineRule="auto"/>
        <w:tabs>
          <w:tab w:leader="none" w:pos="57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6 </w:t>
      </w: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xml:space="preserve"> Notice of any special meeting of the board of directors shall be given at least 2 days previous thereto by written notice to each director at his or her business address or such other address as he or she may have advised the secretary of the corporation to use for such purpose. If delivered, such notice shall be deemed to be given when delivered to such address or to the person to be notified. If mailed, such notice shall be deemed to be given two business days after deposit in the United States mail so addressed, with postage thereon prepaid. If given by telegraph, such notice shall be deemed to be given the next business day following the day the telegram is given to the telegraph company. Such notice may also be given by telephone or other means not specified herein, and in each such case shall be deemed to be given when actually received by the director to be notified. Notice of any meeting of the board of directors shall set forth the time and place of the meeting. Neither the business to be transacted at, nor the purpose of, any meeting of the board of directors (regular or special) need be specified in the notice or waiver of notice of such meeting.</w:t>
      </w:r>
    </w:p>
    <w:p>
      <w:pPr>
        <w:spacing w:after="0" w:line="159" w:lineRule="exact"/>
        <w:rPr>
          <w:rFonts w:ascii="Arial" w:cs="Arial" w:eastAsia="Arial" w:hAnsi="Arial"/>
          <w:sz w:val="16"/>
          <w:szCs w:val="16"/>
          <w:color w:val="auto"/>
        </w:rPr>
      </w:pPr>
    </w:p>
    <w:p>
      <w:pPr>
        <w:ind w:left="580" w:hanging="144"/>
        <w:spacing w:after="0"/>
        <w:tabs>
          <w:tab w:leader="none" w:pos="5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7   </w:t>
      </w:r>
      <w:r>
        <w:rPr>
          <w:rFonts w:ascii="Arial" w:cs="Arial" w:eastAsia="Arial" w:hAnsi="Arial"/>
          <w:sz w:val="18"/>
          <w:szCs w:val="18"/>
          <w:b w:val="1"/>
          <w:bCs w:val="1"/>
          <w:u w:val="single" w:color="auto"/>
          <w:color w:val="auto"/>
        </w:rPr>
        <w:t>Waiver Of Notice.</w:t>
      </w:r>
      <w:r>
        <w:rPr>
          <w:rFonts w:ascii="Arial" w:cs="Arial" w:eastAsia="Arial" w:hAnsi="Arial"/>
          <w:sz w:val="18"/>
          <w:szCs w:val="18"/>
          <w:color w:val="auto"/>
        </w:rPr>
        <w:t xml:space="preserve"> A written waiver of notice, signed by a director entitled to notice of a meeting of the board of directors or of a</w:t>
      </w:r>
    </w:p>
    <w:p>
      <w:pPr>
        <w:spacing w:after="0" w:line="27" w:lineRule="exact"/>
        <w:rPr>
          <w:rFonts w:ascii="Arial" w:cs="Arial" w:eastAsia="Arial" w:hAnsi="Arial"/>
          <w:sz w:val="18"/>
          <w:szCs w:val="18"/>
          <w:color w:val="auto"/>
        </w:rPr>
      </w:pPr>
    </w:p>
    <w:p>
      <w:pPr>
        <w:ind w:right="140"/>
        <w:spacing w:after="0" w:line="273" w:lineRule="auto"/>
        <w:rPr>
          <w:rFonts w:ascii="Arial" w:cs="Arial" w:eastAsia="Arial" w:hAnsi="Arial"/>
          <w:sz w:val="18"/>
          <w:szCs w:val="18"/>
          <w:color w:val="auto"/>
        </w:rPr>
      </w:pPr>
      <w:r>
        <w:rPr>
          <w:rFonts w:ascii="Arial" w:cs="Arial" w:eastAsia="Arial" w:hAnsi="Arial"/>
          <w:sz w:val="17"/>
          <w:szCs w:val="17"/>
          <w:color w:val="auto"/>
        </w:rPr>
        <w:t>committee of such board of which the director is a member, whether before or after the time stated therein, shall be deemed equivalent to the giving of such notice to that director. Attendance of a director at a meeting of the board of directors or of a committee of such board of which the director is a member shall constitute a waiver of notice of such meeting except when the director attends the meeting for the express purpose of objecting, at the beginning of the meeting, to the transaction of any business because the meeting is not lawfully called or convened.</w:t>
      </w:r>
    </w:p>
    <w:p>
      <w:pPr>
        <w:spacing w:after="0" w:line="172" w:lineRule="exact"/>
        <w:rPr>
          <w:rFonts w:ascii="Arial" w:cs="Arial" w:eastAsia="Arial" w:hAnsi="Arial"/>
          <w:sz w:val="18"/>
          <w:szCs w:val="18"/>
          <w:color w:val="auto"/>
        </w:rPr>
      </w:pPr>
    </w:p>
    <w:p>
      <w:pPr>
        <w:ind w:left="580" w:hanging="144"/>
        <w:spacing w:after="0"/>
        <w:tabs>
          <w:tab w:leader="none" w:pos="5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8   </w:t>
      </w:r>
      <w:r>
        <w:rPr>
          <w:rFonts w:ascii="Arial" w:cs="Arial" w:eastAsia="Arial" w:hAnsi="Arial"/>
          <w:sz w:val="17"/>
          <w:szCs w:val="17"/>
          <w:b w:val="1"/>
          <w:bCs w:val="1"/>
          <w:u w:val="single" w:color="auto"/>
          <w:color w:val="auto"/>
        </w:rPr>
        <w:t>Quorum and Vote Required For Action.</w:t>
      </w:r>
      <w:r>
        <w:rPr>
          <w:rFonts w:ascii="Arial" w:cs="Arial" w:eastAsia="Arial" w:hAnsi="Arial"/>
          <w:sz w:val="17"/>
          <w:szCs w:val="17"/>
          <w:color w:val="auto"/>
        </w:rPr>
        <w:t xml:space="preserve"> At all meetings of the board of directors, a majority of the number of directors fixed by these</w:t>
      </w:r>
    </w:p>
    <w:p>
      <w:pPr>
        <w:spacing w:after="0" w:line="39"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by-laws shall constitute a quorum for the transaction of business and the act of a majority of the directors present at any meeting at which there is a quorum shall be the act of the board of directors except as may be otherwise specifically provided by statute, the certificate of incorporation of the corporation or these by-laws. If a quorum shall not be present at any meeting of the board of directors, a majority of the directors present thereat may adjourn the meeting from time to time, without notice other than announcement at the meeting, until a quorum shall be present.</w:t>
      </w:r>
    </w:p>
    <w:p>
      <w:pPr>
        <w:spacing w:after="0" w:line="157" w:lineRule="exact"/>
        <w:rPr>
          <w:sz w:val="20"/>
          <w:szCs w:val="20"/>
          <w:color w:val="auto"/>
        </w:rPr>
      </w:pPr>
    </w:p>
    <w:p>
      <w:pPr>
        <w:ind w:right="100" w:firstLine="436"/>
        <w:spacing w:after="0" w:line="282" w:lineRule="auto"/>
        <w:tabs>
          <w:tab w:leader="none" w:pos="57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9 </w:t>
      </w:r>
      <w:r>
        <w:rPr>
          <w:rFonts w:ascii="Arial" w:cs="Arial" w:eastAsia="Arial" w:hAnsi="Arial"/>
          <w:sz w:val="18"/>
          <w:szCs w:val="18"/>
          <w:b w:val="1"/>
          <w:bCs w:val="1"/>
          <w:u w:val="single" w:color="auto"/>
          <w:color w:val="auto"/>
        </w:rPr>
        <w:t>Attendance By Conference Telephone.</w:t>
      </w:r>
      <w:r>
        <w:rPr>
          <w:rFonts w:ascii="Arial" w:cs="Arial" w:eastAsia="Arial" w:hAnsi="Arial"/>
          <w:sz w:val="18"/>
          <w:szCs w:val="18"/>
          <w:color w:val="auto"/>
        </w:rPr>
        <w:t xml:space="preserve"> Members of the board of directors or any committee designated by the board may participate in a meeting of such board or committee by</w:t>
      </w:r>
    </w:p>
    <w:p>
      <w:pPr>
        <w:sectPr>
          <w:pgSz w:w="11900" w:h="16838" w:orient="portrait"/>
          <w:cols w:equalWidth="0" w:num="1">
            <w:col w:w="10960"/>
          </w:cols>
          <w:pgMar w:left="440" w:top="274" w:right="499" w:bottom="1440" w:gutter="0" w:footer="0" w:header="0"/>
        </w:sectPr>
      </w:pPr>
    </w:p>
    <w:bookmarkStart w:id="251" w:name="page252"/>
    <w:bookmarkEnd w:id="251"/>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means of conference telephone or similar communications equipment by means of which all persons participating in the meeting can hear each other, and such participation in a meeting shall constitute presence in person at such a meeting.</w:t>
      </w:r>
    </w:p>
    <w:p>
      <w:pPr>
        <w:spacing w:after="0" w:line="166" w:lineRule="exact"/>
        <w:rPr>
          <w:sz w:val="20"/>
          <w:szCs w:val="20"/>
          <w:color w:val="auto"/>
        </w:rPr>
      </w:pPr>
    </w:p>
    <w:p>
      <w:pPr>
        <w:ind w:right="20" w:firstLine="436"/>
        <w:spacing w:after="0" w:line="277" w:lineRule="auto"/>
        <w:tabs>
          <w:tab w:leader="none" w:pos="57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10 </w:t>
      </w:r>
      <w:r>
        <w:rPr>
          <w:rFonts w:ascii="Arial" w:cs="Arial" w:eastAsia="Arial" w:hAnsi="Arial"/>
          <w:sz w:val="17"/>
          <w:szCs w:val="17"/>
          <w:b w:val="1"/>
          <w:bCs w:val="1"/>
          <w:u w:val="single" w:color="auto"/>
          <w:color w:val="auto"/>
        </w:rPr>
        <w:t>Presumption Of Assent.</w:t>
      </w:r>
      <w:r>
        <w:rPr>
          <w:rFonts w:ascii="Arial" w:cs="Arial" w:eastAsia="Arial" w:hAnsi="Arial"/>
          <w:sz w:val="17"/>
          <w:szCs w:val="17"/>
          <w:color w:val="auto"/>
        </w:rPr>
        <w:t xml:space="preserve"> A director of the corporation who is present at a duly convened meeting of the board of directors at which action on any corporate matter is taken shall be conclusively presumed to have assented to the action taken unless his or her dissent shall be entered in the minutes of the meeting or unless he or she shall file his or her written dissent to such action with the person acting as the secretary of the meeting before the adjournment thereof or shall forward such dissent by registered or certified mail to the secretary of the corporation immediately after the adjournment of the meeting. Such right to dissent shall not apply to a director who voted in favor of such action.</w:t>
      </w:r>
    </w:p>
    <w:p>
      <w:pPr>
        <w:spacing w:after="0" w:line="167" w:lineRule="exact"/>
        <w:rPr>
          <w:rFonts w:ascii="Arial" w:cs="Arial" w:eastAsia="Arial" w:hAnsi="Arial"/>
          <w:sz w:val="17"/>
          <w:szCs w:val="17"/>
          <w:color w:val="auto"/>
        </w:rPr>
      </w:pPr>
    </w:p>
    <w:p>
      <w:pPr>
        <w:ind w:right="320" w:firstLine="436"/>
        <w:spacing w:after="0" w:line="261" w:lineRule="auto"/>
        <w:tabs>
          <w:tab w:leader="none" w:pos="57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b w:val="1"/>
          <w:bCs w:val="1"/>
          <w:u w:val="single" w:color="auto"/>
          <w:color w:val="auto"/>
        </w:rPr>
        <w:t>Informal Action.</w:t>
      </w:r>
      <w:r>
        <w:rPr>
          <w:rFonts w:ascii="Arial" w:cs="Arial" w:eastAsia="Arial" w:hAnsi="Arial"/>
          <w:sz w:val="18"/>
          <w:szCs w:val="18"/>
          <w:color w:val="auto"/>
        </w:rPr>
        <w:t xml:space="preserve"> Unless otherwise restricted by statute, the certificate of incorporation of the corporation or these by-laws, any action required or permitted to be taken at any meeting of the board of directors or of any committee thereof may be taken without a meeting, if a written consent thereto is signed by all the directors or by all the members of such committee, as the case may be, and such written consent is filed with the minutes of proceedings of the board of directors or of such committee.</w:t>
      </w:r>
    </w:p>
    <w:p>
      <w:pPr>
        <w:spacing w:after="0" w:line="179" w:lineRule="exact"/>
        <w:rPr>
          <w:rFonts w:ascii="Arial" w:cs="Arial" w:eastAsia="Arial" w:hAnsi="Arial"/>
          <w:sz w:val="18"/>
          <w:szCs w:val="18"/>
          <w:color w:val="auto"/>
        </w:rPr>
      </w:pPr>
    </w:p>
    <w:p>
      <w:pPr>
        <w:ind w:right="240" w:firstLine="436"/>
        <w:spacing w:after="0" w:line="289" w:lineRule="auto"/>
        <w:tabs>
          <w:tab w:leader="none" w:pos="57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12 </w:t>
      </w:r>
      <w:r>
        <w:rPr>
          <w:rFonts w:ascii="Arial" w:cs="Arial" w:eastAsia="Arial" w:hAnsi="Arial"/>
          <w:sz w:val="17"/>
          <w:szCs w:val="17"/>
          <w:b w:val="1"/>
          <w:bCs w:val="1"/>
          <w:u w:val="single" w:color="auto"/>
          <w:color w:val="auto"/>
        </w:rPr>
        <w:t>Compensation.</w:t>
      </w:r>
      <w:r>
        <w:rPr>
          <w:rFonts w:ascii="Arial" w:cs="Arial" w:eastAsia="Arial" w:hAnsi="Arial"/>
          <w:sz w:val="17"/>
          <w:szCs w:val="17"/>
          <w:color w:val="auto"/>
        </w:rPr>
        <w:t xml:space="preserve"> The directors may be paid their expenses, if any, of attendance at each meeting of the board of directors and at each meeting of a committee of the board of directors of which they are members. The board of directors, irrespective of any personal interest of any of its members, shall have authority to fix compensation of all directors for services to the corporation as directors, officers or otherwise.</w:t>
      </w:r>
    </w:p>
    <w:p>
      <w:pPr>
        <w:spacing w:after="0" w:line="157" w:lineRule="exact"/>
        <w:rPr>
          <w:rFonts w:ascii="Arial" w:cs="Arial" w:eastAsia="Arial" w:hAnsi="Arial"/>
          <w:sz w:val="17"/>
          <w:szCs w:val="17"/>
          <w:color w:val="auto"/>
        </w:rPr>
      </w:pPr>
    </w:p>
    <w:p>
      <w:pPr>
        <w:ind w:right="240" w:firstLine="436"/>
        <w:spacing w:after="0" w:line="282" w:lineRule="auto"/>
        <w:tabs>
          <w:tab w:leader="none" w:pos="57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13 </w:t>
      </w:r>
      <w:r>
        <w:rPr>
          <w:rFonts w:ascii="Arial" w:cs="Arial" w:eastAsia="Arial" w:hAnsi="Arial"/>
          <w:sz w:val="18"/>
          <w:szCs w:val="18"/>
          <w:b w:val="1"/>
          <w:bCs w:val="1"/>
          <w:u w:val="single" w:color="auto"/>
          <w:color w:val="auto"/>
        </w:rPr>
        <w:t>Removal.</w:t>
      </w:r>
      <w:r>
        <w:rPr>
          <w:rFonts w:ascii="Arial" w:cs="Arial" w:eastAsia="Arial" w:hAnsi="Arial"/>
          <w:sz w:val="18"/>
          <w:szCs w:val="18"/>
          <w:color w:val="auto"/>
        </w:rPr>
        <w:t xml:space="preserve"> Any director or the entire board of directors may be removed by the stockholders, with or without cause, by a majority of the votes entitled to be cast at an election of directors.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COMMITTEES</w:t>
      </w:r>
    </w:p>
    <w:p>
      <w:pPr>
        <w:spacing w:after="0" w:line="225" w:lineRule="exact"/>
        <w:rPr>
          <w:sz w:val="20"/>
          <w:szCs w:val="20"/>
          <w:color w:val="auto"/>
        </w:rPr>
      </w:pPr>
    </w:p>
    <w:p>
      <w:pPr>
        <w:ind w:firstLine="436"/>
        <w:spacing w:after="0" w:line="254" w:lineRule="auto"/>
        <w:tabs>
          <w:tab w:leader="none" w:pos="57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Committees.</w:t>
      </w:r>
      <w:r>
        <w:rPr>
          <w:rFonts w:ascii="Arial" w:cs="Arial" w:eastAsia="Arial" w:hAnsi="Arial"/>
          <w:sz w:val="18"/>
          <w:szCs w:val="18"/>
          <w:color w:val="auto"/>
        </w:rPr>
        <w:t xml:space="preserve"> By resolution passed by a majority of the whole Board, the Board of Directors may designate one or more committees, each such committee to consist of two or more directors of the Corporation. The Board may designate one or more directors as alternate members of any committee, who may replace any absent or disqualified member of any meeting of the committee. Any such committee, to the extent provided in the resolution or in these by laws, shall have and may exercise the powers of the Board of Directors in the management of the business and affairs of the Corporation, and may authorize the seal of the Corporation to be affixed to all papers which may require it. In the absence or disqualification of any member of such committee or committees, the member or members thereof present at the meeting and not disqualified from voting, whether or not he or they constitute a quorum, may unanimously appoint another member of the Board of Directors to act at the meeting in the place of such absent or disqualified member.</w:t>
      </w:r>
    </w:p>
    <w:p>
      <w:pPr>
        <w:sectPr>
          <w:pgSz w:w="11900" w:h="16838" w:orient="portrait"/>
          <w:cols w:equalWidth="0" w:num="1">
            <w:col w:w="10980"/>
          </w:cols>
          <w:pgMar w:left="440" w:top="274" w:right="47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w:t>
      </w:r>
    </w:p>
    <w:p>
      <w:pPr>
        <w:spacing w:after="0" w:line="225" w:lineRule="exact"/>
        <w:rPr>
          <w:sz w:val="20"/>
          <w:szCs w:val="20"/>
          <w:color w:val="auto"/>
        </w:rPr>
      </w:pPr>
    </w:p>
    <w:p>
      <w:pPr>
        <w:ind w:left="-40" w:firstLine="436"/>
        <w:spacing w:after="0" w:line="256" w:lineRule="auto"/>
        <w:tabs>
          <w:tab w:leader="none" w:pos="53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Designation, Number, Election.</w:t>
      </w:r>
      <w:r>
        <w:rPr>
          <w:rFonts w:ascii="Arial" w:cs="Arial" w:eastAsia="Arial" w:hAnsi="Arial"/>
          <w:sz w:val="18"/>
          <w:szCs w:val="18"/>
          <w:color w:val="auto"/>
        </w:rPr>
        <w:t xml:space="preserve"> The board of directors, at its initial meeting and thereafter at its first regular meeting after each annual meeting of stockholders, shall choose the officers of the corporation. Such officers shall be a chairman, a president, a secretary, and a treasurer, and such vice presidents, assistant secretaries and assistant treasurers as the board of directors may choose. The board of directors may appoint such other officers and agents as it shall deem necessary who shall hold their offices for such terms and shall exercise such powers and perform such duties as shall be determined from time to time by the board. Any two or more offices may be held by the same person. Except as provided in Article 6, election or appointment as an officer shall not of itself create contract rights.</w:t>
      </w:r>
    </w:p>
    <w:p>
      <w:pPr>
        <w:spacing w:after="0" w:line="187" w:lineRule="exact"/>
        <w:rPr>
          <w:rFonts w:ascii="Arial" w:cs="Arial" w:eastAsia="Arial" w:hAnsi="Arial"/>
          <w:sz w:val="18"/>
          <w:szCs w:val="18"/>
          <w:color w:val="auto"/>
        </w:rPr>
      </w:pPr>
    </w:p>
    <w:p>
      <w:pPr>
        <w:ind w:left="-40" w:right="140" w:firstLine="436"/>
        <w:spacing w:after="0" w:line="312" w:lineRule="auto"/>
        <w:tabs>
          <w:tab w:leader="none" w:pos="53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2 </w:t>
      </w:r>
      <w:r>
        <w:rPr>
          <w:rFonts w:ascii="Arial" w:cs="Arial" w:eastAsia="Arial" w:hAnsi="Arial"/>
          <w:sz w:val="17"/>
          <w:szCs w:val="17"/>
          <w:b w:val="1"/>
          <w:bCs w:val="1"/>
          <w:u w:val="single" w:color="auto"/>
          <w:color w:val="auto"/>
        </w:rPr>
        <w:t>Salaries.</w:t>
      </w:r>
      <w:r>
        <w:rPr>
          <w:rFonts w:ascii="Arial" w:cs="Arial" w:eastAsia="Arial" w:hAnsi="Arial"/>
          <w:sz w:val="17"/>
          <w:szCs w:val="17"/>
          <w:color w:val="auto"/>
        </w:rPr>
        <w:t xml:space="preserve"> The salaries of all officers and agents of the corporation chosen by the board of directors shall be fixed by the board of directors, and no officer shall be prevented from receiving such salary by reason of the fact that he is also a director of the corporation.</w:t>
      </w:r>
    </w:p>
    <w:p>
      <w:pPr>
        <w:spacing w:after="0" w:line="139" w:lineRule="exact"/>
        <w:rPr>
          <w:rFonts w:ascii="Arial" w:cs="Arial" w:eastAsia="Arial" w:hAnsi="Arial"/>
          <w:sz w:val="17"/>
          <w:szCs w:val="17"/>
          <w:color w:val="auto"/>
        </w:rPr>
      </w:pPr>
    </w:p>
    <w:p>
      <w:pPr>
        <w:ind w:left="-40" w:right="20" w:firstLine="436"/>
        <w:spacing w:after="0" w:line="256" w:lineRule="auto"/>
        <w:tabs>
          <w:tab w:leader="none" w:pos="53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3 </w:t>
      </w:r>
      <w:r>
        <w:rPr>
          <w:rFonts w:ascii="Arial" w:cs="Arial" w:eastAsia="Arial" w:hAnsi="Arial"/>
          <w:sz w:val="18"/>
          <w:szCs w:val="18"/>
          <w:b w:val="1"/>
          <w:bCs w:val="1"/>
          <w:u w:val="single" w:color="auto"/>
          <w:color w:val="auto"/>
        </w:rPr>
        <w:t>Term Of Office Removal: Vacancies.</w:t>
      </w:r>
      <w:r>
        <w:rPr>
          <w:rFonts w:ascii="Arial" w:cs="Arial" w:eastAsia="Arial" w:hAnsi="Arial"/>
          <w:sz w:val="18"/>
          <w:szCs w:val="18"/>
          <w:color w:val="auto"/>
        </w:rPr>
        <w:t xml:space="preserve"> Each officer of the corporation chosen by the board of directors shall hold office until the next annual appointment of officers by the board of directors and until his or her successor is appointed and qualified, or until his or her earlier death, resignation or removal in the manner hereinafter provided. Any officer or agent chosen by the board of directors may be removed at any time by the board of directors whenever in its judgment the best interests of the corporation would be served thereby, but such removal shall be without prejudice to the contract rights, if any, of the person so removed. Any vacancy occurring in any office of the corporation at any time or any new offices may be filled by the board of directors for the unexpired portion of the term.</w:t>
      </w:r>
    </w:p>
    <w:p>
      <w:pPr>
        <w:spacing w:after="0" w:line="187" w:lineRule="exact"/>
        <w:rPr>
          <w:rFonts w:ascii="Arial" w:cs="Arial" w:eastAsia="Arial" w:hAnsi="Arial"/>
          <w:sz w:val="18"/>
          <w:szCs w:val="18"/>
          <w:color w:val="auto"/>
        </w:rPr>
      </w:pPr>
    </w:p>
    <w:p>
      <w:pPr>
        <w:ind w:left="-40" w:right="360" w:firstLine="436"/>
        <w:spacing w:after="0" w:line="282" w:lineRule="auto"/>
        <w:tabs>
          <w:tab w:leader="none" w:pos="53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4 </w:t>
      </w:r>
      <w:r>
        <w:rPr>
          <w:rFonts w:ascii="Arial" w:cs="Arial" w:eastAsia="Arial" w:hAnsi="Arial"/>
          <w:sz w:val="18"/>
          <w:szCs w:val="18"/>
          <w:b w:val="1"/>
          <w:bCs w:val="1"/>
          <w:u w:val="single" w:color="auto"/>
          <w:color w:val="auto"/>
        </w:rPr>
        <w:t>Chairman.</w:t>
      </w:r>
      <w:r>
        <w:rPr>
          <w:rFonts w:ascii="Arial" w:cs="Arial" w:eastAsia="Arial" w:hAnsi="Arial"/>
          <w:sz w:val="18"/>
          <w:szCs w:val="18"/>
          <w:color w:val="auto"/>
        </w:rPr>
        <w:t xml:space="preserve"> The chairman of the board, if appointed, shall, if present, preside at all meetings of the Board of Directors and exercise and perform such other powers and duties as may be from time to time assigned to him by the Board of Directors.</w:t>
      </w:r>
    </w:p>
    <w:p>
      <w:pPr>
        <w:spacing w:after="0" w:line="161" w:lineRule="exact"/>
        <w:rPr>
          <w:rFonts w:ascii="Arial" w:cs="Arial" w:eastAsia="Arial" w:hAnsi="Arial"/>
          <w:sz w:val="18"/>
          <w:szCs w:val="18"/>
          <w:color w:val="auto"/>
        </w:rPr>
      </w:pPr>
    </w:p>
    <w:p>
      <w:pPr>
        <w:ind w:left="-40" w:right="120" w:firstLine="436"/>
        <w:spacing w:after="0" w:line="269" w:lineRule="auto"/>
        <w:tabs>
          <w:tab w:leader="none" w:pos="53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5 </w:t>
      </w:r>
      <w:r>
        <w:rPr>
          <w:rFonts w:ascii="Arial" w:cs="Arial" w:eastAsia="Arial" w:hAnsi="Arial"/>
          <w:sz w:val="17"/>
          <w:szCs w:val="17"/>
          <w:b w:val="1"/>
          <w:bCs w:val="1"/>
          <w:u w:val="single" w:color="auto"/>
          <w:color w:val="auto"/>
        </w:rPr>
        <w:t>President.</w:t>
      </w:r>
      <w:r>
        <w:rPr>
          <w:rFonts w:ascii="Arial" w:cs="Arial" w:eastAsia="Arial" w:hAnsi="Arial"/>
          <w:sz w:val="17"/>
          <w:szCs w:val="17"/>
          <w:color w:val="auto"/>
        </w:rPr>
        <w:t xml:space="preserve"> The president shall be the chief executive officer of the corporation and, subject to the direction and control of the board of directors, shall be in charge of the business of the corporation. In general, the president shall discharge all duties incident to the principal executive office of the corporation and such other duties as may be prescribed by the board of directors from time to time. Without limiting the generality of the foregoing, the president shall see that the resolutions and directions of the board of directors are carried into effect except in those instances in which that responsibility is specifically assigned to some other person by the board of directors; shall preside at all meetings of the stockholders and, if he or she is a director of the corporation, of the board of directors; and, except in those instances in which the authority to execute is expressly delegated to another officer or agent of the corporation or a different mode of execution is expressly prescribed by the board of directors, may execute for the corporation certificates for its shares of stock (the issue of which shall have been authorized by the board of directors), and any contracts, deeds, mortgages, bonds, or other instruments which the board of directors has authorized, and may (without previous authorization by the board of directors) execute such contracts and other instruments as the conduct of the corporation’s business in its ordinary course requires, and may accomplish such execution in each case either under or without</w:t>
      </w:r>
    </w:p>
    <w:p>
      <w:pPr>
        <w:sectPr>
          <w:pgSz w:w="11900" w:h="16838" w:orient="portrait"/>
          <w:cols w:equalWidth="0" w:num="1">
            <w:col w:w="10940"/>
          </w:cols>
          <w:pgMar w:left="480" w:top="270" w:right="479" w:bottom="1440" w:gutter="0" w:footer="0" w:header="0"/>
        </w:sectPr>
      </w:pPr>
    </w:p>
    <w:bookmarkStart w:id="253" w:name="page254"/>
    <w:bookmarkEnd w:id="253"/>
    <w:p>
      <w:pPr>
        <w:ind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seal of the corporation and either individually or with the secretary, any assistant secretary, or any other officer thereunto authorized by the board of directors, according to the requirements of the form of the instrument. The president may vote all securities which the corporation is entitled to vote except as and to the extent such authority shall be vested in a different officer or agent of the corporation by the board of directors.</w:t>
      </w:r>
    </w:p>
    <w:p>
      <w:pPr>
        <w:spacing w:after="0" w:line="145" w:lineRule="exact"/>
        <w:rPr>
          <w:sz w:val="20"/>
          <w:szCs w:val="20"/>
          <w:color w:val="auto"/>
        </w:rPr>
      </w:pPr>
    </w:p>
    <w:p>
      <w:pPr>
        <w:ind w:firstLine="436"/>
        <w:spacing w:after="0" w:line="287" w:lineRule="auto"/>
        <w:tabs>
          <w:tab w:leader="none" w:pos="57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6 </w:t>
      </w:r>
      <w:r>
        <w:rPr>
          <w:rFonts w:ascii="Arial" w:cs="Arial" w:eastAsia="Arial" w:hAnsi="Arial"/>
          <w:sz w:val="16"/>
          <w:szCs w:val="16"/>
          <w:b w:val="1"/>
          <w:bCs w:val="1"/>
          <w:u w:val="single" w:color="auto"/>
          <w:color w:val="auto"/>
        </w:rPr>
        <w:t>Vice Presidents.</w:t>
      </w:r>
      <w:r>
        <w:rPr>
          <w:rFonts w:ascii="Arial" w:cs="Arial" w:eastAsia="Arial" w:hAnsi="Arial"/>
          <w:sz w:val="16"/>
          <w:szCs w:val="16"/>
          <w:color w:val="auto"/>
        </w:rPr>
        <w:t xml:space="preserve"> The vice president (and, in the event there is more than one vice president, each of the vice presidents) shall render such assistance to the president in the discharge of his or her duties as the president may direct and shall perform such other duties as from time to time may be assigned by the president or by the board of directors. In the absence of the president or in the event of his or her inability or refusal to act, the vice president (or in the event there may be more than one vice president, the vice presidents in the order designated by the board of directors, or by the president if the board of directors has not made such a designation, or in the absence of any designation, then in the order of seniority of tenure as vice president) shall perform the duties of the president, and when so acting, shall have all the powers of and be subject to all the restrictions upon the president. Except in those instances in which the authority to execute is expressly delegated to another officer or agent of the corporation or a different mode of execution is expressly prescribed by the board of directors or these by-laws, the vice president (or each of them if there are more than one) may execute for the corporation certificates for its shares of stock (the issue of which shall have been authorized by the board of directors), and any contracts, deeds, mortgages, bonds or other instruments which the board of directors has authorized, and may (without previous authorization by the board of directors) execute such contracts and other instruments as the conduct of the corporation’s business in its ordinary course requires, and may accomplish such execution in each case either under or without the seal of the corporation and either individually or with the secretary, any assistant secretary, or any other officer thereunto authorized by the board of directors, according to the requirements of the form of the instrument.</w:t>
      </w:r>
    </w:p>
    <w:p>
      <w:pPr>
        <w:spacing w:after="0" w:line="163" w:lineRule="exact"/>
        <w:rPr>
          <w:rFonts w:ascii="Arial" w:cs="Arial" w:eastAsia="Arial" w:hAnsi="Arial"/>
          <w:sz w:val="16"/>
          <w:szCs w:val="16"/>
          <w:color w:val="auto"/>
        </w:rPr>
      </w:pPr>
    </w:p>
    <w:p>
      <w:pPr>
        <w:ind w:right="80" w:firstLine="436"/>
        <w:spacing w:after="0" w:line="256" w:lineRule="auto"/>
        <w:tabs>
          <w:tab w:leader="none" w:pos="57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7 </w:t>
      </w:r>
      <w:r>
        <w:rPr>
          <w:rFonts w:ascii="Arial" w:cs="Arial" w:eastAsia="Arial" w:hAnsi="Arial"/>
          <w:sz w:val="18"/>
          <w:szCs w:val="18"/>
          <w:b w:val="1"/>
          <w:bCs w:val="1"/>
          <w:u w:val="single" w:color="auto"/>
          <w:color w:val="auto"/>
        </w:rPr>
        <w:t>Treasurer</w:t>
      </w:r>
      <w:r>
        <w:rPr>
          <w:rFonts w:ascii="Arial" w:cs="Arial" w:eastAsia="Arial" w:hAnsi="Arial"/>
          <w:sz w:val="18"/>
          <w:szCs w:val="18"/>
          <w:b w:val="1"/>
          <w:bCs w:val="1"/>
          <w:color w:val="auto"/>
        </w:rPr>
        <w:t>.</w:t>
      </w:r>
      <w:r>
        <w:rPr>
          <w:rFonts w:ascii="Arial" w:cs="Arial" w:eastAsia="Arial" w:hAnsi="Arial"/>
          <w:sz w:val="18"/>
          <w:szCs w:val="18"/>
          <w:color w:val="auto"/>
        </w:rPr>
        <w:t xml:space="preserve"> The treasurer shall be the principal accounting and financial officer of the corporation and as such shall perform all the duties incident to the office of treasurer and such other duties as from time to time may be assigned by the board of directors or the president. Without limiting the generality of the foregoing, the treasurer shall have charge of and be responsible for the maintenance of adequate books of account for the corporation and shall have charge and custody of all funds and securities of the corporation and be responsible therefor and for the receipt and disbursement thereof. If required by the board of directors, the treasurer shall give a bond for the faithful discharge of his or her duties in such sum and with such surety or sureties as the board of directors may determine.</w:t>
      </w:r>
    </w:p>
    <w:p>
      <w:pPr>
        <w:spacing w:after="0" w:line="187" w:lineRule="exact"/>
        <w:rPr>
          <w:rFonts w:ascii="Arial" w:cs="Arial" w:eastAsia="Arial" w:hAnsi="Arial"/>
          <w:sz w:val="18"/>
          <w:szCs w:val="18"/>
          <w:color w:val="auto"/>
        </w:rPr>
      </w:pPr>
    </w:p>
    <w:p>
      <w:pPr>
        <w:ind w:right="160" w:firstLine="436"/>
        <w:spacing w:after="0" w:line="256" w:lineRule="auto"/>
        <w:tabs>
          <w:tab w:leader="none" w:pos="57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8 </w:t>
      </w:r>
      <w:r>
        <w:rPr>
          <w:rFonts w:ascii="Arial" w:cs="Arial" w:eastAsia="Arial" w:hAnsi="Arial"/>
          <w:sz w:val="18"/>
          <w:szCs w:val="18"/>
          <w:b w:val="1"/>
          <w:bCs w:val="1"/>
          <w:u w:val="single" w:color="auto"/>
          <w:color w:val="auto"/>
        </w:rPr>
        <w:t>Secretary.</w:t>
      </w:r>
      <w:r>
        <w:rPr>
          <w:rFonts w:ascii="Arial" w:cs="Arial" w:eastAsia="Arial" w:hAnsi="Arial"/>
          <w:sz w:val="18"/>
          <w:szCs w:val="18"/>
          <w:color w:val="auto"/>
        </w:rPr>
        <w:t xml:space="preserve"> The secretary shall perform all duties incident to the office of secretary and such other duties as from time to time may be assigned by the board of directors or president. Without limiting the generality of the foregoing, the secretary shall (a) record the minutes of the meetings of the stockholders and the board of directors in one or more books provided for that purpose and shall include in such books the actions by written consent of the stockholders and the board of directors; (b) see that all notices are duly given in accordance with the provisions of these by-laws or as required by statute; (c) be the custodian of the corporate records and the seal of the corporation; (d) keep a register of the post office address of each</w:t>
      </w:r>
    </w:p>
    <w:p>
      <w:pPr>
        <w:sectPr>
          <w:pgSz w:w="11900" w:h="16838" w:orient="portrait"/>
          <w:cols w:equalWidth="0" w:num="1">
            <w:col w:w="11000"/>
          </w:cols>
          <w:pgMar w:left="440" w:top="274" w:right="459" w:bottom="1440" w:gutter="0" w:footer="0" w:header="0"/>
        </w:sectPr>
      </w:pPr>
    </w:p>
    <w:bookmarkStart w:id="254" w:name="page255"/>
    <w:bookmarkEnd w:id="25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which shall be furnished to the secretary by such stockholder; (e) sign with the president, or a vice president, or any other officer thereunto authorized by the board of directors, certificates for shares of stock of the corporation (the issue of which shall have been authorized by the board of directors), and any contracts, deeds, mortgages, bonds, or other instruments which the board of directors has authorized, and may (without previous authorization by the board of directors) sign with such other officers as aforesaid such contracts and other instruments as the conduct of the corporation’s business in its ordinary course requires, in each case according to the requirements of the form of the instrument, except when a different mode of execution is expressly prescribed by the board of directors; and (f) have general charge of the stock transfer books of the corporation.</w:t>
      </w:r>
    </w:p>
    <w:p>
      <w:pPr>
        <w:spacing w:after="0" w:line="160" w:lineRule="exact"/>
        <w:rPr>
          <w:sz w:val="20"/>
          <w:szCs w:val="20"/>
          <w:color w:val="auto"/>
        </w:rPr>
      </w:pPr>
    </w:p>
    <w:p>
      <w:pPr>
        <w:ind w:right="20" w:firstLine="436"/>
        <w:spacing w:after="0" w:line="271" w:lineRule="auto"/>
        <w:tabs>
          <w:tab w:leader="none" w:pos="57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9 </w:t>
      </w:r>
      <w:r>
        <w:rPr>
          <w:rFonts w:ascii="Arial" w:cs="Arial" w:eastAsia="Arial" w:hAnsi="Arial"/>
          <w:sz w:val="17"/>
          <w:szCs w:val="17"/>
          <w:b w:val="1"/>
          <w:bCs w:val="1"/>
          <w:u w:val="single" w:color="auto"/>
          <w:color w:val="auto"/>
        </w:rPr>
        <w:t>Assistant Treasurers And Assistant Secretaries.</w:t>
      </w:r>
      <w:r>
        <w:rPr>
          <w:rFonts w:ascii="Arial" w:cs="Arial" w:eastAsia="Arial" w:hAnsi="Arial"/>
          <w:sz w:val="17"/>
          <w:szCs w:val="17"/>
          <w:color w:val="auto"/>
        </w:rPr>
        <w:t xml:space="preserve"> The assistant treasurers and assistant secretaries shall perform such duties as shall be assigned to them by the treasurer, in the case of assistant treasurers, or the secretary, in the case of assistant secretaries, or by the board of directors or president in either case. Each assistant secretary may sign with the president, or a vice president, or any other officer thereunto authorized by the board of directors, certificates for shares of stock of the corporation (the issue of which shall have been authorized by the board of directors), and any contracts, deeds, mortgages, bonds, or other instruments which the board of directors has authorized, and may (without previous authorization by the board of directors) sign with such other officers as aforesaid such contracts and other instruments as the conduct of the corporation’s business in its ordinary course requires, in each case according to the requirements of the form of the instrument, except when a different mode of execution is expressly prescribed by the board of directors. The assistant treasurers shall, if required by the board of directors, give bonds for the faithful discharge of their duties in such sums and with such sureties as the board of directors shall determine.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5" w:lineRule="exact"/>
        <w:rPr>
          <w:sz w:val="20"/>
          <w:szCs w:val="20"/>
          <w:color w:val="auto"/>
        </w:rPr>
      </w:pPr>
    </w:p>
    <w:p>
      <w:pPr>
        <w:ind w:right="40" w:firstLine="436"/>
        <w:spacing w:after="0" w:line="294" w:lineRule="auto"/>
        <w:tabs>
          <w:tab w:leader="none" w:pos="57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1 </w:t>
      </w:r>
      <w:r>
        <w:rPr>
          <w:rFonts w:ascii="Arial" w:cs="Arial" w:eastAsia="Arial" w:hAnsi="Arial"/>
          <w:sz w:val="16"/>
          <w:szCs w:val="16"/>
          <w:b w:val="1"/>
          <w:bCs w:val="1"/>
          <w:u w:val="single" w:color="auto"/>
          <w:color w:val="auto"/>
        </w:rPr>
        <w:t>Indemnification of Directors and Officers.</w:t>
      </w:r>
      <w:r>
        <w:rPr>
          <w:rFonts w:ascii="Arial" w:cs="Arial" w:eastAsia="Arial" w:hAnsi="Arial"/>
          <w:sz w:val="16"/>
          <w:szCs w:val="16"/>
          <w:color w:val="auto"/>
        </w:rPr>
        <w:t xml:space="preserve"> The corporation shall, to the fullest extent to which it is empowered to do so by the General Corporation Law of Delaware or any other applicable laws, as may from time to time be in effect, indemnify any person who was or is a party or is threatened to be made a party to any threatened, pending or completed action, suit or proceeding, whether civil, criminal, administrative or investigative, by reason of the fact that such person is or was a director or officer of the corporation, or is or was serving at the request of the corporation as a director or officer of another corporation, partnership, joint venture, trust or other enterprise, against all expenses (including attorneys’ fees), judgments, fines and amounts paid in settlement actually and reasonably incurred by such person in connection with such action, suit or proceeding.</w:t>
      </w:r>
    </w:p>
    <w:p>
      <w:pPr>
        <w:spacing w:after="0" w:line="159" w:lineRule="exact"/>
        <w:rPr>
          <w:rFonts w:ascii="Arial" w:cs="Arial" w:eastAsia="Arial" w:hAnsi="Arial"/>
          <w:sz w:val="16"/>
          <w:szCs w:val="16"/>
          <w:color w:val="auto"/>
        </w:rPr>
      </w:pPr>
    </w:p>
    <w:p>
      <w:pPr>
        <w:ind w:right="80" w:firstLine="436"/>
        <w:spacing w:after="0" w:line="261" w:lineRule="auto"/>
        <w:tabs>
          <w:tab w:leader="none" w:pos="57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b w:val="1"/>
          <w:bCs w:val="1"/>
          <w:u w:val="single" w:color="auto"/>
          <w:color w:val="auto"/>
        </w:rPr>
        <w:t>Advancement of Expenses.</w:t>
      </w:r>
      <w:r>
        <w:rPr>
          <w:rFonts w:ascii="Arial" w:cs="Arial" w:eastAsia="Arial" w:hAnsi="Arial"/>
          <w:sz w:val="18"/>
          <w:szCs w:val="18"/>
          <w:color w:val="auto"/>
        </w:rPr>
        <w:t xml:space="preserve"> Expenses incurred by an officer or director of the corporation in defending a civil or criminal action, suit or proceeding shall be paid by the corporation in advance of the final disposition of such action, suit or proceeding upon receipt of an undertaking by or on behalf of such director or officer to repay such amount if it shall be ultimately determined that he or she is not entitled to be indemnified as authorized by the General Corporation Law of Delaware, as amended.</w:t>
      </w:r>
    </w:p>
    <w:p>
      <w:pPr>
        <w:sectPr>
          <w:pgSz w:w="11900" w:h="16838" w:orient="portrait"/>
          <w:cols w:equalWidth="0" w:num="1">
            <w:col w:w="11020"/>
          </w:cols>
          <w:pgMar w:left="440" w:top="274" w:right="439" w:bottom="1440" w:gutter="0" w:footer="0" w:header="0"/>
        </w:sectPr>
      </w:pPr>
    </w:p>
    <w:bookmarkStart w:id="255" w:name="page256"/>
    <w:bookmarkEnd w:id="255"/>
    <w:p>
      <w:pPr>
        <w:ind w:left="-20" w:firstLine="436"/>
        <w:spacing w:after="0" w:line="277" w:lineRule="auto"/>
        <w:tabs>
          <w:tab w:leader="none" w:pos="555" w:val="left"/>
        </w:tabs>
        <w:numPr>
          <w:ilvl w:val="0"/>
          <w:numId w:val="1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 </w:t>
      </w:r>
      <w:r>
        <w:rPr>
          <w:rFonts w:ascii="Arial" w:cs="Arial" w:eastAsia="Arial" w:hAnsi="Arial"/>
          <w:sz w:val="17"/>
          <w:szCs w:val="17"/>
          <w:b w:val="1"/>
          <w:bCs w:val="1"/>
          <w:u w:val="single" w:color="auto"/>
          <w:color w:val="auto"/>
        </w:rPr>
        <w:t>Contract With the Corporation.</w:t>
      </w:r>
      <w:r>
        <w:rPr>
          <w:rFonts w:ascii="Arial" w:cs="Arial" w:eastAsia="Arial" w:hAnsi="Arial"/>
          <w:sz w:val="17"/>
          <w:szCs w:val="17"/>
          <w:color w:val="auto"/>
        </w:rPr>
        <w:t xml:space="preserve"> The provisions of this Article 6 shall be deemed to be a contract between the corporation and each person who serves as such officer or director in any such capacity at any time while this Article and the relevant provisions of the General Corporation Law of Delaware, as amended, or other applicable laws, if any, are in effect, and any repeal or modification of any such law or of this Article 6 shall not affect any rights or obligations then existing with respect to any state of facts then or theretofore existing or any action, suit or proceeding theretofore or thereafter brought or threatened based in whole or in part upon any such state of facts.</w:t>
      </w:r>
    </w:p>
    <w:p>
      <w:pPr>
        <w:spacing w:after="0" w:line="167" w:lineRule="exact"/>
        <w:rPr>
          <w:rFonts w:ascii="Arial" w:cs="Arial" w:eastAsia="Arial" w:hAnsi="Arial"/>
          <w:sz w:val="17"/>
          <w:szCs w:val="17"/>
          <w:color w:val="auto"/>
        </w:rPr>
      </w:pPr>
    </w:p>
    <w:p>
      <w:pPr>
        <w:jc w:val="both"/>
        <w:ind w:left="-20" w:right="360" w:firstLine="436"/>
        <w:spacing w:after="0" w:line="261" w:lineRule="auto"/>
        <w:tabs>
          <w:tab w:leader="none" w:pos="5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4 </w:t>
      </w:r>
      <w:r>
        <w:rPr>
          <w:rFonts w:ascii="Arial" w:cs="Arial" w:eastAsia="Arial" w:hAnsi="Arial"/>
          <w:sz w:val="18"/>
          <w:szCs w:val="18"/>
          <w:b w:val="1"/>
          <w:bCs w:val="1"/>
          <w:u w:val="single" w:color="auto"/>
          <w:color w:val="auto"/>
        </w:rPr>
        <w:t>Indemnification of Employees And Agents.</w:t>
      </w:r>
      <w:r>
        <w:rPr>
          <w:rFonts w:ascii="Arial" w:cs="Arial" w:eastAsia="Arial" w:hAnsi="Arial"/>
          <w:sz w:val="18"/>
          <w:szCs w:val="18"/>
          <w:color w:val="auto"/>
        </w:rPr>
        <w:t xml:space="preserve"> Persons who are not covered by the foregoing provisions of this Article 6 and who are or were employees or agents of the corporation, or are or were serving at the request of the corporation as employees or agents of another corporation, partnership, joint venture, trust or other enterprise, may be indemnified to the extent authorized at any time or from time to time by the board of directors.</w:t>
      </w:r>
    </w:p>
    <w:p>
      <w:pPr>
        <w:spacing w:after="0" w:line="179" w:lineRule="exact"/>
        <w:rPr>
          <w:rFonts w:ascii="Arial" w:cs="Arial" w:eastAsia="Arial" w:hAnsi="Arial"/>
          <w:sz w:val="18"/>
          <w:szCs w:val="18"/>
          <w:color w:val="auto"/>
        </w:rPr>
      </w:pPr>
    </w:p>
    <w:p>
      <w:pPr>
        <w:ind w:left="-20" w:right="120" w:firstLine="436"/>
        <w:spacing w:after="0" w:line="314" w:lineRule="auto"/>
        <w:tabs>
          <w:tab w:leader="none" w:pos="55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5 </w:t>
      </w:r>
      <w:r>
        <w:rPr>
          <w:rFonts w:ascii="Arial" w:cs="Arial" w:eastAsia="Arial" w:hAnsi="Arial"/>
          <w:sz w:val="16"/>
          <w:szCs w:val="16"/>
          <w:b w:val="1"/>
          <w:bCs w:val="1"/>
          <w:u w:val="single" w:color="auto"/>
          <w:color w:val="auto"/>
        </w:rPr>
        <w:t>Other Rights of Indemnification.</w:t>
      </w:r>
      <w:r>
        <w:rPr>
          <w:rFonts w:ascii="Arial" w:cs="Arial" w:eastAsia="Arial" w:hAnsi="Arial"/>
          <w:sz w:val="16"/>
          <w:szCs w:val="16"/>
          <w:color w:val="auto"/>
        </w:rPr>
        <w:t xml:space="preserve"> The indemnification and the advancement of expenses provided or permitted by this Article 6 shall not be deemed exclusive of any other rights to which those indemnified may be entitled by law or otherwise, and shall continue as to a person who has ceased to be a director, officer, employee or agent and shall inure to the benefit of the heirs, executors and administrators of such person.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ON DIRECTOR’S LIABILITY</w:t>
      </w:r>
    </w:p>
    <w:p>
      <w:pPr>
        <w:spacing w:after="0" w:line="229" w:lineRule="exact"/>
        <w:rPr>
          <w:sz w:val="20"/>
          <w:szCs w:val="20"/>
          <w:color w:val="auto"/>
        </w:rPr>
      </w:pPr>
    </w:p>
    <w:p>
      <w:pPr>
        <w:ind w:left="-20" w:right="260" w:firstLine="436"/>
        <w:spacing w:after="0" w:line="308" w:lineRule="auto"/>
        <w:tabs>
          <w:tab w:leader="none" w:pos="55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1 The personal liability for monetary damages to the corporation or its stockholders of a person who serves as a director of the corporation shall be limited if and to the extent provided at the time in the certificate of incorporation of the corporation, as then amended.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CERTIFICATES OF STOCK AND THEIR TRANSFER</w:t>
      </w:r>
    </w:p>
    <w:p>
      <w:pPr>
        <w:spacing w:after="0" w:line="225" w:lineRule="exact"/>
        <w:rPr>
          <w:sz w:val="20"/>
          <w:szCs w:val="20"/>
          <w:color w:val="auto"/>
        </w:rPr>
      </w:pPr>
    </w:p>
    <w:p>
      <w:pPr>
        <w:ind w:left="-20" w:firstLine="436"/>
        <w:spacing w:after="0" w:line="272" w:lineRule="auto"/>
        <w:tabs>
          <w:tab w:leader="none" w:pos="55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1 </w:t>
      </w:r>
      <w:r>
        <w:rPr>
          <w:rFonts w:ascii="Arial" w:cs="Arial" w:eastAsia="Arial" w:hAnsi="Arial"/>
          <w:sz w:val="17"/>
          <w:szCs w:val="17"/>
          <w:b w:val="1"/>
          <w:bCs w:val="1"/>
          <w:u w:val="single" w:color="auto"/>
          <w:color w:val="auto"/>
        </w:rPr>
        <w:t>Form And Execution Of Certificates.</w:t>
      </w:r>
      <w:r>
        <w:rPr>
          <w:rFonts w:ascii="Arial" w:cs="Arial" w:eastAsia="Arial" w:hAnsi="Arial"/>
          <w:sz w:val="17"/>
          <w:szCs w:val="17"/>
          <w:color w:val="auto"/>
        </w:rPr>
        <w:t xml:space="preserve"> Every holder of stock in the corporation shall be entitled to have a certificate signed by, or in the name of, the corporation by the president or a vice president and by the secretary or an assistant secretary of the corporation, certifying the number of shares owned. Such certificates shall be in such form as may be determined by the board of directors. During the period while more than one class of stock of the corporation is authorized there will be set forth on the face or back of the certificates which the corporation shall issue to represent each class or series of stock a statement that the corporation will furnish, without charge to each stockholder who so requests, the designations, preferences and relative, participating, optional or other special rights of each class of stock or series thereof and the qualifications, limitations or restrictions of such preferences and/or rights. In case any officer, transfer agent or registrar of the corporation who has signed, or whose facsimile signature has been placed upon, any such certificate shall have ceased to be such officer, transfer agent or</w:t>
      </w:r>
    </w:p>
    <w:p>
      <w:pPr>
        <w:sectPr>
          <w:pgSz w:w="11900" w:h="16838" w:orient="portrait"/>
          <w:cols w:equalWidth="0" w:num="1">
            <w:col w:w="10960"/>
          </w:cols>
          <w:pgMar w:left="460" w:top="270" w:right="479" w:bottom="1440" w:gutter="0" w:footer="0" w:header="0"/>
        </w:sectPr>
      </w:pPr>
    </w:p>
    <w:bookmarkStart w:id="256" w:name="page257"/>
    <w:bookmarkEnd w:id="256"/>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registrar of the corporation before such certificate is issued by the corporation, such certificate may nevertheless be issued and delivered by the corporation with the same effect as if the officer, transfer agent or registrar who signed, or whose facsimile signature was placed upon, such certificate had not ceased to be such officer, transfer agent or registrar of the corporation.</w:t>
      </w:r>
    </w:p>
    <w:p>
      <w:pPr>
        <w:spacing w:after="0" w:line="180" w:lineRule="exact"/>
        <w:rPr>
          <w:sz w:val="20"/>
          <w:szCs w:val="20"/>
          <w:color w:val="auto"/>
        </w:rPr>
      </w:pPr>
    </w:p>
    <w:p>
      <w:pPr>
        <w:ind w:right="20" w:firstLine="436"/>
        <w:spacing w:after="0" w:line="272" w:lineRule="auto"/>
        <w:tabs>
          <w:tab w:leader="none" w:pos="57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2 </w:t>
      </w:r>
      <w:r>
        <w:rPr>
          <w:rFonts w:ascii="Arial" w:cs="Arial" w:eastAsia="Arial" w:hAnsi="Arial"/>
          <w:sz w:val="17"/>
          <w:szCs w:val="17"/>
          <w:b w:val="1"/>
          <w:bCs w:val="1"/>
          <w:u w:val="single" w:color="auto"/>
          <w:color w:val="auto"/>
        </w:rPr>
        <w:t>Replacement Certificates.</w:t>
      </w:r>
      <w:r>
        <w:rPr>
          <w:rFonts w:ascii="Arial" w:cs="Arial" w:eastAsia="Arial" w:hAnsi="Arial"/>
          <w:sz w:val="17"/>
          <w:szCs w:val="17"/>
          <w:color w:val="auto"/>
        </w:rPr>
        <w:t xml:space="preserve"> The board of directors may direct a new certificate to be issued in place of any certificate evidencing shares of stock of the corporation theretofore issued by the corporation alleged to have been lost, stolen or destroyed, upon the making of an affidavit of the fact by the person claiming the certificate to be lost, stolen or destroyed. When authorizing such issue of a new certificate, the board of directors may, in its discretion and as a condition precedent to the issuance thereof, require the owner of such lost, stolen or destroyed certificate, or his legal representative, to advertise the same in such manner as it shall require and may require such owner to give the corporation a bond in such sum as it may direct as indemnity against any claim that may be made against the corporation with respect to the certificate alleged to have been lost, stolen or destroyed. The board of directors may delegate its authority to direct the issuance of replacement stock certificates to the transfer agent or agents of the corporation upon such conditions precedent as may be prescribed by the board.</w:t>
      </w:r>
    </w:p>
    <w:p>
      <w:pPr>
        <w:spacing w:after="0" w:line="171" w:lineRule="exact"/>
        <w:rPr>
          <w:rFonts w:ascii="Arial" w:cs="Arial" w:eastAsia="Arial" w:hAnsi="Arial"/>
          <w:sz w:val="17"/>
          <w:szCs w:val="17"/>
          <w:color w:val="auto"/>
        </w:rPr>
      </w:pPr>
    </w:p>
    <w:p>
      <w:pPr>
        <w:ind w:right="240" w:firstLine="436"/>
        <w:spacing w:after="0" w:line="258" w:lineRule="auto"/>
        <w:tabs>
          <w:tab w:leader="none" w:pos="57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3 </w:t>
      </w:r>
      <w:r>
        <w:rPr>
          <w:rFonts w:ascii="Arial" w:cs="Arial" w:eastAsia="Arial" w:hAnsi="Arial"/>
          <w:sz w:val="18"/>
          <w:szCs w:val="18"/>
          <w:b w:val="1"/>
          <w:bCs w:val="1"/>
          <w:u w:val="single" w:color="auto"/>
          <w:color w:val="auto"/>
        </w:rPr>
        <w:t>Transfers of Stock.</w:t>
      </w:r>
      <w:r>
        <w:rPr>
          <w:rFonts w:ascii="Arial" w:cs="Arial" w:eastAsia="Arial" w:hAnsi="Arial"/>
          <w:sz w:val="18"/>
          <w:szCs w:val="18"/>
          <w:color w:val="auto"/>
        </w:rPr>
        <w:t xml:space="preserve"> Upon surrender to the corporation or the transfer agent of the corporation of a certificate for shares of stock of the corporation duly endorsed or accompanied by proper evidence of succession, assignment, or other authority to transfer, it shall be the duty of the corporation to issue a new certificate to the person entitled thereto, cancel the old certificate and record the transaction upon its books, provided the corporation or a transfer agent of the corporation shall not have received a notification of adverse interest and that the conditions of Section 8-401 of Title 6 of the Delaware Code have been met.</w:t>
      </w:r>
    </w:p>
    <w:p>
      <w:pPr>
        <w:spacing w:after="0" w:line="183" w:lineRule="exact"/>
        <w:rPr>
          <w:rFonts w:ascii="Arial" w:cs="Arial" w:eastAsia="Arial" w:hAnsi="Arial"/>
          <w:sz w:val="18"/>
          <w:szCs w:val="18"/>
          <w:color w:val="auto"/>
        </w:rPr>
      </w:pPr>
    </w:p>
    <w:p>
      <w:pPr>
        <w:ind w:right="60" w:firstLine="436"/>
        <w:spacing w:after="0" w:line="261" w:lineRule="auto"/>
        <w:tabs>
          <w:tab w:leader="none" w:pos="57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4 </w:t>
      </w:r>
      <w:r>
        <w:rPr>
          <w:rFonts w:ascii="Arial" w:cs="Arial" w:eastAsia="Arial" w:hAnsi="Arial"/>
          <w:sz w:val="18"/>
          <w:szCs w:val="18"/>
          <w:b w:val="1"/>
          <w:bCs w:val="1"/>
          <w:u w:val="single" w:color="auto"/>
          <w:color w:val="auto"/>
        </w:rPr>
        <w:t>Registered Stockholders.</w:t>
      </w:r>
      <w:r>
        <w:rPr>
          <w:rFonts w:ascii="Arial" w:cs="Arial" w:eastAsia="Arial" w:hAnsi="Arial"/>
          <w:sz w:val="18"/>
          <w:szCs w:val="18"/>
          <w:color w:val="auto"/>
        </w:rPr>
        <w:t xml:space="preserve"> The corporation shall be entitled to treat the holder of record (according to the books of the corporation) of any share or shares of its stock as the holder in fact thereof and shall not be bound to recognize any equitable or other claim to or interest in such share or shares on the part of any other party whether or not the corporation shall have express or other notice thereof, except as expressly provided by the laws of the State of Delaware.</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CONTRACTS, LOANS, CHECKS AND DEPOSITS</w:t>
      </w:r>
    </w:p>
    <w:p>
      <w:pPr>
        <w:spacing w:after="0" w:line="225" w:lineRule="exact"/>
        <w:rPr>
          <w:sz w:val="20"/>
          <w:szCs w:val="20"/>
          <w:color w:val="auto"/>
        </w:rPr>
      </w:pPr>
    </w:p>
    <w:p>
      <w:pPr>
        <w:jc w:val="both"/>
        <w:ind w:firstLine="436"/>
        <w:spacing w:after="0" w:line="266" w:lineRule="auto"/>
        <w:tabs>
          <w:tab w:leader="none" w:pos="57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Contracts.</w:t>
      </w:r>
      <w:r>
        <w:rPr>
          <w:rFonts w:ascii="Arial" w:cs="Arial" w:eastAsia="Arial" w:hAnsi="Arial"/>
          <w:sz w:val="18"/>
          <w:szCs w:val="18"/>
          <w:color w:val="auto"/>
        </w:rPr>
        <w:t xml:space="preserve"> The board of directors may authorize any officer or officers, or agent or agents, to enter into any contract or execute and deliver any instrument in the name of and on behalf of the corporation, and such authority may be general or confined to specific instances; provided, however, that this § 9.1 shall not be a limitation on the powers of office granted under Article 5 of these by-laws.</w:t>
      </w:r>
    </w:p>
    <w:p>
      <w:pPr>
        <w:spacing w:after="0" w:line="175" w:lineRule="exact"/>
        <w:rPr>
          <w:rFonts w:ascii="Arial" w:cs="Arial" w:eastAsia="Arial" w:hAnsi="Arial"/>
          <w:sz w:val="18"/>
          <w:szCs w:val="18"/>
          <w:color w:val="auto"/>
        </w:rPr>
      </w:pPr>
    </w:p>
    <w:p>
      <w:pPr>
        <w:ind w:right="500" w:firstLine="436"/>
        <w:spacing w:after="0" w:line="282" w:lineRule="auto"/>
        <w:tabs>
          <w:tab w:leader="none" w:pos="57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b w:val="1"/>
          <w:bCs w:val="1"/>
          <w:u w:val="single" w:color="auto"/>
          <w:color w:val="auto"/>
        </w:rPr>
        <w:t>Loans.</w:t>
      </w:r>
      <w:r>
        <w:rPr>
          <w:rFonts w:ascii="Arial" w:cs="Arial" w:eastAsia="Arial" w:hAnsi="Arial"/>
          <w:sz w:val="18"/>
          <w:szCs w:val="18"/>
          <w:color w:val="auto"/>
        </w:rPr>
        <w:t xml:space="preserve"> No loans shall be contracted on behalf of the corporation and no evidences of indebtedness shall be issued in its name unless authorized by a resolution of the board of directors. Such authority may be general or confined to specific instances.</w:t>
      </w:r>
    </w:p>
    <w:p>
      <w:pPr>
        <w:spacing w:after="0" w:line="161" w:lineRule="exact"/>
        <w:rPr>
          <w:rFonts w:ascii="Arial" w:cs="Arial" w:eastAsia="Arial" w:hAnsi="Arial"/>
          <w:sz w:val="18"/>
          <w:szCs w:val="18"/>
          <w:color w:val="auto"/>
        </w:rPr>
      </w:pPr>
    </w:p>
    <w:p>
      <w:pPr>
        <w:ind w:right="140" w:firstLine="436"/>
        <w:spacing w:after="0" w:line="282" w:lineRule="auto"/>
        <w:tabs>
          <w:tab w:leader="none" w:pos="57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3 </w:t>
      </w:r>
      <w:r>
        <w:rPr>
          <w:rFonts w:ascii="Arial" w:cs="Arial" w:eastAsia="Arial" w:hAnsi="Arial"/>
          <w:sz w:val="18"/>
          <w:szCs w:val="18"/>
          <w:b w:val="1"/>
          <w:bCs w:val="1"/>
          <w:u w:val="single" w:color="auto"/>
          <w:color w:val="auto"/>
        </w:rPr>
        <w:t>Checks, Drafts And Other Instruments.</w:t>
      </w:r>
      <w:r>
        <w:rPr>
          <w:rFonts w:ascii="Arial" w:cs="Arial" w:eastAsia="Arial" w:hAnsi="Arial"/>
          <w:sz w:val="18"/>
          <w:szCs w:val="18"/>
          <w:color w:val="auto"/>
        </w:rPr>
        <w:t xml:space="preserve"> All checks, drafts or other orders for the payment of money and all notes or other evidences of indebtedness issued in the name of the</w:t>
      </w:r>
    </w:p>
    <w:p>
      <w:pPr>
        <w:sectPr>
          <w:pgSz w:w="11900" w:h="16838" w:orient="portrait"/>
          <w:cols w:equalWidth="0" w:num="1">
            <w:col w:w="10920"/>
          </w:cols>
          <w:pgMar w:left="440" w:top="274" w:right="539" w:bottom="1440" w:gutter="0" w:footer="0" w:header="0"/>
        </w:sectPr>
      </w:pPr>
    </w:p>
    <w:bookmarkStart w:id="257" w:name="page258"/>
    <w:bookmarkEnd w:id="257"/>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corporation shall be signed by such officer or officers or such agent or agents of the corporation and in such manner as from time to time may be determined by the resolution of the board of directors or by an officer or officers of the corporation designated by the board of directors to make such determination.</w:t>
      </w:r>
    </w:p>
    <w:p>
      <w:pPr>
        <w:spacing w:after="0" w:line="180" w:lineRule="exact"/>
        <w:rPr>
          <w:sz w:val="20"/>
          <w:szCs w:val="20"/>
          <w:color w:val="auto"/>
        </w:rPr>
      </w:pPr>
    </w:p>
    <w:p>
      <w:pPr>
        <w:ind w:right="60" w:firstLine="436"/>
        <w:spacing w:after="0" w:line="347" w:lineRule="auto"/>
        <w:tabs>
          <w:tab w:leader="none" w:pos="57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4 </w:t>
      </w:r>
      <w:r>
        <w:rPr>
          <w:rFonts w:ascii="Arial" w:cs="Arial" w:eastAsia="Arial" w:hAnsi="Arial"/>
          <w:sz w:val="16"/>
          <w:szCs w:val="16"/>
          <w:b w:val="1"/>
          <w:bCs w:val="1"/>
          <w:u w:val="single" w:color="auto"/>
          <w:color w:val="auto"/>
        </w:rPr>
        <w:t>Deposits.</w:t>
      </w:r>
      <w:r>
        <w:rPr>
          <w:rFonts w:ascii="Arial" w:cs="Arial" w:eastAsia="Arial" w:hAnsi="Arial"/>
          <w:sz w:val="16"/>
          <w:szCs w:val="16"/>
          <w:color w:val="auto"/>
        </w:rPr>
        <w:t xml:space="preserve"> All funds of the corporation not otherwise employed shall be deposited from time to time to the credit of the corporation in such banks, trust companies or other depositaries as the board of directors, or an officer or officers designated by the board of directors, may select.</w:t>
      </w: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25" w:lineRule="exact"/>
        <w:rPr>
          <w:sz w:val="20"/>
          <w:szCs w:val="20"/>
          <w:color w:val="auto"/>
        </w:rPr>
      </w:pPr>
    </w:p>
    <w:p>
      <w:pPr>
        <w:ind w:right="60" w:firstLine="436"/>
        <w:spacing w:after="0" w:line="266" w:lineRule="auto"/>
        <w:tabs>
          <w:tab w:leader="none" w:pos="57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Dividends</w:t>
      </w:r>
      <w:r>
        <w:rPr>
          <w:rFonts w:ascii="Arial" w:cs="Arial" w:eastAsia="Arial" w:hAnsi="Arial"/>
          <w:sz w:val="18"/>
          <w:szCs w:val="18"/>
          <w:u w:val="single" w:color="auto"/>
          <w:color w:val="auto"/>
        </w:rPr>
        <w:t>.</w:t>
      </w:r>
      <w:r>
        <w:rPr>
          <w:rFonts w:ascii="Arial" w:cs="Arial" w:eastAsia="Arial" w:hAnsi="Arial"/>
          <w:sz w:val="18"/>
          <w:szCs w:val="18"/>
          <w:color w:val="auto"/>
        </w:rPr>
        <w:t xml:space="preserve"> Subject to any provisions of any applicable statute or of the certificate of incorporation, dividends may be declared upon the capital stock of the corporation by the board of directors at any regular or special meeting thereof; and such dividends may be paid in cash, property or shares of stock of the corporation.</w:t>
      </w:r>
    </w:p>
    <w:p>
      <w:pPr>
        <w:spacing w:after="0" w:line="175" w:lineRule="exact"/>
        <w:rPr>
          <w:rFonts w:ascii="Arial" w:cs="Arial" w:eastAsia="Arial" w:hAnsi="Arial"/>
          <w:sz w:val="18"/>
          <w:szCs w:val="18"/>
          <w:color w:val="auto"/>
        </w:rPr>
      </w:pPr>
    </w:p>
    <w:p>
      <w:pPr>
        <w:ind w:firstLine="436"/>
        <w:spacing w:after="0" w:line="303" w:lineRule="auto"/>
        <w:tabs>
          <w:tab w:leader="none" w:pos="57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2 </w:t>
      </w:r>
      <w:r>
        <w:rPr>
          <w:rFonts w:ascii="Arial" w:cs="Arial" w:eastAsia="Arial" w:hAnsi="Arial"/>
          <w:sz w:val="16"/>
          <w:szCs w:val="16"/>
          <w:b w:val="1"/>
          <w:bCs w:val="1"/>
          <w:u w:val="single" w:color="auto"/>
          <w:color w:val="auto"/>
        </w:rPr>
        <w:t>Reserves</w:t>
      </w:r>
      <w:r>
        <w:rPr>
          <w:rFonts w:ascii="Arial" w:cs="Arial" w:eastAsia="Arial" w:hAnsi="Arial"/>
          <w:sz w:val="16"/>
          <w:szCs w:val="16"/>
          <w:u w:val="single" w:color="auto"/>
          <w:color w:val="auto"/>
        </w:rPr>
        <w:t>.</w:t>
      </w:r>
      <w:r>
        <w:rPr>
          <w:rFonts w:ascii="Arial" w:cs="Arial" w:eastAsia="Arial" w:hAnsi="Arial"/>
          <w:sz w:val="16"/>
          <w:szCs w:val="16"/>
          <w:color w:val="auto"/>
        </w:rPr>
        <w:t xml:space="preserve"> Before payment of any dividends, there may be set aside out of any funds of the corporation available for dividends such sum or sums as the board of directors from time to time, in its discretion, determines to be proper as a reserve or reserves to meet contingencies, or for equalizing dividends, or for repairing or maintaining any property of the corporation, or for such other purpose as the board of directors shall determine to be conducive to the interests of the corporation, and the directors may modify or abolish any such reserve in the manner in which it was created.</w:t>
      </w:r>
    </w:p>
    <w:p>
      <w:pPr>
        <w:spacing w:after="0" w:line="150" w:lineRule="exact"/>
        <w:rPr>
          <w:rFonts w:ascii="Arial" w:cs="Arial" w:eastAsia="Arial" w:hAnsi="Arial"/>
          <w:sz w:val="16"/>
          <w:szCs w:val="16"/>
          <w:color w:val="auto"/>
        </w:rPr>
      </w:pPr>
    </w:p>
    <w:p>
      <w:pPr>
        <w:ind w:right="340" w:firstLine="436"/>
        <w:spacing w:after="0" w:line="266" w:lineRule="auto"/>
        <w:tabs>
          <w:tab w:leader="none" w:pos="57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3 </w:t>
      </w:r>
      <w:r>
        <w:rPr>
          <w:rFonts w:ascii="Arial" w:cs="Arial" w:eastAsia="Arial" w:hAnsi="Arial"/>
          <w:sz w:val="18"/>
          <w:szCs w:val="18"/>
          <w:b w:val="1"/>
          <w:bCs w:val="1"/>
          <w:u w:val="single" w:color="auto"/>
          <w:color w:val="auto"/>
        </w:rPr>
        <w:t>Voting Stock Of Other Corporations.</w:t>
      </w:r>
      <w:r>
        <w:rPr>
          <w:rFonts w:ascii="Arial" w:cs="Arial" w:eastAsia="Arial" w:hAnsi="Arial"/>
          <w:sz w:val="18"/>
          <w:szCs w:val="18"/>
          <w:color w:val="auto"/>
        </w:rPr>
        <w:t xml:space="preserve"> In the absence of specific action by the board of directors, the president shall have authority to represent the corporation and to vote, on behalf of the corporation, the securities of other corporations, both domestic and foreign, held by the corporation.</w:t>
      </w:r>
    </w:p>
    <w:p>
      <w:pPr>
        <w:spacing w:after="0" w:line="175" w:lineRule="exact"/>
        <w:rPr>
          <w:rFonts w:ascii="Arial" w:cs="Arial" w:eastAsia="Arial" w:hAnsi="Arial"/>
          <w:sz w:val="18"/>
          <w:szCs w:val="18"/>
          <w:color w:val="auto"/>
        </w:rPr>
      </w:pPr>
    </w:p>
    <w:p>
      <w:pPr>
        <w:ind w:right="480" w:firstLine="436"/>
        <w:spacing w:after="0" w:line="282" w:lineRule="auto"/>
        <w:tabs>
          <w:tab w:leader="none" w:pos="57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4 </w:t>
      </w:r>
      <w:r>
        <w:rPr>
          <w:rFonts w:ascii="Arial" w:cs="Arial" w:eastAsia="Arial" w:hAnsi="Arial"/>
          <w:sz w:val="18"/>
          <w:szCs w:val="18"/>
          <w:b w:val="1"/>
          <w:bCs w:val="1"/>
          <w:u w:val="single" w:color="auto"/>
          <w:color w:val="auto"/>
        </w:rPr>
        <w:t>Fiscal Year.</w:t>
      </w:r>
      <w:r>
        <w:rPr>
          <w:rFonts w:ascii="Arial" w:cs="Arial" w:eastAsia="Arial" w:hAnsi="Arial"/>
          <w:sz w:val="18"/>
          <w:szCs w:val="18"/>
          <w:color w:val="auto"/>
        </w:rPr>
        <w:t xml:space="preserve"> The fiscal year of the corporation shall begin on the first day of January in each year and end on the last day of the next following December.</w:t>
      </w:r>
    </w:p>
    <w:p>
      <w:pPr>
        <w:spacing w:after="0" w:line="161" w:lineRule="exact"/>
        <w:rPr>
          <w:rFonts w:ascii="Arial" w:cs="Arial" w:eastAsia="Arial" w:hAnsi="Arial"/>
          <w:sz w:val="18"/>
          <w:szCs w:val="18"/>
          <w:color w:val="auto"/>
        </w:rPr>
      </w:pPr>
    </w:p>
    <w:p>
      <w:pPr>
        <w:ind w:right="20" w:firstLine="436"/>
        <w:spacing w:after="0" w:line="282" w:lineRule="auto"/>
        <w:tabs>
          <w:tab w:leader="none" w:pos="57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5 </w:t>
      </w:r>
      <w:r>
        <w:rPr>
          <w:rFonts w:ascii="Arial" w:cs="Arial" w:eastAsia="Arial" w:hAnsi="Arial"/>
          <w:sz w:val="18"/>
          <w:szCs w:val="18"/>
          <w:b w:val="1"/>
          <w:bCs w:val="1"/>
          <w:u w:val="single" w:color="auto"/>
          <w:color w:val="auto"/>
        </w:rPr>
        <w:t>Seal.</w:t>
      </w:r>
      <w:r>
        <w:rPr>
          <w:rFonts w:ascii="Arial" w:cs="Arial" w:eastAsia="Arial" w:hAnsi="Arial"/>
          <w:sz w:val="18"/>
          <w:szCs w:val="18"/>
          <w:color w:val="auto"/>
        </w:rPr>
        <w:t xml:space="preserve"> The corporate seal shall have inscribed thereon the name of the corporation and the words “Corporate Seal, Delaware”. The seal may be used by causing it or a facsimile thereof to be impressed or affixed or reproduced or otherwise applied.</w:t>
      </w:r>
    </w:p>
    <w:p>
      <w:pPr>
        <w:spacing w:after="0" w:line="161" w:lineRule="exact"/>
        <w:rPr>
          <w:rFonts w:ascii="Arial" w:cs="Arial" w:eastAsia="Arial" w:hAnsi="Arial"/>
          <w:sz w:val="18"/>
          <w:szCs w:val="18"/>
          <w:color w:val="auto"/>
        </w:rPr>
      </w:pPr>
    </w:p>
    <w:p>
      <w:pPr>
        <w:ind w:right="120" w:firstLine="436"/>
        <w:spacing w:after="0" w:line="282" w:lineRule="auto"/>
        <w:tabs>
          <w:tab w:leader="none" w:pos="57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xml:space="preserve"> If any provision of these by-laws, or its application thereof to any person or circumstances, is held invalid, the remainder of these by-laws and the application of such provision to other persons or circumstances shall not be affected thereby.</w:t>
      </w:r>
    </w:p>
    <w:p>
      <w:pPr>
        <w:spacing w:after="0" w:line="161" w:lineRule="exact"/>
        <w:rPr>
          <w:rFonts w:ascii="Arial" w:cs="Arial" w:eastAsia="Arial" w:hAnsi="Arial"/>
          <w:sz w:val="18"/>
          <w:szCs w:val="18"/>
          <w:color w:val="auto"/>
        </w:rPr>
      </w:pPr>
    </w:p>
    <w:p>
      <w:pPr>
        <w:ind w:right="200" w:firstLine="436"/>
        <w:spacing w:after="0" w:line="347" w:lineRule="auto"/>
        <w:tabs>
          <w:tab w:leader="none" w:pos="57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7 </w:t>
      </w: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 xml:space="preserve"> These by-laws may be amended or repealed, or new by-laws may be adopted, by the board of directors of the corporation. These by-laws may also be amended or repealed, or new by-laws may be adopted, by action taken by the stockholders of the corporation.</w:t>
      </w:r>
    </w:p>
    <w:p>
      <w:pPr>
        <w:sectPr>
          <w:pgSz w:w="11900" w:h="16838" w:orient="portrait"/>
          <w:cols w:equalWidth="0" w:num="1">
            <w:col w:w="10900"/>
          </w:cols>
          <w:pgMar w:left="440" w:top="274" w:right="55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5" w:lineRule="exact"/>
        <w:rPr>
          <w:sz w:val="20"/>
          <w:szCs w:val="20"/>
          <w:color w:val="auto"/>
        </w:rPr>
      </w:pPr>
    </w:p>
    <w:p>
      <w:pPr>
        <w:ind w:right="260" w:firstLine="440"/>
        <w:spacing w:after="0" w:line="261" w:lineRule="auto"/>
        <w:rPr>
          <w:sz w:val="20"/>
          <w:szCs w:val="20"/>
          <w:color w:val="auto"/>
        </w:rPr>
      </w:pPr>
      <w:r>
        <w:rPr>
          <w:rFonts w:ascii="Arial" w:cs="Arial" w:eastAsia="Arial" w:hAnsi="Arial"/>
          <w:sz w:val="18"/>
          <w:szCs w:val="18"/>
          <w:color w:val="auto"/>
        </w:rPr>
        <w:t>THIS AMENDED AND RESTATED INVESTORS’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as of November 20, 2020, by and among </w:t>
      </w:r>
      <w:r>
        <w:rPr>
          <w:rFonts w:ascii="Arial" w:cs="Arial" w:eastAsia="Arial" w:hAnsi="Arial"/>
          <w:sz w:val="18"/>
          <w:szCs w:val="18"/>
          <w:b w:val="1"/>
          <w:bCs w:val="1"/>
          <w:color w:val="auto"/>
        </w:rPr>
        <w:t>A</w:t>
      </w:r>
      <w:r>
        <w:rPr>
          <w:rFonts w:ascii="Arial" w:cs="Arial" w:eastAsia="Arial" w:hAnsi="Arial"/>
          <w:sz w:val="14"/>
          <w:szCs w:val="14"/>
          <w:b w:val="1"/>
          <w:bCs w:val="1"/>
          <w:color w:val="auto"/>
        </w:rPr>
        <w:t>CUMEN</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referred to in this Agreement as an “</w:t>
      </w:r>
      <w:r>
        <w:rPr>
          <w:rFonts w:ascii="Arial" w:cs="Arial" w:eastAsia="Arial" w:hAnsi="Arial"/>
          <w:sz w:val="18"/>
          <w:szCs w:val="18"/>
          <w:b w:val="1"/>
          <w:bCs w:val="1"/>
          <w:color w:val="auto"/>
        </w:rPr>
        <w:t>Investor</w:t>
      </w:r>
      <w:r>
        <w:rPr>
          <w:rFonts w:ascii="Arial" w:cs="Arial" w:eastAsia="Arial" w:hAnsi="Arial"/>
          <w:sz w:val="18"/>
          <w:szCs w:val="18"/>
          <w:color w:val="auto"/>
        </w:rPr>
        <w:t xml:space="preserve">” and any Additional Purchaser (as defined in the Purchase Agreement) that becomes a party to this Agreement in accordance with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hereof.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certain of the Investors (the “</w:t>
      </w:r>
      <w:r>
        <w:rPr>
          <w:rFonts w:ascii="Arial" w:cs="Arial" w:eastAsia="Arial" w:hAnsi="Arial"/>
          <w:sz w:val="18"/>
          <w:szCs w:val="18"/>
          <w:b w:val="1"/>
          <w:bCs w:val="1"/>
          <w:color w:val="auto"/>
        </w:rPr>
        <w:t>Existing Investors</w:t>
      </w:r>
      <w:r>
        <w:rPr>
          <w:rFonts w:ascii="Arial" w:cs="Arial" w:eastAsia="Arial" w:hAnsi="Arial"/>
          <w:sz w:val="18"/>
          <w:szCs w:val="18"/>
          <w:color w:val="auto"/>
        </w:rPr>
        <w:t>”) hold shares of Series A Preferred Stock, Series A-1 Preferred Stock and/or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Stock issued upon conversion thereof and possess registration rights, information rights, rights of first offer, and other rights pursuant to that certain Amended and Restated Investors’ Rights Agreement dated as of October 19, 2018, by and among the Company and such Existing Investors (as amended, the “</w:t>
      </w:r>
      <w:r>
        <w:rPr>
          <w:rFonts w:ascii="Arial" w:cs="Arial" w:eastAsia="Arial" w:hAnsi="Arial"/>
          <w:sz w:val="18"/>
          <w:szCs w:val="18"/>
          <w:b w:val="1"/>
          <w:bCs w:val="1"/>
          <w:color w:val="auto"/>
        </w:rPr>
        <w:t>Prior Agreement</w:t>
      </w:r>
      <w:r>
        <w:rPr>
          <w:rFonts w:ascii="Arial" w:cs="Arial" w:eastAsia="Arial" w:hAnsi="Arial"/>
          <w:sz w:val="18"/>
          <w:szCs w:val="18"/>
          <w:color w:val="auto"/>
        </w:rPr>
        <w:t>”); and</w:t>
      </w:r>
    </w:p>
    <w:p>
      <w:pPr>
        <w:spacing w:after="0" w:line="180" w:lineRule="exact"/>
        <w:rPr>
          <w:sz w:val="20"/>
          <w:szCs w:val="20"/>
          <w:color w:val="auto"/>
        </w:rPr>
      </w:pPr>
    </w:p>
    <w:p>
      <w:pPr>
        <w:ind w:right="100" w:firstLine="440"/>
        <w:spacing w:after="0" w:line="347"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HEREAS</w:t>
      </w:r>
      <w:r>
        <w:rPr>
          <w:rFonts w:ascii="Arial" w:cs="Arial" w:eastAsia="Arial" w:hAnsi="Arial"/>
          <w:sz w:val="16"/>
          <w:szCs w:val="16"/>
          <w:color w:val="auto"/>
        </w:rPr>
        <w:t>, the Existing Investors are holders of a majority of the Registrable Securities (as defined in the Prior Agreement), and desire to amend</w:t>
      </w:r>
      <w:r>
        <w:rPr>
          <w:rFonts w:ascii="Arial" w:cs="Arial" w:eastAsia="Arial" w:hAnsi="Arial"/>
          <w:sz w:val="16"/>
          <w:szCs w:val="16"/>
          <w:b w:val="1"/>
          <w:bCs w:val="1"/>
          <w:color w:val="auto"/>
        </w:rPr>
        <w:t xml:space="preserve"> </w:t>
      </w:r>
      <w:r>
        <w:rPr>
          <w:rFonts w:ascii="Arial" w:cs="Arial" w:eastAsia="Arial" w:hAnsi="Arial"/>
          <w:sz w:val="16"/>
          <w:szCs w:val="16"/>
          <w:color w:val="auto"/>
        </w:rPr>
        <w:t>and restate the Prior Agreement in its entirety and to accept the rights created pursuant to this Agreement in lieu of the rights granted to them</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Prior Agreement; and</w:t>
      </w:r>
    </w:p>
    <w:p>
      <w:pPr>
        <w:spacing w:after="0" w:line="221"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certain of the Investors are parties to that certain Series B Preferred Stock Purchase Agreement of even date herewith by and among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such Investors (the “</w:t>
      </w:r>
      <w:r>
        <w:rPr>
          <w:rFonts w:ascii="Arial" w:cs="Arial" w:eastAsia="Arial" w:hAnsi="Arial"/>
          <w:sz w:val="18"/>
          <w:szCs w:val="18"/>
          <w:b w:val="1"/>
          <w:bCs w:val="1"/>
          <w:color w:val="auto"/>
        </w:rPr>
        <w:t>Purchase Agreement</w:t>
      </w:r>
      <w:r>
        <w:rPr>
          <w:rFonts w:ascii="Arial" w:cs="Arial" w:eastAsia="Arial" w:hAnsi="Arial"/>
          <w:sz w:val="18"/>
          <w:szCs w:val="18"/>
          <w:color w:val="auto"/>
        </w:rPr>
        <w:t>”), under which certain of the Company’s and such Investors’ obligations are conditioned upon the execution and delivery of this Agreement by such Investors, Existing Investors holding at least a majority of the Registrable Securities, and the Company;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color w:val="auto"/>
        </w:rPr>
        <w: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HEREFORE</w:t>
      </w:r>
      <w:r>
        <w:rPr>
          <w:rFonts w:ascii="Arial" w:cs="Arial" w:eastAsia="Arial" w:hAnsi="Arial"/>
          <w:sz w:val="18"/>
          <w:szCs w:val="18"/>
          <w:color w:val="auto"/>
        </w:rPr>
        <w:t>, the Existing Investors hereby agree that the Prior Agreement is hereby amended and restated in its entirety by this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Agreement, and the parties to this Agreement further agree as follows:</w:t>
      </w:r>
    </w:p>
    <w:p>
      <w:pPr>
        <w:spacing w:after="0" w:line="319"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Agreement:</w:t>
      </w:r>
    </w:p>
    <w:p>
      <w:pPr>
        <w:spacing w:after="0" w:line="113" w:lineRule="exact"/>
        <w:rPr>
          <w:sz w:val="20"/>
          <w:szCs w:val="20"/>
          <w:color w:val="auto"/>
        </w:rPr>
      </w:pPr>
    </w:p>
    <w:p>
      <w:pPr>
        <w:ind w:right="80" w:firstLine="991"/>
        <w:spacing w:after="0" w:line="258"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limited partner, managing member, officer, director or trustee of such Person, or any investment fund (including, without limitation, any venture capital fund) or registered investment company now or hereafter existing that is controlled by one or more general partners, managing members or investment advisers of, or shares the same management company or investment adviser with, such Person.</w:t>
      </w:r>
    </w:p>
    <w:p>
      <w:pPr>
        <w:spacing w:after="0" w:line="183"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right="520" w:firstLine="991"/>
        <w:spacing w:after="0" w:line="282"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Company’s Amended and Restated Certificate of Incorporation, as amended and/or restated from time to time.</w:t>
      </w:r>
    </w:p>
    <w:p>
      <w:pPr>
        <w:spacing w:after="0" w:line="162"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shares of the Company’s common stock, par value $0.0001 per share.</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59" w:name="page260"/>
    <w:bookmarkEnd w:id="259"/>
    <w:p>
      <w:pPr>
        <w:ind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 “</w:t>
      </w:r>
      <w:r>
        <w:rPr>
          <w:rFonts w:ascii="Arial" w:cs="Arial" w:eastAsia="Arial" w:hAnsi="Arial"/>
          <w:sz w:val="17"/>
          <w:szCs w:val="17"/>
          <w:b w:val="1"/>
          <w:bCs w:val="1"/>
          <w:color w:val="auto"/>
        </w:rPr>
        <w:t>Damages</w:t>
      </w:r>
      <w:r>
        <w:rPr>
          <w:rFonts w:ascii="Arial" w:cs="Arial" w:eastAsia="Arial" w:hAnsi="Arial"/>
          <w:sz w:val="17"/>
          <w:szCs w:val="17"/>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2" w:lineRule="exact"/>
        <w:rPr>
          <w:sz w:val="20"/>
          <w:szCs w:val="20"/>
          <w:color w:val="auto"/>
        </w:rPr>
      </w:pPr>
    </w:p>
    <w:p>
      <w:pPr>
        <w:ind w:right="120" w:firstLine="991"/>
        <w:spacing w:after="0" w:line="282"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w:t>
      </w:r>
      <w:r>
        <w:rPr>
          <w:rFonts w:ascii="Arial" w:cs="Arial" w:eastAsia="Arial" w:hAnsi="Arial"/>
          <w:sz w:val="18"/>
          <w:szCs w:val="18"/>
          <w:b w:val="1"/>
          <w:bCs w:val="1"/>
          <w:color w:val="auto"/>
        </w:rPr>
        <w:t>,</w:t>
      </w:r>
      <w:r>
        <w:rPr>
          <w:rFonts w:ascii="Arial" w:cs="Arial" w:eastAsia="Arial" w:hAnsi="Arial"/>
          <w:sz w:val="18"/>
          <w:szCs w:val="18"/>
          <w:color w:val="auto"/>
        </w:rPr>
        <w:t xml:space="preserve"> Common Stock, including options and warrants.</w:t>
      </w:r>
    </w:p>
    <w:p>
      <w:pPr>
        <w:spacing w:after="0" w:line="162"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25"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83" w:lineRule="exact"/>
        <w:rPr>
          <w:sz w:val="20"/>
          <w:szCs w:val="20"/>
          <w:color w:val="auto"/>
        </w:rPr>
      </w:pPr>
    </w:p>
    <w:p>
      <w:pPr>
        <w:ind w:right="280" w:firstLine="991"/>
        <w:spacing w:after="0" w:line="282"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ind w:right="180" w:firstLine="991"/>
        <w:spacing w:after="0" w:line="266"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forward incorporation of substantial information by reference to other documents filed by the Company with the SEC.</w:t>
      </w:r>
    </w:p>
    <w:p>
      <w:pPr>
        <w:spacing w:after="0" w:line="176"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the United States as in effect from time to time.</w:t>
      </w:r>
    </w:p>
    <w:p>
      <w:pPr>
        <w:spacing w:after="0" w:line="22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means any holder of Registrable Securities who is a party to this Agreement.</w:t>
      </w:r>
    </w:p>
    <w:p>
      <w:pPr>
        <w:spacing w:after="0" w:line="225" w:lineRule="exact"/>
        <w:rPr>
          <w:sz w:val="20"/>
          <w:szCs w:val="20"/>
          <w:color w:val="auto"/>
        </w:rPr>
      </w:pPr>
    </w:p>
    <w:p>
      <w:pPr>
        <w:ind w:right="80" w:firstLine="991"/>
        <w:spacing w:after="0" w:line="266"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Immediate Family Member</w:t>
      </w:r>
      <w:r>
        <w:rPr>
          <w:rFonts w:ascii="Arial" w:cs="Arial" w:eastAsia="Arial" w:hAnsi="Arial"/>
          <w:sz w:val="18"/>
          <w:szCs w:val="18"/>
          <w:color w:val="auto"/>
        </w:rPr>
        <w:t>” means a child, stepchild, grandchild, parent, stepparent, grandparent, spouse, life partner or similar statutorily-recognized domestic partner, sibling, mother-in-law, father-in-law, son-in-law, daughter-in-law, brother-in-law, or sister-in-law, including, adoptive relationships, of a natural person referred to herein.</w:t>
      </w:r>
    </w:p>
    <w:p>
      <w:pPr>
        <w:spacing w:after="0" w:line="176"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Initiating Holders</w:t>
      </w:r>
      <w:r>
        <w:rPr>
          <w:rFonts w:ascii="Arial" w:cs="Arial" w:eastAsia="Arial" w:hAnsi="Arial"/>
          <w:sz w:val="16"/>
          <w:szCs w:val="16"/>
          <w:color w:val="auto"/>
        </w:rPr>
        <w:t>” means, collectively, Holders who properly initiate a registration request under this Agreement.</w:t>
      </w:r>
    </w:p>
    <w:p>
      <w:pPr>
        <w:spacing w:after="0" w:line="22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the Company’s first underwritten public offering of its Common Stock under the Securities Act.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60" w:name="page261"/>
    <w:bookmarkEnd w:id="260"/>
    <w:p>
      <w:pPr>
        <w:ind w:right="120" w:firstLine="99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1.16 “</w:t>
      </w:r>
      <w:r>
        <w:rPr>
          <w:rFonts w:ascii="Arial" w:cs="Arial" w:eastAsia="Arial" w:hAnsi="Arial"/>
          <w:sz w:val="18"/>
          <w:szCs w:val="18"/>
          <w:b w:val="1"/>
          <w:bCs w:val="1"/>
          <w:color w:val="auto"/>
        </w:rPr>
        <w:t>Key Employee</w:t>
      </w:r>
      <w:r>
        <w:rPr>
          <w:rFonts w:ascii="Arial" w:cs="Arial" w:eastAsia="Arial" w:hAnsi="Arial"/>
          <w:sz w:val="18"/>
          <w:szCs w:val="18"/>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76" w:lineRule="exact"/>
        <w:rPr>
          <w:sz w:val="20"/>
          <w:szCs w:val="20"/>
          <w:color w:val="auto"/>
        </w:rPr>
      </w:pPr>
    </w:p>
    <w:p>
      <w:pPr>
        <w:ind w:right="240" w:firstLine="991"/>
        <w:spacing w:after="0" w:line="289"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b w:val="1"/>
          <w:bCs w:val="1"/>
          <w:color w:val="auto"/>
        </w:rPr>
        <w:t>Major Investor</w:t>
      </w:r>
      <w:r>
        <w:rPr>
          <w:rFonts w:ascii="Arial" w:cs="Arial" w:eastAsia="Arial" w:hAnsi="Arial"/>
          <w:sz w:val="17"/>
          <w:szCs w:val="17"/>
          <w:color w:val="auto"/>
        </w:rPr>
        <w:t>” means (i) any Investor that, individually or together with such Investor’s Affiliates, holds at least 1,333,333 shares of Registrable Securities (as adjusted for any stock split, stock dividend, combination, or other recapitalization or reclassification effected after the date hereof) and (ii) Blackwell Partners LLC (“</w:t>
      </w:r>
      <w:r>
        <w:rPr>
          <w:rFonts w:ascii="Arial" w:cs="Arial" w:eastAsia="Arial" w:hAnsi="Arial"/>
          <w:sz w:val="17"/>
          <w:szCs w:val="17"/>
          <w:b w:val="1"/>
          <w:bCs w:val="1"/>
          <w:color w:val="auto"/>
        </w:rPr>
        <w:t>Blackwell</w:t>
      </w:r>
      <w:r>
        <w:rPr>
          <w:rFonts w:ascii="Arial" w:cs="Arial" w:eastAsia="Arial" w:hAnsi="Arial"/>
          <w:sz w:val="17"/>
          <w:szCs w:val="17"/>
          <w:color w:val="auto"/>
        </w:rPr>
        <w:t>”) for so long as it holds shares of Registrable Securities.</w:t>
      </w:r>
    </w:p>
    <w:p>
      <w:pPr>
        <w:spacing w:after="0" w:line="158"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6"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225" w:lineRule="exact"/>
        <w:rPr>
          <w:sz w:val="20"/>
          <w:szCs w:val="20"/>
          <w:color w:val="auto"/>
        </w:rPr>
      </w:pPr>
    </w:p>
    <w:p>
      <w:pPr>
        <w:ind w:right="140" w:firstLine="991"/>
        <w:spacing w:after="0" w:line="282"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Preferred Director</w:t>
      </w:r>
      <w:r>
        <w:rPr>
          <w:rFonts w:ascii="Arial" w:cs="Arial" w:eastAsia="Arial" w:hAnsi="Arial"/>
          <w:sz w:val="18"/>
          <w:szCs w:val="18"/>
          <w:color w:val="auto"/>
        </w:rPr>
        <w:t>” means any director of the Company that the holders of record of a class, classes or series of Preferred Stock are entitled to elect, exclusively and as a separate class, pursuant to the Certificate of Incorporation.</w:t>
      </w:r>
    </w:p>
    <w:p>
      <w:pPr>
        <w:spacing w:after="0" w:line="162" w:lineRule="exact"/>
        <w:rPr>
          <w:sz w:val="20"/>
          <w:szCs w:val="20"/>
          <w:color w:val="auto"/>
        </w:rPr>
      </w:pPr>
    </w:p>
    <w:p>
      <w:pPr>
        <w:ind w:right="380" w:firstLine="991"/>
        <w:spacing w:after="0" w:line="282"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Preferred Stock</w:t>
      </w:r>
      <w:r>
        <w:rPr>
          <w:rFonts w:ascii="Arial" w:cs="Arial" w:eastAsia="Arial" w:hAnsi="Arial"/>
          <w:sz w:val="18"/>
          <w:szCs w:val="18"/>
          <w:color w:val="auto"/>
        </w:rPr>
        <w:t>” means, collectively, shares of the Series A Preferred Stock, the Series A-1 Preferred Stock and the Series B Preferred Stock.</w:t>
      </w:r>
    </w:p>
    <w:p>
      <w:pPr>
        <w:spacing w:after="0" w:line="162"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RA Capital</w:t>
      </w:r>
      <w:r>
        <w:rPr>
          <w:rFonts w:ascii="Arial" w:cs="Arial" w:eastAsia="Arial" w:hAnsi="Arial"/>
          <w:sz w:val="16"/>
          <w:szCs w:val="16"/>
          <w:color w:val="auto"/>
        </w:rPr>
        <w:t>” means RA Capital Healthcare Fund, L.P, RA Capital Nexus Fund II, L.P. and their respective Affiliates.</w:t>
      </w:r>
    </w:p>
    <w:p>
      <w:pPr>
        <w:spacing w:after="0" w:line="225"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1.23 “</w:t>
      </w:r>
      <w:r>
        <w:rPr>
          <w:rFonts w:ascii="Arial" w:cs="Arial" w:eastAsia="Arial" w:hAnsi="Arial"/>
          <w:sz w:val="17"/>
          <w:szCs w:val="17"/>
          <w:b w:val="1"/>
          <w:bCs w:val="1"/>
          <w:color w:val="auto"/>
        </w:rPr>
        <w:t>Registrable Securities</w:t>
      </w:r>
      <w:r>
        <w:rPr>
          <w:rFonts w:ascii="Arial" w:cs="Arial" w:eastAsia="Arial" w:hAnsi="Arial"/>
          <w:sz w:val="17"/>
          <w:szCs w:val="17"/>
          <w:color w:val="auto"/>
        </w:rPr>
        <w:t xml:space="preserve">” means (i) the Common Stock issuable or issued upon conversion of the Preferred Stock, excluding any Common Stock issued upon conversion of the Series B Preferred Stock pursuant to the “Special Mandatory Conversion” provisions of the Certificate of Incorporation; (ii) any Common Stock, or any Common Stock issued or issuable (directly or indirectly) upon conversion and/or exercise of any other securities of the Company, 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above; excluding in all cases, however, any Registrable Securities sold by a Person in a transaction in which the applicable rights under this Agreement are not assigned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excluding for purposes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any shares for which registration rights have terminated pursuant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of this Agreement.</w:t>
      </w:r>
    </w:p>
    <w:p>
      <w:pPr>
        <w:spacing w:after="0" w:line="172" w:lineRule="exact"/>
        <w:rPr>
          <w:sz w:val="20"/>
          <w:szCs w:val="20"/>
          <w:color w:val="auto"/>
        </w:rPr>
      </w:pPr>
    </w:p>
    <w:p>
      <w:pPr>
        <w:jc w:val="both"/>
        <w:ind w:right="40" w:firstLine="991"/>
        <w:spacing w:after="0" w:line="266"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76"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Restricted Securities</w:t>
      </w:r>
      <w:r>
        <w:rPr>
          <w:rFonts w:ascii="Arial" w:cs="Arial" w:eastAsia="Arial" w:hAnsi="Arial"/>
          <w:sz w:val="16"/>
          <w:szCs w:val="16"/>
          <w:color w:val="auto"/>
        </w:rPr>
        <w:t xml:space="preserve">” means the securities of the Company required to be notated with the legend set forth in </w:t>
      </w:r>
      <w:r>
        <w:rPr>
          <w:rFonts w:ascii="Arial" w:cs="Arial" w:eastAsia="Arial" w:hAnsi="Arial"/>
          <w:sz w:val="16"/>
          <w:szCs w:val="16"/>
          <w:u w:val="single" w:color="auto"/>
          <w:color w:val="auto"/>
        </w:rPr>
        <w:t>Section 2.12(b)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Sands Capital”</w:t>
      </w:r>
      <w:r>
        <w:rPr>
          <w:rFonts w:ascii="Arial" w:cs="Arial" w:eastAsia="Arial" w:hAnsi="Arial"/>
          <w:sz w:val="18"/>
          <w:szCs w:val="18"/>
          <w:color w:val="auto"/>
        </w:rPr>
        <w:t xml:space="preserve"> means Sands Capital Ventures Discovery Fund III, L.P., Sands Capital Global Venture Fund II, L.P., Sands Capital Life Sciences Pulse Fund, LLC and/or their respective Affiliates.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261" w:name="page262"/>
    <w:bookmarkEnd w:id="261"/>
    <w:p>
      <w:pPr>
        <w:ind w:left="984"/>
        <w:spacing w:after="0"/>
        <w:tabs>
          <w:tab w:leader="none" w:pos="14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Securities and Exchange Commission.</w:t>
      </w:r>
    </w:p>
    <w:p>
      <w:pPr>
        <w:spacing w:after="0" w:line="225" w:lineRule="exact"/>
        <w:rPr>
          <w:sz w:val="20"/>
          <w:szCs w:val="20"/>
          <w:color w:val="auto"/>
        </w:rPr>
      </w:pPr>
    </w:p>
    <w:p>
      <w:pPr>
        <w:ind w:left="984"/>
        <w:spacing w:after="0"/>
        <w:tabs>
          <w:tab w:leader="none" w:pos="1464"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144</w:t>
      </w:r>
      <w:r>
        <w:rPr>
          <w:rFonts w:ascii="Arial" w:cs="Arial" w:eastAsia="Arial" w:hAnsi="Arial"/>
          <w:sz w:val="16"/>
          <w:szCs w:val="16"/>
          <w:color w:val="auto"/>
        </w:rPr>
        <w:t>” means Rule 144 promulgated by the SEC under the Securities Act.</w:t>
      </w:r>
    </w:p>
    <w:p>
      <w:pPr>
        <w:spacing w:after="0" w:line="225" w:lineRule="exact"/>
        <w:rPr>
          <w:sz w:val="20"/>
          <w:szCs w:val="20"/>
          <w:color w:val="auto"/>
        </w:rPr>
      </w:pPr>
    </w:p>
    <w:p>
      <w:pPr>
        <w:ind w:left="984"/>
        <w:spacing w:after="0"/>
        <w:tabs>
          <w:tab w:leader="none" w:pos="1464"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145</w:t>
      </w:r>
      <w:r>
        <w:rPr>
          <w:rFonts w:ascii="Arial" w:cs="Arial" w:eastAsia="Arial" w:hAnsi="Arial"/>
          <w:sz w:val="16"/>
          <w:szCs w:val="16"/>
          <w:color w:val="auto"/>
        </w:rPr>
        <w:t>” means Rule 145 promulgated by the SEC under the Securities Act.</w:t>
      </w:r>
    </w:p>
    <w:p>
      <w:pPr>
        <w:spacing w:after="0" w:line="225" w:lineRule="exact"/>
        <w:rPr>
          <w:sz w:val="20"/>
          <w:szCs w:val="20"/>
          <w:color w:val="auto"/>
        </w:rPr>
      </w:pPr>
    </w:p>
    <w:p>
      <w:pPr>
        <w:ind w:left="984"/>
        <w:spacing w:after="0"/>
        <w:tabs>
          <w:tab w:leader="none" w:pos="1464"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225" w:lineRule="exact"/>
        <w:rPr>
          <w:sz w:val="20"/>
          <w:szCs w:val="20"/>
          <w:color w:val="auto"/>
        </w:rPr>
      </w:pPr>
    </w:p>
    <w:p>
      <w:pPr>
        <w:ind w:left="4" w:right="20" w:firstLine="991"/>
        <w:spacing w:after="0" w:line="266"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76" w:lineRule="exact"/>
        <w:rPr>
          <w:sz w:val="20"/>
          <w:szCs w:val="20"/>
          <w:color w:val="auto"/>
        </w:rPr>
      </w:pPr>
    </w:p>
    <w:p>
      <w:pPr>
        <w:ind w:left="984"/>
        <w:spacing w:after="0"/>
        <w:tabs>
          <w:tab w:leader="none" w:pos="1464"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A Preferred Stock</w:t>
      </w:r>
      <w:r>
        <w:rPr>
          <w:rFonts w:ascii="Arial" w:cs="Arial" w:eastAsia="Arial" w:hAnsi="Arial"/>
          <w:sz w:val="16"/>
          <w:szCs w:val="16"/>
          <w:color w:val="auto"/>
        </w:rPr>
        <w:t>” means shares of the Company’s Series A Preferred Stock, par value $0.0001 per share.</w:t>
      </w:r>
    </w:p>
    <w:p>
      <w:pPr>
        <w:spacing w:after="0" w:line="225" w:lineRule="exact"/>
        <w:rPr>
          <w:sz w:val="20"/>
          <w:szCs w:val="20"/>
          <w:color w:val="auto"/>
        </w:rPr>
      </w:pPr>
    </w:p>
    <w:p>
      <w:pPr>
        <w:ind w:left="984"/>
        <w:spacing w:after="0"/>
        <w:tabs>
          <w:tab w:leader="none" w:pos="1464"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A-1 Preferred Stock</w:t>
      </w:r>
      <w:r>
        <w:rPr>
          <w:rFonts w:ascii="Arial" w:cs="Arial" w:eastAsia="Arial" w:hAnsi="Arial"/>
          <w:sz w:val="16"/>
          <w:szCs w:val="16"/>
          <w:color w:val="auto"/>
        </w:rPr>
        <w:t>” means shares of the Company’s Series A-1 Preferred Stock, par value $0.0001 per share.</w:t>
      </w:r>
    </w:p>
    <w:p>
      <w:pPr>
        <w:spacing w:after="0" w:line="225" w:lineRule="exact"/>
        <w:rPr>
          <w:sz w:val="20"/>
          <w:szCs w:val="20"/>
          <w:color w:val="auto"/>
        </w:rPr>
      </w:pPr>
    </w:p>
    <w:p>
      <w:pPr>
        <w:ind w:left="984"/>
        <w:spacing w:after="0"/>
        <w:tabs>
          <w:tab w:leader="none" w:pos="1464"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B Preferred Stock</w:t>
      </w:r>
      <w:r>
        <w:rPr>
          <w:rFonts w:ascii="Arial" w:cs="Arial" w:eastAsia="Arial" w:hAnsi="Arial"/>
          <w:sz w:val="16"/>
          <w:szCs w:val="16"/>
          <w:color w:val="auto"/>
        </w:rPr>
        <w:t>” means shares of the Company’s Series B Preferred Stock, par value $0.0001 per share.</w:t>
      </w:r>
    </w:p>
    <w:p>
      <w:pPr>
        <w:spacing w:after="0" w:line="337" w:lineRule="exact"/>
        <w:rPr>
          <w:sz w:val="20"/>
          <w:szCs w:val="20"/>
          <w:color w:val="auto"/>
        </w:rPr>
      </w:pPr>
    </w:p>
    <w:p>
      <w:pPr>
        <w:ind w:left="984" w:right="5320" w:hanging="544"/>
        <w:spacing w:after="0" w:line="375" w:lineRule="auto"/>
        <w:tabs>
          <w:tab w:leader="none" w:pos="748"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covenants and agrees as follows: 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 w:firstLine="1428"/>
        <w:spacing w:after="0" w:line="289" w:lineRule="auto"/>
        <w:tabs>
          <w:tab w:leader="none" w:pos="1816" w:val="left"/>
        </w:tabs>
        <w:numPr>
          <w:ilvl w:val="2"/>
          <w:numId w:val="191"/>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(i) three years after the date of this Agreement or (ii) 180 days after the effective date of the registration statement for the IPO, the Company receives a request from Holders of a majority of the Registrable Securities then outstanding that the Company file a Form S-1 registration statement with respect to all of the Registrable Securities then outstanding held by such Holders covering the registration of Registrable Securities with an anticipated aggregate offering price, net of Selling Expenses, of at least $5 million, then the Company shall (x) within 10 days after the date such request is given, give notice thereof (the “</w:t>
      </w:r>
      <w:r>
        <w:rPr>
          <w:rFonts w:ascii="Arial" w:cs="Arial" w:eastAsia="Arial" w:hAnsi="Arial"/>
          <w:sz w:val="16"/>
          <w:szCs w:val="16"/>
          <w:b w:val="1"/>
          <w:bCs w:val="1"/>
          <w:color w:val="auto"/>
        </w:rPr>
        <w:t>Demand Notice</w:t>
      </w:r>
      <w:r>
        <w:rPr>
          <w:rFonts w:ascii="Arial" w:cs="Arial" w:eastAsia="Arial" w:hAnsi="Arial"/>
          <w:sz w:val="16"/>
          <w:szCs w:val="16"/>
          <w:color w:val="auto"/>
        </w:rPr>
        <w:t xml:space="preserve">”) to all Holders other than the Initiating Holders; and (y) as soon as practicable, and in any event within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20 days of the date the Demand Notice is given, and in each case, subject to the limitations of </w:t>
      </w:r>
      <w:r>
        <w:rPr>
          <w:rFonts w:ascii="Arial" w:cs="Arial" w:eastAsia="Arial" w:hAnsi="Arial"/>
          <w:sz w:val="16"/>
          <w:szCs w:val="16"/>
          <w:u w:val="single" w:color="auto"/>
          <w:color w:val="auto"/>
        </w:rPr>
        <w:t>Sections 2.1(c)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w:t>
      </w:r>
    </w:p>
    <w:p>
      <w:pPr>
        <w:spacing w:after="0" w:line="166" w:lineRule="exact"/>
        <w:rPr>
          <w:rFonts w:ascii="Arial" w:cs="Arial" w:eastAsia="Arial" w:hAnsi="Arial"/>
          <w:sz w:val="16"/>
          <w:szCs w:val="16"/>
          <w:color w:val="auto"/>
        </w:rPr>
      </w:pPr>
    </w:p>
    <w:p>
      <w:pPr>
        <w:ind w:left="4" w:right="140" w:firstLine="1428"/>
        <w:spacing w:after="0" w:line="286" w:lineRule="auto"/>
        <w:tabs>
          <w:tab w:leader="none" w:pos="1826" w:val="left"/>
        </w:tabs>
        <w:numPr>
          <w:ilvl w:val="2"/>
          <w:numId w:val="191"/>
        </w:numPr>
        <w:rPr>
          <w:rFonts w:ascii="Arial" w:cs="Arial" w:eastAsia="Arial" w:hAnsi="Arial"/>
          <w:sz w:val="16"/>
          <w:szCs w:val="16"/>
          <w:color w:val="auto"/>
        </w:rPr>
      </w:pPr>
      <w:r>
        <w:rPr>
          <w:rFonts w:ascii="Arial" w:cs="Arial" w:eastAsia="Arial" w:hAnsi="Arial"/>
          <w:sz w:val="16"/>
          <w:szCs w:val="16"/>
          <w:u w:val="single" w:color="auto"/>
          <w:color w:val="auto"/>
        </w:rPr>
        <w:t>Form S-3 Demand</w:t>
      </w:r>
      <w:r>
        <w:rPr>
          <w:rFonts w:ascii="Arial" w:cs="Arial" w:eastAsia="Arial" w:hAnsi="Arial"/>
          <w:sz w:val="16"/>
          <w:szCs w:val="16"/>
          <w:color w:val="auto"/>
        </w:rPr>
        <w:t>. If at any time when it is eligible to use a Form S-3 registration statement, the Company receives a request from Holders of at least 30% of the Registrable Securities then outstanding that the Company file a Form S-3 registration statement with respect to outstanding Registrable Securities of such Holders having an anticipated aggregate offering price, net of Selling Expenses, of at least $5 million, then the Company shall (i) within 10 days after the date such request is given, give a Demand Notice to all Holders other than the Initiating Holders; and</w:t>
      </w:r>
    </w:p>
    <w:p>
      <w:pPr>
        <w:spacing w:after="0" w:line="1" w:lineRule="exact"/>
        <w:rPr>
          <w:rFonts w:ascii="Arial" w:cs="Arial" w:eastAsia="Arial" w:hAnsi="Arial"/>
          <w:sz w:val="16"/>
          <w:szCs w:val="16"/>
          <w:color w:val="auto"/>
        </w:rPr>
      </w:pPr>
    </w:p>
    <w:p>
      <w:pPr>
        <w:ind w:left="4" w:right="380" w:hanging="4"/>
        <w:spacing w:after="0" w:line="260" w:lineRule="auto"/>
        <w:tabs>
          <w:tab w:leader="none" w:pos="26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as soon as practicable, and in any event within 45 days after the date such request is given by the Initiating Holders, file a Form S-3 registration statement under the Securities Act covering all Registrable Securities requested</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262" w:name="page263"/>
    <w:bookmarkEnd w:id="26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be included in such registration by any other Holders, as specified by notice given by each such Holder to the Company within 20 days of the date the Demand Notice is given, and in each case, subject to the limitations of </w:t>
      </w:r>
      <w:r>
        <w:rPr>
          <w:rFonts w:ascii="Arial" w:cs="Arial" w:eastAsia="Arial" w:hAnsi="Arial"/>
          <w:sz w:val="18"/>
          <w:szCs w:val="18"/>
          <w:u w:val="single" w:color="auto"/>
          <w:color w:val="auto"/>
        </w:rPr>
        <w:t>Sections 2.1(c)</w:t>
      </w:r>
      <w:r>
        <w:rPr>
          <w:rFonts w:ascii="Arial" w:cs="Arial" w:eastAsia="Arial" w:hAnsi="Arial"/>
          <w:sz w:val="18"/>
          <w:szCs w:val="18"/>
          <w:color w:val="auto"/>
        </w:rPr>
        <w:t xml:space="preserve"> and 2.3.</w:t>
      </w:r>
    </w:p>
    <w:p>
      <w:pPr>
        <w:spacing w:after="0" w:line="170" w:lineRule="exact"/>
        <w:rPr>
          <w:sz w:val="20"/>
          <w:szCs w:val="20"/>
          <w:color w:val="auto"/>
        </w:rPr>
      </w:pPr>
    </w:p>
    <w:p>
      <w:pPr>
        <w:ind w:right="140" w:firstLine="1428"/>
        <w:spacing w:after="0" w:line="271" w:lineRule="auto"/>
        <w:tabs>
          <w:tab w:leader="none" w:pos="1812"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Notwithstanding the foregoing obligations, if the Company furnishes to Holders requesting a registration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 certificate signed by the Company’s chief executive officer stating that in the good faith judgment of the Board of Directors it would be materially detrimental to the Company and its stockholders for such registration statement to either become effective or remain effective for as long as such registration statement otherwise would be required to remain effective, because it would be materially detrimental to the Company and its stockholders for such registration statement to be filed and it is therefore necessary to defer the filing of such registration statement, then the Company shall have the right to defer taking action with respect to such filing, and any time periods with respect to filing or effectiveness thereof shall be tolled correspondingly, for a period of not more than 120 days after the request of the Initiating Holders is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may not invoke this right more than twice in any 12 month period.</w:t>
      </w:r>
    </w:p>
    <w:p>
      <w:pPr>
        <w:spacing w:after="0" w:line="178" w:lineRule="exact"/>
        <w:rPr>
          <w:rFonts w:ascii="Arial" w:cs="Arial" w:eastAsia="Arial" w:hAnsi="Arial"/>
          <w:sz w:val="17"/>
          <w:szCs w:val="17"/>
          <w:color w:val="auto"/>
        </w:rPr>
      </w:pPr>
    </w:p>
    <w:p>
      <w:pPr>
        <w:ind w:firstLine="1428"/>
        <w:spacing w:after="0" w:line="286" w:lineRule="auto"/>
        <w:tabs>
          <w:tab w:leader="none" w:pos="181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The Company shall not be obligated to effect, or to take any action to effect, any registration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(i) during the period that is 60 days before the Company’s good faith estimate of the date of filing of, and ending on a date that is 180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(ii) after the Company has effected two registrations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(i) during the period that is 30 days before the Company’s good faith estimate of the date of filing of, and ending on a date that is 90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within the twelve (12) month period immediately preceding the date of such request. A registration shall not be counted as “effected” for purposes of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in which case such withdrawn registration statement shall be counted as “effected” for purposes of this </w:t>
      </w:r>
      <w:r>
        <w:rPr>
          <w:rFonts w:ascii="Arial" w:cs="Arial" w:eastAsia="Arial" w:hAnsi="Arial"/>
          <w:sz w:val="16"/>
          <w:szCs w:val="16"/>
          <w:u w:val="single" w:color="auto"/>
          <w:color w:val="auto"/>
        </w:rPr>
        <w:t>Section 2.1(d)</w:t>
      </w:r>
      <w:r>
        <w:rPr>
          <w:rFonts w:ascii="Arial" w:cs="Arial" w:eastAsia="Arial" w:hAnsi="Arial"/>
          <w:sz w:val="16"/>
          <w:szCs w:val="16"/>
          <w:color w:val="auto"/>
        </w:rPr>
        <w:t>.</w:t>
      </w:r>
    </w:p>
    <w:p>
      <w:pPr>
        <w:spacing w:after="0" w:line="17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Company Registration</w:t>
      </w:r>
      <w:r>
        <w:rPr>
          <w:rFonts w:ascii="Arial" w:cs="Arial" w:eastAsia="Arial" w:hAnsi="Arial"/>
          <w:sz w:val="17"/>
          <w:szCs w:val="17"/>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20 days after such notice is given by the Company, the Company shall, subject to the provisions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63" w:name="page264"/>
    <w:bookmarkEnd w:id="263"/>
    <w:p>
      <w:pPr>
        <w:ind w:left="98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w:t>
      </w:r>
      <w:r>
        <w:rPr>
          <w:sz w:val="20"/>
          <w:szCs w:val="20"/>
          <w:color w:val="auto"/>
        </w:rPr>
        <w:tab/>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117" w:lineRule="exact"/>
        <w:rPr>
          <w:sz w:val="20"/>
          <w:szCs w:val="20"/>
          <w:color w:val="auto"/>
        </w:rPr>
      </w:pPr>
    </w:p>
    <w:p>
      <w:pPr>
        <w:ind w:firstLine="1428"/>
        <w:spacing w:after="0" w:line="267" w:lineRule="auto"/>
        <w:tabs>
          <w:tab w:leader="none" w:pos="1812"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If,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2.4(e))</w:t>
      </w:r>
      <w:r>
        <w:rPr>
          <w:rFonts w:ascii="Arial" w:cs="Arial" w:eastAsia="Arial" w:hAnsi="Arial"/>
          <w:sz w:val="17"/>
          <w:szCs w:val="17"/>
          <w:color w:val="auto"/>
        </w:rPr>
        <w:t xml:space="preserve"> enter into an underwriting agreement in customary form with the underwriter(s) selected for such underwriting;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Holder (or any of their assignees) shall be required to make any representations, warranties or indemnities except as they relate to Holder’s ownership of shares, and authority to enter into the underwriting agreement and to such Holder’s intended method of distribution, and the liability of such Holder shall be several and not joint, and limited to an amount equal to the net proceeds from the offering received by such Holder. Notwithstanding any other provision of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189" w:lineRule="exact"/>
        <w:rPr>
          <w:rFonts w:ascii="Arial" w:cs="Arial" w:eastAsia="Arial" w:hAnsi="Arial"/>
          <w:sz w:val="17"/>
          <w:szCs w:val="17"/>
          <w:color w:val="auto"/>
        </w:rPr>
      </w:pPr>
    </w:p>
    <w:p>
      <w:pPr>
        <w:ind w:right="20" w:firstLine="1428"/>
        <w:spacing w:after="0" w:line="268" w:lineRule="auto"/>
        <w:tabs>
          <w:tab w:leader="none" w:pos="1822"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In connection with any offering involving an underwriting of shares of the Company’s capital stock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25% of the total number of securities included in such offering, unless such offering is the IPO, in which case the selling Holders may be excluded further if the underwriters make the determination described above and no other stockholder’s securities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64" w:name="page265"/>
    <w:bookmarkEnd w:id="264"/>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are included in such offering. For purposes of the provision in this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61" w:lineRule="exact"/>
        <w:rPr>
          <w:sz w:val="20"/>
          <w:szCs w:val="20"/>
          <w:color w:val="auto"/>
        </w:rPr>
      </w:pPr>
    </w:p>
    <w:p>
      <w:pPr>
        <w:jc w:val="both"/>
        <w:ind w:right="220" w:firstLine="1428"/>
        <w:spacing w:after="0" w:line="263" w:lineRule="auto"/>
        <w:tabs>
          <w:tab w:leader="none" w:pos="181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Section 2.3(a)</w:t>
      </w:r>
      <w:r>
        <w:rPr>
          <w:rFonts w:ascii="Arial" w:cs="Arial" w:eastAsia="Arial" w:hAnsi="Arial"/>
          <w:sz w:val="18"/>
          <w:szCs w:val="18"/>
          <w:color w:val="auto"/>
        </w:rPr>
        <w:t>, fewer than 50% of the total number of Registrable Securities that Holders have requested to be included in such registration statement are actually included.</w:t>
      </w:r>
    </w:p>
    <w:p>
      <w:pPr>
        <w:spacing w:after="0" w:line="184"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w:t>
      </w:r>
      <w:r>
        <w:rPr>
          <w:rFonts w:ascii="Arial" w:cs="Arial" w:eastAsia="Arial" w:hAnsi="Arial"/>
          <w:sz w:val="16"/>
          <w:szCs w:val="16"/>
          <w:u w:val="single" w:color="auto"/>
          <w:color w:val="auto"/>
        </w:rPr>
        <w:t xml:space="preserve"> Section 2 </w:t>
      </w:r>
      <w:r>
        <w:rPr>
          <w:rFonts w:ascii="Arial" w:cs="Arial" w:eastAsia="Arial" w:hAnsi="Arial"/>
          <w:sz w:val="16"/>
          <w:szCs w:val="16"/>
          <w:color w:val="auto"/>
        </w:rPr>
        <w:t>to effect the registration of any Registrable Securities,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211" w:lineRule="exact"/>
        <w:rPr>
          <w:sz w:val="20"/>
          <w:szCs w:val="20"/>
          <w:color w:val="auto"/>
        </w:rPr>
      </w:pPr>
    </w:p>
    <w:p>
      <w:pPr>
        <w:ind w:firstLine="1428"/>
        <w:spacing w:after="0" w:line="255" w:lineRule="auto"/>
        <w:tabs>
          <w:tab w:leader="none" w:pos="181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120 days or, if earlier, until the distribution contemplated in the registration statement has been completed;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120 day period shall be extended for a period of time equal to the period the Holder refrains, at the request of an underwriter of Common Stock (or other securities) of the Company, from selling any securities included in such registration;</w:t>
      </w:r>
    </w:p>
    <w:p>
      <w:pPr>
        <w:spacing w:after="0" w:line="192" w:lineRule="exact"/>
        <w:rPr>
          <w:rFonts w:ascii="Arial" w:cs="Arial" w:eastAsia="Arial" w:hAnsi="Arial"/>
          <w:sz w:val="18"/>
          <w:szCs w:val="18"/>
          <w:color w:val="auto"/>
        </w:rPr>
      </w:pPr>
    </w:p>
    <w:p>
      <w:pPr>
        <w:jc w:val="both"/>
        <w:ind w:right="300" w:firstLine="1428"/>
        <w:spacing w:after="0" w:line="263" w:lineRule="auto"/>
        <w:tabs>
          <w:tab w:leader="none" w:pos="182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3" w:lineRule="exact"/>
        <w:rPr>
          <w:rFonts w:ascii="Arial" w:cs="Arial" w:eastAsia="Arial" w:hAnsi="Arial"/>
          <w:sz w:val="18"/>
          <w:szCs w:val="18"/>
          <w:color w:val="auto"/>
        </w:rPr>
      </w:pPr>
    </w:p>
    <w:p>
      <w:pPr>
        <w:jc w:val="both"/>
        <w:ind w:right="240" w:firstLine="1428"/>
        <w:spacing w:after="0" w:line="342" w:lineRule="auto"/>
        <w:tabs>
          <w:tab w:leader="none" w:pos="1812" w:val="left"/>
        </w:tabs>
        <w:numPr>
          <w:ilvl w:val="0"/>
          <w:numId w:val="196"/>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23" w:lineRule="exact"/>
        <w:rPr>
          <w:rFonts w:ascii="Arial" w:cs="Arial" w:eastAsia="Arial" w:hAnsi="Arial"/>
          <w:sz w:val="16"/>
          <w:szCs w:val="16"/>
          <w:color w:val="auto"/>
        </w:rPr>
      </w:pPr>
    </w:p>
    <w:p>
      <w:pPr>
        <w:ind w:right="80" w:firstLine="1428"/>
        <w:spacing w:after="0" w:line="279" w:lineRule="auto"/>
        <w:tabs>
          <w:tab w:leader="none" w:pos="1822"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1" w:lineRule="exact"/>
        <w:rPr>
          <w:rFonts w:ascii="Arial" w:cs="Arial" w:eastAsia="Arial" w:hAnsi="Arial"/>
          <w:sz w:val="17"/>
          <w:szCs w:val="17"/>
          <w:color w:val="auto"/>
        </w:rPr>
      </w:pPr>
    </w:p>
    <w:p>
      <w:pPr>
        <w:ind w:right="320" w:firstLine="1428"/>
        <w:spacing w:after="0" w:line="277" w:lineRule="auto"/>
        <w:tabs>
          <w:tab w:leader="none" w:pos="181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0" w:lineRule="exact"/>
        <w:rPr>
          <w:rFonts w:ascii="Arial" w:cs="Arial" w:eastAsia="Arial" w:hAnsi="Arial"/>
          <w:sz w:val="18"/>
          <w:szCs w:val="18"/>
          <w:color w:val="auto"/>
        </w:rPr>
      </w:pPr>
    </w:p>
    <w:p>
      <w:pPr>
        <w:ind w:right="60" w:firstLine="1428"/>
        <w:spacing w:after="0" w:line="263" w:lineRule="auto"/>
        <w:tabs>
          <w:tab w:leader="none" w:pos="179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65" w:name="page266"/>
    <w:bookmarkEnd w:id="265"/>
    <w:p>
      <w:pPr>
        <w:ind w:right="40" w:firstLine="1428"/>
        <w:spacing w:after="0" w:line="277" w:lineRule="auto"/>
        <w:tabs>
          <w:tab w:leader="none" w:pos="1822" w:val="left"/>
        </w:tabs>
        <w:numPr>
          <w:ilvl w:val="0"/>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right="80" w:firstLine="1428"/>
        <w:spacing w:after="0" w:line="255" w:lineRule="auto"/>
        <w:tabs>
          <w:tab w:leader="none" w:pos="182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2" w:lineRule="exact"/>
        <w:rPr>
          <w:rFonts w:ascii="Arial" w:cs="Arial" w:eastAsia="Arial" w:hAnsi="Arial"/>
          <w:sz w:val="18"/>
          <w:szCs w:val="18"/>
          <w:color w:val="auto"/>
        </w:rPr>
      </w:pPr>
    </w:p>
    <w:p>
      <w:pPr>
        <w:ind w:right="220" w:firstLine="1428"/>
        <w:spacing w:after="0" w:line="308" w:lineRule="auto"/>
        <w:tabs>
          <w:tab w:leader="none" w:pos="1782" w:val="left"/>
        </w:tabs>
        <w:numPr>
          <w:ilvl w:val="0"/>
          <w:numId w:val="197"/>
        </w:numPr>
        <w:rPr>
          <w:rFonts w:ascii="Arial" w:cs="Arial" w:eastAsia="Arial" w:hAnsi="Arial"/>
          <w:sz w:val="17"/>
          <w:szCs w:val="17"/>
          <w:color w:val="auto"/>
        </w:rPr>
      </w:pPr>
      <w:r>
        <w:rPr>
          <w:rFonts w:ascii="Arial" w:cs="Arial" w:eastAsia="Arial" w:hAnsi="Arial"/>
          <w:sz w:val="17"/>
          <w:szCs w:val="17"/>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46" w:lineRule="exact"/>
        <w:rPr>
          <w:rFonts w:ascii="Arial" w:cs="Arial" w:eastAsia="Arial" w:hAnsi="Arial"/>
          <w:sz w:val="17"/>
          <w:szCs w:val="17"/>
          <w:color w:val="auto"/>
        </w:rPr>
      </w:pPr>
    </w:p>
    <w:p>
      <w:pPr>
        <w:ind w:right="300" w:firstLine="1428"/>
        <w:spacing w:after="0" w:line="277" w:lineRule="auto"/>
        <w:tabs>
          <w:tab w:leader="none" w:pos="178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7" w:lineRule="exact"/>
        <w:rPr>
          <w:sz w:val="20"/>
          <w:szCs w:val="20"/>
          <w:color w:val="auto"/>
        </w:rPr>
      </w:pPr>
    </w:p>
    <w:p>
      <w:pPr>
        <w:ind w:right="40" w:firstLine="991"/>
        <w:spacing w:after="0" w:line="288"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xml:space="preserve">. All expenses (other than Selling Expenses) incurred in connection with registrations, filings, or qualifications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including all registration, filing, and qualification fees; printers’ and accounting fees; fees and disbursements of counsel for the Company; and the reasonable fees and disbursements, not to exceed $50,000, of one counsel for the selling Holders (“</w:t>
      </w:r>
      <w:r>
        <w:rPr>
          <w:rFonts w:ascii="Arial" w:cs="Arial" w:eastAsia="Arial" w:hAnsi="Arial"/>
          <w:sz w:val="16"/>
          <w:szCs w:val="16"/>
          <w:b w:val="1"/>
          <w:bCs w:val="1"/>
          <w:color w:val="auto"/>
        </w:rPr>
        <w:t>Selling Holder</w:t>
      </w:r>
      <w:r>
        <w:rPr>
          <w:rFonts w:ascii="Arial" w:cs="Arial" w:eastAsia="Arial" w:hAnsi="Arial"/>
          <w:sz w:val="16"/>
          <w:szCs w:val="16"/>
          <w:color w:val="auto"/>
        </w:rPr>
        <w:t xml:space="preserve"> </w:t>
      </w:r>
      <w:r>
        <w:rPr>
          <w:rFonts w:ascii="Arial" w:cs="Arial" w:eastAsia="Arial" w:hAnsi="Arial"/>
          <w:sz w:val="16"/>
          <w:szCs w:val="16"/>
          <w:b w:val="1"/>
          <w:bCs w:val="1"/>
          <w:color w:val="auto"/>
        </w:rPr>
        <w:t>Counsel</w:t>
      </w:r>
      <w:r>
        <w:rPr>
          <w:rFonts w:ascii="Arial" w:cs="Arial" w:eastAsia="Arial" w:hAnsi="Arial"/>
          <w:sz w:val="16"/>
          <w:szCs w:val="16"/>
          <w:color w:val="auto"/>
        </w:rPr>
        <w:t>”), shall be borne and paid by the Company;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pay for any expenses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registration proceeding begun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6"/>
          <w:szCs w:val="16"/>
          <w:u w:val="single" w:color="auto"/>
          <w:color w:val="auto"/>
        </w:rPr>
        <w:t>Sections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2.1(b)</w:t>
      </w:r>
      <w:r>
        <w:rPr>
          <w:rFonts w:ascii="Arial" w:cs="Arial" w:eastAsia="Arial" w:hAnsi="Arial"/>
          <w:sz w:val="16"/>
          <w:szCs w:val="16"/>
          <w:color w:val="auto"/>
        </w:rPr>
        <w:t xml:space="preserve">, as the case may be then the Holders shall not be required to pay any of such expenses and shall not forfeit their right to one registration pursuant to </w:t>
      </w:r>
      <w:r>
        <w:rPr>
          <w:rFonts w:ascii="Arial" w:cs="Arial" w:eastAsia="Arial" w:hAnsi="Arial"/>
          <w:sz w:val="16"/>
          <w:szCs w:val="16"/>
          <w:u w:val="single" w:color="auto"/>
          <w:color w:val="auto"/>
        </w:rPr>
        <w:t>Sections 2.1(a)</w:t>
      </w:r>
      <w:r>
        <w:rPr>
          <w:rFonts w:ascii="Arial" w:cs="Arial" w:eastAsia="Arial" w:hAnsi="Arial"/>
          <w:sz w:val="16"/>
          <w:szCs w:val="16"/>
          <w:color w:val="auto"/>
        </w:rPr>
        <w:t xml:space="preserve"> or 2.1(b). All Selling Expenses relating to Registrable Securities registered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borne and paid by the Holders pro rata on the basis of the number of Registrable Securities registered on their behalf.</w:t>
      </w:r>
    </w:p>
    <w:p>
      <w:pPr>
        <w:spacing w:after="0" w:line="168" w:lineRule="exact"/>
        <w:rPr>
          <w:sz w:val="20"/>
          <w:szCs w:val="20"/>
          <w:color w:val="auto"/>
        </w:rPr>
      </w:pPr>
    </w:p>
    <w:p>
      <w:pPr>
        <w:ind w:right="420" w:firstLine="991"/>
        <w:spacing w:after="0" w:line="263"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Delay of Registration</w:t>
      </w:r>
      <w:r>
        <w:rPr>
          <w:rFonts w:ascii="Arial" w:cs="Arial" w:eastAsia="Arial" w:hAnsi="Arial"/>
          <w:sz w:val="18"/>
          <w:szCs w:val="18"/>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4" w:right="519" w:bottom="1440" w:gutter="0" w:footer="0" w:header="0"/>
        </w:sectPr>
      </w:pPr>
    </w:p>
    <w:bookmarkStart w:id="266" w:name="page267"/>
    <w:bookmarkEnd w:id="266"/>
    <w:p>
      <w:pPr>
        <w:ind w:left="98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 under this</w:t>
      </w:r>
      <w:r>
        <w:rPr>
          <w:rFonts w:ascii="Arial" w:cs="Arial" w:eastAsia="Arial" w:hAnsi="Arial"/>
          <w:sz w:val="16"/>
          <w:szCs w:val="16"/>
          <w:u w:val="single" w:color="auto"/>
          <w:color w:val="auto"/>
        </w:rPr>
        <w:t xml:space="preserve"> Section 2</w:t>
      </w:r>
      <w:r>
        <w:rPr>
          <w:rFonts w:ascii="Arial" w:cs="Arial" w:eastAsia="Arial" w:hAnsi="Arial"/>
          <w:sz w:val="16"/>
          <w:szCs w:val="16"/>
          <w:color w:val="auto"/>
        </w:rPr>
        <w:t>:</w:t>
      </w:r>
    </w:p>
    <w:p>
      <w:pPr>
        <w:spacing w:after="0" w:line="225" w:lineRule="exact"/>
        <w:rPr>
          <w:sz w:val="20"/>
          <w:szCs w:val="20"/>
          <w:color w:val="auto"/>
        </w:rPr>
      </w:pPr>
    </w:p>
    <w:p>
      <w:pPr>
        <w:ind w:firstLine="1428"/>
        <w:spacing w:after="0" w:line="287" w:lineRule="auto"/>
        <w:tabs>
          <w:tab w:leader="none" w:pos="180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 except to the extent such information has been corrected in a subsequent writing prior to or concurrently with the sale of Registrable Securities to the Person asserting the claim.</w:t>
      </w:r>
    </w:p>
    <w:p>
      <w:pPr>
        <w:spacing w:after="0" w:line="171" w:lineRule="exact"/>
        <w:rPr>
          <w:rFonts w:ascii="Arial" w:cs="Arial" w:eastAsia="Arial" w:hAnsi="Arial"/>
          <w:sz w:val="16"/>
          <w:szCs w:val="16"/>
          <w:color w:val="auto"/>
        </w:rPr>
      </w:pPr>
    </w:p>
    <w:p>
      <w:pPr>
        <w:ind w:right="80" w:firstLine="1428"/>
        <w:spacing w:after="0" w:line="286" w:lineRule="auto"/>
        <w:tabs>
          <w:tab w:leader="none" w:pos="1819"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has not been corrected in a subsequent writing prior to or concurrently with the sale of Registrable Securities to the Person asserting the claim;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Section 2.8(b)</w:t>
      </w:r>
      <w:r>
        <w:rPr>
          <w:rFonts w:ascii="Arial" w:cs="Arial" w:eastAsia="Arial" w:hAnsi="Arial"/>
          <w:sz w:val="16"/>
          <w:szCs w:val="16"/>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the aggregate amounts payable by any Holder by way of indemnity or contribution under </w:t>
      </w:r>
      <w:r>
        <w:rPr>
          <w:rFonts w:ascii="Arial" w:cs="Arial" w:eastAsia="Arial" w:hAnsi="Arial"/>
          <w:sz w:val="16"/>
          <w:szCs w:val="16"/>
          <w:u w:val="single" w:color="auto"/>
          <w:color w:val="auto"/>
        </w:rPr>
        <w:t>Sections 2.8(b)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2.8(d)</w:t>
      </w:r>
      <w:r>
        <w:rPr>
          <w:rFonts w:ascii="Arial" w:cs="Arial" w:eastAsia="Arial" w:hAnsi="Arial"/>
          <w:sz w:val="16"/>
          <w:szCs w:val="16"/>
          <w:color w:val="auto"/>
        </w:rPr>
        <w:t xml:space="preserve"> exceed the proceeds from the offering received by such Holder (net of any Selling Expenses paid by such Holder), except in the case of fraud or willful misconduct by such Holder.</w:t>
      </w:r>
    </w:p>
    <w:p>
      <w:pPr>
        <w:spacing w:after="0" w:line="173" w:lineRule="exact"/>
        <w:rPr>
          <w:rFonts w:ascii="Arial" w:cs="Arial" w:eastAsia="Arial" w:hAnsi="Arial"/>
          <w:sz w:val="16"/>
          <w:szCs w:val="16"/>
          <w:color w:val="auto"/>
        </w:rPr>
      </w:pPr>
    </w:p>
    <w:p>
      <w:pPr>
        <w:ind w:firstLine="1428"/>
        <w:spacing w:after="0" w:line="271" w:lineRule="auto"/>
        <w:tabs>
          <w:tab w:leader="none" w:pos="181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67" w:name="page268"/>
    <w:bookmarkEnd w:id="267"/>
    <w:p>
      <w:pPr>
        <w:ind w:left="4"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pacing w:after="0" w:line="157" w:lineRule="exact"/>
        <w:rPr>
          <w:sz w:val="20"/>
          <w:szCs w:val="20"/>
          <w:color w:val="auto"/>
        </w:rPr>
      </w:pPr>
    </w:p>
    <w:p>
      <w:pPr>
        <w:ind w:left="4" w:firstLine="1428"/>
        <w:spacing w:after="0" w:line="286" w:lineRule="auto"/>
        <w:tabs>
          <w:tab w:leader="none" w:pos="1823" w:val="left"/>
        </w:tabs>
        <w:numPr>
          <w:ilvl w:val="1"/>
          <w:numId w:val="199"/>
        </w:numPr>
        <w:rPr>
          <w:rFonts w:ascii="Arial" w:cs="Arial" w:eastAsia="Arial" w:hAnsi="Arial"/>
          <w:sz w:val="16"/>
          <w:szCs w:val="16"/>
          <w:color w:val="auto"/>
        </w:rPr>
      </w:pPr>
      <w:r>
        <w:rPr>
          <w:rFonts w:ascii="Arial" w:cs="Arial" w:eastAsia="Arial" w:hAnsi="Arial"/>
          <w:sz w:val="16"/>
          <w:szCs w:val="16"/>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provides for indemnification in such case, or</w:t>
      </w:r>
    </w:p>
    <w:p>
      <w:pPr>
        <w:spacing w:after="0" w:line="1" w:lineRule="exact"/>
        <w:rPr>
          <w:rFonts w:ascii="Arial" w:cs="Arial" w:eastAsia="Arial" w:hAnsi="Arial"/>
          <w:sz w:val="16"/>
          <w:szCs w:val="16"/>
          <w:color w:val="auto"/>
        </w:rPr>
      </w:pPr>
    </w:p>
    <w:p>
      <w:pPr>
        <w:ind w:left="4" w:right="40" w:hanging="4"/>
        <w:spacing w:after="0" w:line="285" w:lineRule="auto"/>
        <w:tabs>
          <w:tab w:leader="none" w:pos="269"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contribution under the Securities Act may be required on the part of any party hereto for which indemnification is provided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a Holder’s liability pursuant to this </w:t>
      </w:r>
      <w:r>
        <w:rPr>
          <w:rFonts w:ascii="Arial" w:cs="Arial" w:eastAsia="Arial" w:hAnsi="Arial"/>
          <w:sz w:val="16"/>
          <w:szCs w:val="16"/>
          <w:u w:val="single" w:color="auto"/>
          <w:color w:val="auto"/>
        </w:rPr>
        <w:t>Section 2.8(d)</w:t>
      </w:r>
      <w:r>
        <w:rPr>
          <w:rFonts w:ascii="Arial" w:cs="Arial" w:eastAsia="Arial" w:hAnsi="Arial"/>
          <w:sz w:val="16"/>
          <w:szCs w:val="16"/>
          <w:color w:val="auto"/>
        </w:rPr>
        <w:t xml:space="preserve">, when combined with the amounts paid or payable by such Holder pursuant to </w:t>
      </w:r>
      <w:r>
        <w:rPr>
          <w:rFonts w:ascii="Arial" w:cs="Arial" w:eastAsia="Arial" w:hAnsi="Arial"/>
          <w:sz w:val="16"/>
          <w:szCs w:val="16"/>
          <w:u w:val="single" w:color="auto"/>
          <w:color w:val="auto"/>
        </w:rPr>
        <w:t>Section 2.8(b)</w:t>
      </w:r>
      <w:r>
        <w:rPr>
          <w:rFonts w:ascii="Arial" w:cs="Arial" w:eastAsia="Arial" w:hAnsi="Arial"/>
          <w:sz w:val="16"/>
          <w:szCs w:val="16"/>
          <w:color w:val="auto"/>
        </w:rPr>
        <w:t>, exceed the proceeds from the offering received by such Holder (net of any Selling Expenses paid by such Holder), except in the case of willful misconduct or fraud by such Holder.</w:t>
      </w:r>
    </w:p>
    <w:p>
      <w:pPr>
        <w:spacing w:after="0" w:line="169" w:lineRule="exact"/>
        <w:rPr>
          <w:rFonts w:ascii="Arial" w:cs="Arial" w:eastAsia="Arial" w:hAnsi="Arial"/>
          <w:sz w:val="16"/>
          <w:szCs w:val="16"/>
          <w:color w:val="auto"/>
        </w:rPr>
      </w:pPr>
    </w:p>
    <w:p>
      <w:pPr>
        <w:ind w:left="4" w:right="40" w:firstLine="1428"/>
        <w:spacing w:after="0" w:line="279" w:lineRule="auto"/>
        <w:tabs>
          <w:tab w:leader="none" w:pos="1816" w:val="left"/>
        </w:tabs>
        <w:numPr>
          <w:ilvl w:val="1"/>
          <w:numId w:val="200"/>
        </w:numPr>
        <w:rPr>
          <w:rFonts w:ascii="Arial" w:cs="Arial" w:eastAsia="Arial" w:hAnsi="Arial"/>
          <w:sz w:val="17"/>
          <w:szCs w:val="17"/>
          <w:color w:val="auto"/>
        </w:rPr>
      </w:pPr>
      <w:r>
        <w:rPr>
          <w:rFonts w:ascii="Arial" w:cs="Arial" w:eastAsia="Arial" w:hAnsi="Arial"/>
          <w:sz w:val="17"/>
          <w:szCs w:val="17"/>
          <w:color w:val="auto"/>
        </w:rPr>
        <w:t xml:space="preserve">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matter expressly provided for or addressed by the foregoing provisions that is not expressly provided for or addressed by the underwriting agreement shall be controlled by the foregoing provisions.</w:t>
      </w:r>
    </w:p>
    <w:p>
      <w:pPr>
        <w:spacing w:after="0" w:line="171" w:lineRule="exact"/>
        <w:rPr>
          <w:rFonts w:ascii="Arial" w:cs="Arial" w:eastAsia="Arial" w:hAnsi="Arial"/>
          <w:sz w:val="17"/>
          <w:szCs w:val="17"/>
          <w:color w:val="auto"/>
        </w:rPr>
      </w:pPr>
    </w:p>
    <w:p>
      <w:pPr>
        <w:ind w:left="4" w:firstLine="1428"/>
        <w:spacing w:after="0" w:line="263" w:lineRule="auto"/>
        <w:tabs>
          <w:tab w:leader="none" w:pos="179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268" w:name="page269"/>
    <w:bookmarkEnd w:id="268"/>
    <w:p>
      <w:pPr>
        <w:ind w:left="4" w:right="3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4" w:lineRule="exact"/>
        <w:rPr>
          <w:sz w:val="20"/>
          <w:szCs w:val="20"/>
          <w:color w:val="auto"/>
        </w:rPr>
      </w:pPr>
    </w:p>
    <w:p>
      <w:pPr>
        <w:ind w:left="4" w:right="200" w:firstLine="1428"/>
        <w:spacing w:after="0" w:line="277" w:lineRule="auto"/>
        <w:tabs>
          <w:tab w:leader="none" w:pos="181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0" w:lineRule="exact"/>
        <w:rPr>
          <w:rFonts w:ascii="Arial" w:cs="Arial" w:eastAsia="Arial" w:hAnsi="Arial"/>
          <w:sz w:val="18"/>
          <w:szCs w:val="18"/>
          <w:color w:val="auto"/>
        </w:rPr>
      </w:pPr>
    </w:p>
    <w:p>
      <w:pPr>
        <w:ind w:left="4" w:right="300" w:firstLine="1428"/>
        <w:spacing w:after="0" w:line="342" w:lineRule="auto"/>
        <w:tabs>
          <w:tab w:leader="none" w:pos="182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23" w:lineRule="exact"/>
        <w:rPr>
          <w:rFonts w:ascii="Arial" w:cs="Arial" w:eastAsia="Arial" w:hAnsi="Arial"/>
          <w:sz w:val="16"/>
          <w:szCs w:val="16"/>
          <w:color w:val="auto"/>
        </w:rPr>
      </w:pPr>
    </w:p>
    <w:p>
      <w:pPr>
        <w:ind w:left="4" w:firstLine="1428"/>
        <w:spacing w:after="0" w:line="291" w:lineRule="auto"/>
        <w:tabs>
          <w:tab w:leader="none" w:pos="181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66" w:lineRule="exact"/>
        <w:rPr>
          <w:sz w:val="20"/>
          <w:szCs w:val="20"/>
          <w:color w:val="auto"/>
        </w:rPr>
      </w:pPr>
    </w:p>
    <w:p>
      <w:pPr>
        <w:ind w:left="4" w:right="20" w:firstLine="991"/>
        <w:spacing w:after="0" w:line="293"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allow such holder or prospective holder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limitation shall not apply to Registrable Securities acquired by any additional Investor that becomes a party to this Agreement in accordance with </w:t>
      </w:r>
      <w:r>
        <w:rPr>
          <w:rFonts w:ascii="Arial" w:cs="Arial" w:eastAsia="Arial" w:hAnsi="Arial"/>
          <w:sz w:val="16"/>
          <w:szCs w:val="16"/>
          <w:u w:val="single" w:color="auto"/>
          <w:color w:val="auto"/>
        </w:rPr>
        <w:t>Section 6.9</w:t>
      </w:r>
      <w:r>
        <w:rPr>
          <w:rFonts w:ascii="Arial" w:cs="Arial" w:eastAsia="Arial" w:hAnsi="Arial"/>
          <w:sz w:val="16"/>
          <w:szCs w:val="16"/>
          <w:color w:val="auto"/>
        </w:rPr>
        <w:t>.</w:t>
      </w:r>
    </w:p>
    <w:p>
      <w:pPr>
        <w:spacing w:after="0" w:line="164" w:lineRule="exact"/>
        <w:rPr>
          <w:sz w:val="20"/>
          <w:szCs w:val="20"/>
          <w:color w:val="auto"/>
        </w:rPr>
      </w:pPr>
    </w:p>
    <w:p>
      <w:pPr>
        <w:ind w:left="4" w:right="140" w:firstLine="991"/>
        <w:spacing w:after="0" w:line="283"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Each Holder hereby agrees that it will not, without the prior written consent of the managing underwriter, during the period commencing on the date of the final prospectus relating to the registration by the Company of shares of its Common Stock or any other equity securities under the Securities Act on a registration statement on Form S-1, and ending on the date specified by the Company and the managing underwriter (such period not to exceed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applicable FINRA rules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w:t>
      </w:r>
    </w:p>
    <w:p>
      <w:pPr>
        <w:spacing w:after="0" w:line="6" w:lineRule="exact"/>
        <w:rPr>
          <w:sz w:val="20"/>
          <w:szCs w:val="20"/>
          <w:color w:val="auto"/>
        </w:rPr>
      </w:pPr>
    </w:p>
    <w:p>
      <w:pPr>
        <w:ind w:left="4" w:right="100" w:hanging="4"/>
        <w:spacing w:after="0" w:line="281" w:lineRule="auto"/>
        <w:tabs>
          <w:tab w:leader="none" w:pos="269"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shall apply only to the IPO and shall not apply to (a) the sale of any shares of Common Stock</w:t>
      </w:r>
    </w:p>
    <w:p>
      <w:pPr>
        <w:spacing w:after="0" w:line="1" w:lineRule="exact"/>
        <w:rPr>
          <w:rFonts w:ascii="Arial" w:cs="Arial" w:eastAsia="Arial" w:hAnsi="Arial"/>
          <w:sz w:val="16"/>
          <w:szCs w:val="16"/>
          <w:color w:val="auto"/>
        </w:rPr>
      </w:pPr>
    </w:p>
    <w:p>
      <w:pPr>
        <w:ind w:left="4" w:right="80" w:hanging="4"/>
        <w:spacing w:after="0" w:line="253" w:lineRule="auto"/>
        <w:tabs>
          <w:tab w:leader="none" w:pos="25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purchased by the Holder in connection with the IPO, whether or not pursuant to an underwriting agreement, a private placement that is concurrent with the IPO, or otherwise, or (y) acquired in the open market at any time on or after the IPO; (b) the sale of any shares to an underwriter pursuant to an underwriting agreement, or (c) the transfer of any shares to any trust for the direct or indirect benefit of the Holder or the immediate family of the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trustee of the trust agrees to be bound in</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69" w:name="page270"/>
    <w:bookmarkEnd w:id="269"/>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writing by the restrictions set forth herein,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transfer shall not involve a disposition for value, and shall be applicable to the Holders only if all officers and directors are subject to the same restrictions and the Company uses commercially reasonable efforts to obtain a similar agreement from all stockholders individually owning more than 1% of the Company’s outstanding Common Stock (after giving effect to conversion into Common Stock of all outstanding Preferred Stock). The underwriters in connection with such registration are intended third-party beneficiaries of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or that are necessary to give further effect thereto. Any discretionary waiver or termination of the restrictions of any or all of such agreements by the Company or the underwriters shall apply pro rata to all Company stockholders that are subject to such agreements, based on the number of shares subject to such agreements.</w:t>
      </w:r>
    </w:p>
    <w:p>
      <w:pPr>
        <w:spacing w:after="0" w:line="289"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17" w:lineRule="exact"/>
        <w:rPr>
          <w:sz w:val="20"/>
          <w:szCs w:val="20"/>
          <w:color w:val="auto"/>
        </w:rPr>
      </w:pPr>
    </w:p>
    <w:p>
      <w:pPr>
        <w:ind w:right="60" w:firstLine="1428"/>
        <w:spacing w:after="0" w:line="275" w:lineRule="auto"/>
        <w:tabs>
          <w:tab w:leader="none" w:pos="180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176" w:lineRule="exact"/>
        <w:rPr>
          <w:rFonts w:ascii="Arial" w:cs="Arial" w:eastAsia="Arial" w:hAnsi="Arial"/>
          <w:sz w:val="17"/>
          <w:szCs w:val="17"/>
          <w:color w:val="auto"/>
        </w:rPr>
      </w:pPr>
    </w:p>
    <w:p>
      <w:pPr>
        <w:ind w:right="380" w:firstLine="1428"/>
        <w:spacing w:after="0" w:line="259" w:lineRule="auto"/>
        <w:tabs>
          <w:tab w:leader="none" w:pos="182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8"/>
          <w:szCs w:val="18"/>
          <w:u w:val="single" w:color="auto"/>
          <w:color w:val="auto"/>
        </w:rPr>
        <w:t>Section 2.12(c))</w:t>
      </w:r>
      <w:r>
        <w:rPr>
          <w:rFonts w:ascii="Arial" w:cs="Arial" w:eastAsia="Arial" w:hAnsi="Arial"/>
          <w:sz w:val="18"/>
          <w:szCs w:val="18"/>
          <w:color w:val="auto"/>
        </w:rPr>
        <w:t xml:space="preserve"> be notated with a legend substantially in the following form:</w:t>
      </w:r>
    </w:p>
    <w:p>
      <w:pPr>
        <w:spacing w:after="0" w:line="79"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440" w:right="160"/>
        <w:spacing w:after="0" w:line="263"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70" w:lineRule="exact"/>
        <w:rPr>
          <w:sz w:val="20"/>
          <w:szCs w:val="20"/>
          <w:color w:val="auto"/>
        </w:rPr>
      </w:pPr>
    </w:p>
    <w:p>
      <w:pPr>
        <w:ind w:firstLine="1428"/>
        <w:spacing w:after="0" w:line="257" w:lineRule="auto"/>
        <w:tabs>
          <w:tab w:leader="none" w:pos="180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The holder of such Restricted Securities, by acceptance of ownership thereof, agrees to comply in all respects with the provisions of this </w:t>
      </w:r>
      <w:r>
        <w:rPr>
          <w:rFonts w:ascii="Arial" w:cs="Arial" w:eastAsia="Arial" w:hAnsi="Arial"/>
          <w:sz w:val="18"/>
          <w:szCs w:val="18"/>
          <w:u w:val="single" w:color="auto"/>
          <w:color w:val="auto"/>
        </w:rPr>
        <w:t>Section 2</w:t>
      </w:r>
      <w:r>
        <w:rPr>
          <w:rFonts w:ascii="Arial" w:cs="Arial" w:eastAsia="Arial" w:hAnsi="Arial"/>
          <w:sz w:val="18"/>
          <w:szCs w:val="18"/>
          <w:color w:val="auto"/>
        </w:rPr>
        <w:t>.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70" w:name="page271"/>
    <w:bookmarkEnd w:id="27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transferee agrees in writing to be subject to the terms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Arial" w:cs="Arial" w:eastAsia="Arial" w:hAnsi="Arial"/>
          <w:sz w:val="16"/>
          <w:szCs w:val="16"/>
          <w:u w:val="single" w:color="auto"/>
          <w:color w:val="auto"/>
        </w:rPr>
        <w:t>Section 2.12(b)</w:t>
      </w:r>
      <w:r>
        <w:rPr>
          <w:rFonts w:ascii="Arial" w:cs="Arial" w:eastAsia="Arial" w:hAnsi="Arial"/>
          <w:sz w:val="16"/>
          <w:szCs w:val="16"/>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74"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upon the earliest to occur of:</w:t>
      </w:r>
    </w:p>
    <w:p>
      <w:pPr>
        <w:spacing w:after="0" w:line="170" w:lineRule="exact"/>
        <w:rPr>
          <w:sz w:val="20"/>
          <w:szCs w:val="20"/>
          <w:color w:val="auto"/>
        </w:rPr>
      </w:pPr>
    </w:p>
    <w:p>
      <w:pPr>
        <w:ind w:right="260" w:firstLine="1428"/>
        <w:spacing w:after="0" w:line="259" w:lineRule="auto"/>
        <w:tabs>
          <w:tab w:leader="none" w:pos="181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 xml:space="preserve">the closing of a Deemed Liquidation Event, as such term is defined in the Certificate of Incorporation, in which the consideration received by the Investors in such Deemed Liquidation Event is in the form of cash and/or publicly traded securities, or if the Investors receive registration rights from the acquiring company or other successor to the Company that are reasonably comparable to those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1428"/>
        <w:spacing w:after="0" w:line="301" w:lineRule="auto"/>
        <w:tabs>
          <w:tab w:leader="none" w:pos="1822" w:val="left"/>
        </w:tabs>
        <w:numPr>
          <w:ilvl w:val="1"/>
          <w:numId w:val="206"/>
        </w:numPr>
        <w:rPr>
          <w:rFonts w:ascii="Arial" w:cs="Arial" w:eastAsia="Arial" w:hAnsi="Arial"/>
          <w:sz w:val="16"/>
          <w:szCs w:val="16"/>
          <w:color w:val="auto"/>
        </w:rPr>
      </w:pPr>
      <w:r>
        <w:rPr>
          <w:rFonts w:ascii="Arial" w:cs="Arial" w:eastAsia="Arial" w:hAnsi="Arial"/>
          <w:sz w:val="16"/>
          <w:szCs w:val="16"/>
          <w:color w:val="auto"/>
        </w:rPr>
        <w:t>such time after consummation of the IPO as SEC Rule 144 or another similar exemption under the Securities Act is available for the sale of all of such Holder’s shares without limitation during a three-month period without registration (and without the requirement for the Company to be in compliance with the current public information required under subsection (c)(1) of SEC Rule 144) and such Holder (together with its “affiliates” as determined under SEC Rule 144) holds less than one percent (1%) of the outstanding capital stock of the Company; and</w:t>
      </w:r>
    </w:p>
    <w:p>
      <w:pPr>
        <w:spacing w:after="0" w:line="157" w:lineRule="exact"/>
        <w:rPr>
          <w:rFonts w:ascii="Arial" w:cs="Arial" w:eastAsia="Arial" w:hAnsi="Arial"/>
          <w:sz w:val="16"/>
          <w:szCs w:val="16"/>
          <w:color w:val="auto"/>
        </w:rPr>
      </w:pPr>
    </w:p>
    <w:p>
      <w:pPr>
        <w:ind w:left="1800" w:hanging="372"/>
        <w:spacing w:after="0"/>
        <w:tabs>
          <w:tab w:leader="none" w:pos="18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third anniversary of the IPO.</w:t>
      </w:r>
    </w:p>
    <w:p>
      <w:pPr>
        <w:spacing w:after="0" w:line="333" w:lineRule="exact"/>
        <w:rPr>
          <w:rFonts w:ascii="Arial" w:cs="Arial" w:eastAsia="Arial" w:hAnsi="Arial"/>
          <w:sz w:val="18"/>
          <w:szCs w:val="18"/>
          <w:color w:val="auto"/>
        </w:rPr>
      </w:pPr>
    </w:p>
    <w:p>
      <w:pPr>
        <w:ind w:left="760" w:hanging="324"/>
        <w:spacing w:after="0"/>
        <w:tabs>
          <w:tab w:leader="none" w:pos="76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w:t>
      </w:r>
    </w:p>
    <w:p>
      <w:pPr>
        <w:spacing w:after="0" w:line="117"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xml:space="preserve">. The Company shall deliver to each Major Investor,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Board of Directors has not reasonably determined that such Major Investor is a competitor of the Company; </w:t>
      </w:r>
      <w:r>
        <w:rPr>
          <w:rFonts w:ascii="Arial" w:cs="Arial" w:eastAsia="Arial" w:hAnsi="Arial"/>
          <w:sz w:val="18"/>
          <w:szCs w:val="18"/>
          <w:i w:val="1"/>
          <w:iCs w:val="1"/>
          <w:u w:val="single" w:color="auto"/>
          <w:color w:val="auto"/>
        </w:rPr>
        <w:t>provided further</w:t>
      </w:r>
      <w:r>
        <w:rPr>
          <w:rFonts w:ascii="Arial" w:cs="Arial" w:eastAsia="Arial" w:hAnsi="Arial"/>
          <w:sz w:val="18"/>
          <w:szCs w:val="18"/>
          <w:color w:val="auto"/>
        </w:rPr>
        <w:t xml:space="preserve"> that Sands Capital, RA Capital and Blackwell shall not be determined to be a competitor of the Company for any purpose under this Agreement:</w:t>
      </w:r>
    </w:p>
    <w:p>
      <w:pPr>
        <w:spacing w:after="0" w:line="184" w:lineRule="exact"/>
        <w:rPr>
          <w:sz w:val="20"/>
          <w:szCs w:val="20"/>
          <w:color w:val="auto"/>
        </w:rPr>
      </w:pPr>
    </w:p>
    <w:p>
      <w:pPr>
        <w:ind w:right="60" w:firstLine="1428"/>
        <w:spacing w:after="0" w:line="255" w:lineRule="auto"/>
        <w:tabs>
          <w:tab w:leader="none" w:pos="181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as soon as practicable, but in any event within 120 days after the end of each fiscal year of the Company (i) a balance sheet as of the end of such year, (ii) statements of income and of cash flows for such year, and a comparison between (x) the actual amounts as of and for such fiscal year and (y) the comparable amounts for the prior year and as included in the Budget (as defined in </w:t>
      </w:r>
      <w:r>
        <w:rPr>
          <w:rFonts w:ascii="Arial" w:cs="Arial" w:eastAsia="Arial" w:hAnsi="Arial"/>
          <w:sz w:val="18"/>
          <w:szCs w:val="18"/>
          <w:u w:val="single" w:color="auto"/>
          <w:color w:val="auto"/>
        </w:rPr>
        <w:t>Section 3.1(e))</w:t>
      </w:r>
      <w:r>
        <w:rPr>
          <w:rFonts w:ascii="Arial" w:cs="Arial" w:eastAsia="Arial" w:hAnsi="Arial"/>
          <w:sz w:val="18"/>
          <w:szCs w:val="18"/>
          <w:color w:val="auto"/>
        </w:rPr>
        <w:t xml:space="preserve"> for such year, with an explanation of any material differences between such amounts and a schedule as to the sources and applications of funds for such year, and (iii) a statement of stockholders’ equity as of the end of such year, all such financial statements audited and certified by independent public accountants of regionally recognized standing selected by the Company;</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40" w:top="274" w:right="539" w:bottom="1440" w:gutter="0" w:footer="0" w:header="0"/>
        </w:sectPr>
      </w:pPr>
    </w:p>
    <w:bookmarkStart w:id="271" w:name="page272"/>
    <w:bookmarkEnd w:id="271"/>
    <w:p>
      <w:pPr>
        <w:ind w:right="20" w:firstLine="1428"/>
        <w:spacing w:after="0" w:line="279" w:lineRule="auto"/>
        <w:tabs>
          <w:tab w:leader="none" w:pos="1822" w:val="left"/>
        </w:tabs>
        <w:numPr>
          <w:ilvl w:val="0"/>
          <w:numId w:val="2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soon as practicable, but in any event within 45 days after the end of each of the first three quarters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71" w:lineRule="exact"/>
        <w:rPr>
          <w:rFonts w:ascii="Arial" w:cs="Arial" w:eastAsia="Arial" w:hAnsi="Arial"/>
          <w:sz w:val="17"/>
          <w:szCs w:val="17"/>
          <w:color w:val="auto"/>
        </w:rPr>
      </w:pPr>
    </w:p>
    <w:p>
      <w:pPr>
        <w:jc w:val="both"/>
        <w:ind w:right="60" w:firstLine="1428"/>
        <w:spacing w:after="0" w:line="259" w:lineRule="auto"/>
        <w:tabs>
          <w:tab w:leader="none" w:pos="181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as soon as practicable, but in any event within 30 days after the end of each month, unaudited statements of income and cash flows for such month, and an unaudited balance sheet and a statement of stockholders’ equity as of the end of such month, all prepared in accordance with GAAP (except that such financial statements may (i) be subject to normal year-end audit adjustments and (ii) not contain all notes thereto that may be required in accordance with GAAP);</w:t>
      </w:r>
    </w:p>
    <w:p>
      <w:pPr>
        <w:spacing w:after="0" w:line="186" w:lineRule="exact"/>
        <w:rPr>
          <w:rFonts w:ascii="Arial" w:cs="Arial" w:eastAsia="Arial" w:hAnsi="Arial"/>
          <w:sz w:val="18"/>
          <w:szCs w:val="18"/>
          <w:color w:val="auto"/>
        </w:rPr>
      </w:pPr>
    </w:p>
    <w:p>
      <w:pPr>
        <w:ind w:right="20" w:firstLine="1428"/>
        <w:spacing w:after="0" w:line="272" w:lineRule="auto"/>
        <w:tabs>
          <w:tab w:leader="none" w:pos="1822"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as soon as practicable, but in any event within 45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a form reasonably acceptable to each Major Investor, in sufficient detail as to permit the Major Investors to calculate their respective percentage equity ownership in the Company, and certified by the chief financial officer or chief executive officer of the Company as being true, complete, and correct;</w:t>
      </w:r>
    </w:p>
    <w:p>
      <w:pPr>
        <w:spacing w:after="0" w:line="177" w:lineRule="exact"/>
        <w:rPr>
          <w:rFonts w:ascii="Arial" w:cs="Arial" w:eastAsia="Arial" w:hAnsi="Arial"/>
          <w:sz w:val="17"/>
          <w:szCs w:val="17"/>
          <w:color w:val="auto"/>
        </w:rPr>
      </w:pPr>
    </w:p>
    <w:p>
      <w:pPr>
        <w:ind w:right="20" w:firstLine="1428"/>
        <w:spacing w:after="0" w:line="257" w:lineRule="auto"/>
        <w:tabs>
          <w:tab w:leader="none" w:pos="181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as soon as practicable, but in any event 30 days before the end of each fiscal year, a budget and business plan for the next fiscal year, prepared on a monthly basis, including balance sheets, income statements, and statements of cash flow for such months and, promptly after prepared, any other budgets or revised budgets prepared by the Company (such budget and business plan that is approved by the Board of Directors including the vote of a majority of the Preferred Directors then seated (the “</w:t>
      </w:r>
      <w:r>
        <w:rPr>
          <w:rFonts w:ascii="Arial" w:cs="Arial" w:eastAsia="Arial" w:hAnsi="Arial"/>
          <w:sz w:val="18"/>
          <w:szCs w:val="18"/>
          <w:b w:val="1"/>
          <w:bCs w:val="1"/>
          <w:color w:val="auto"/>
        </w:rPr>
        <w:t>Requisite Preferred Director Vote</w:t>
      </w:r>
      <w:r>
        <w:rPr>
          <w:rFonts w:ascii="Arial" w:cs="Arial" w:eastAsia="Arial" w:hAnsi="Arial"/>
          <w:sz w:val="18"/>
          <w:szCs w:val="18"/>
          <w:color w:val="auto"/>
        </w:rPr>
        <w:t>”) is collectively referred to herein as the “</w:t>
      </w:r>
      <w:r>
        <w:rPr>
          <w:rFonts w:ascii="Arial" w:cs="Arial" w:eastAsia="Arial" w:hAnsi="Arial"/>
          <w:sz w:val="18"/>
          <w:szCs w:val="18"/>
          <w:b w:val="1"/>
          <w:bCs w:val="1"/>
          <w:color w:val="auto"/>
        </w:rPr>
        <w:t>Budget</w:t>
      </w:r>
      <w:r>
        <w:rPr>
          <w:rFonts w:ascii="Arial" w:cs="Arial" w:eastAsia="Arial" w:hAnsi="Arial"/>
          <w:sz w:val="18"/>
          <w:szCs w:val="18"/>
          <w:color w:val="auto"/>
        </w:rPr>
        <w:t>”); and</w:t>
      </w:r>
    </w:p>
    <w:p>
      <w:pPr>
        <w:spacing w:after="0" w:line="187" w:lineRule="exact"/>
        <w:rPr>
          <w:rFonts w:ascii="Arial" w:cs="Arial" w:eastAsia="Arial" w:hAnsi="Arial"/>
          <w:sz w:val="18"/>
          <w:szCs w:val="18"/>
          <w:color w:val="auto"/>
        </w:rPr>
      </w:pPr>
    </w:p>
    <w:p>
      <w:pPr>
        <w:ind w:firstLine="1428"/>
        <w:spacing w:after="0" w:line="257" w:lineRule="auto"/>
        <w:tabs>
          <w:tab w:leader="none" w:pos="179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88"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during the period starting with the date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72" w:name="page273"/>
    <w:bookmarkEnd w:id="272"/>
    <w:p>
      <w:pPr>
        <w:ind w:left="4"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Arial" w:cs="Arial" w:eastAsia="Arial" w:hAnsi="Arial"/>
          <w:sz w:val="18"/>
          <w:szCs w:val="18"/>
          <w:u w:val="single" w:color="auto"/>
          <w:color w:val="auto"/>
        </w:rPr>
        <w:t>Inspection</w:t>
      </w:r>
      <w:r>
        <w:rPr>
          <w:rFonts w:ascii="Arial" w:cs="Arial" w:eastAsia="Arial" w:hAnsi="Arial"/>
          <w:sz w:val="18"/>
          <w:szCs w:val="18"/>
          <w:color w:val="auto"/>
        </w:rPr>
        <w:t xml:space="preserve">. The Company shall permit each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pursuant to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95"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Termination of Information</w:t>
      </w:r>
      <w:r>
        <w:rPr>
          <w:rFonts w:ascii="Arial" w:cs="Arial" w:eastAsia="Arial" w:hAnsi="Arial"/>
          <w:sz w:val="16"/>
          <w:szCs w:val="16"/>
          <w:color w:val="auto"/>
        </w:rPr>
        <w:t>. The covenants set forth in</w:t>
      </w:r>
      <w:r>
        <w:rPr>
          <w:rFonts w:ascii="Arial" w:cs="Arial" w:eastAsia="Arial" w:hAnsi="Arial"/>
          <w:sz w:val="16"/>
          <w:szCs w:val="16"/>
          <w:u w:val="single" w:color="auto"/>
          <w:color w:val="auto"/>
        </w:rPr>
        <w:t xml:space="preserve"> Section 3.1 </w:t>
      </w:r>
      <w:r>
        <w:rPr>
          <w:rFonts w:ascii="Arial" w:cs="Arial" w:eastAsia="Arial" w:hAnsi="Arial"/>
          <w:sz w:val="16"/>
          <w:szCs w:val="16"/>
          <w:color w:val="auto"/>
        </w:rPr>
        <w:t>and</w:t>
      </w:r>
      <w:r>
        <w:rPr>
          <w:rFonts w:ascii="Arial" w:cs="Arial" w:eastAsia="Arial" w:hAnsi="Arial"/>
          <w:sz w:val="16"/>
          <w:szCs w:val="16"/>
          <w:u w:val="single" w:color="auto"/>
          <w:color w:val="auto"/>
        </w:rPr>
        <w:t xml:space="preserve"> Section 3.2 </w:t>
      </w:r>
      <w:r>
        <w:rPr>
          <w:rFonts w:ascii="Arial" w:cs="Arial" w:eastAsia="Arial" w:hAnsi="Arial"/>
          <w:sz w:val="16"/>
          <w:szCs w:val="16"/>
          <w:color w:val="auto"/>
        </w:rPr>
        <w:t>shall terminate and be of no further force or effect</w:t>
      </w:r>
    </w:p>
    <w:p>
      <w:pPr>
        <w:spacing w:after="0" w:line="23" w:lineRule="exact"/>
        <w:rPr>
          <w:sz w:val="20"/>
          <w:szCs w:val="20"/>
          <w:color w:val="auto"/>
        </w:rPr>
      </w:pPr>
    </w:p>
    <w:p>
      <w:pPr>
        <w:ind w:left="4" w:right="200" w:hanging="4"/>
        <w:spacing w:after="0" w:line="292" w:lineRule="auto"/>
        <w:tabs>
          <w:tab w:leader="none" w:pos="21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immediately before the consummation of the IPO, (ii) when the Company first becomes subject to the periodic reporting requirements of Section 12(g) or 15(d) of the Exchange Act, or (iii) upon the closing of a Deemed Liquidation Event, as such term is defined in the Certificate of Incorporation, whichever event occurs first; provided, that, with respect to clause (iii), the covenants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shall only terminate if the consideration received by the Investors in such Deemed Liquidation Event is in the form of cash and/or publicly traded securities or if the Investors receive financial information from the acquiring company or other successor to the Company comparable to those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w:t>
      </w:r>
    </w:p>
    <w:p>
      <w:pPr>
        <w:spacing w:after="0" w:line="162" w:lineRule="exact"/>
        <w:rPr>
          <w:sz w:val="20"/>
          <w:szCs w:val="20"/>
          <w:color w:val="auto"/>
        </w:rPr>
      </w:pPr>
    </w:p>
    <w:p>
      <w:pPr>
        <w:ind w:left="4" w:firstLine="991"/>
        <w:spacing w:after="0" w:line="26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by such Investor), (b) 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of Directors has not reasonably determined that such prospective purchaser is a competitor of the Company; (iii) to any Affiliate, any current or prospective partner, member or stockholder, or any wholly owned subsidiary of such Investor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informs such Person that such information is confidential and directs such Person to maintain the confidentiality of such information; or (iv) as may otherwise be required by law, regulation, rule, court order or subpoena,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promptly notifies the Company of such disclosure and takes reasonable steps to minimize the extent of any such required disclosure.</w:t>
      </w:r>
    </w:p>
    <w:p>
      <w:pPr>
        <w:spacing w:after="0" w:line="292" w:lineRule="exact"/>
        <w:rPr>
          <w:sz w:val="20"/>
          <w:szCs w:val="20"/>
          <w:color w:val="auto"/>
        </w:rPr>
      </w:pPr>
    </w:p>
    <w:p>
      <w:pPr>
        <w:ind w:left="764" w:hanging="324"/>
        <w:spacing w:after="0"/>
        <w:tabs>
          <w:tab w:leader="none" w:pos="764"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117" w:lineRule="exact"/>
        <w:rPr>
          <w:sz w:val="20"/>
          <w:szCs w:val="20"/>
          <w:color w:val="auto"/>
        </w:rPr>
      </w:pPr>
    </w:p>
    <w:p>
      <w:pPr>
        <w:ind w:left="4" w:right="140" w:firstLine="991"/>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xml:space="preserve">. Subject to the terms and conditions of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and (ii) its Affiliates.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73" w:name="page274"/>
    <w:bookmarkEnd w:id="273"/>
    <w:p>
      <w:pPr>
        <w:ind w:right="20" w:firstLine="1428"/>
        <w:spacing w:after="0" w:line="266" w:lineRule="auto"/>
        <w:tabs>
          <w:tab w:leader="none" w:pos="1808"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79" w:lineRule="exact"/>
        <w:rPr>
          <w:rFonts w:ascii="Arial" w:cs="Arial" w:eastAsia="Arial" w:hAnsi="Arial"/>
          <w:sz w:val="18"/>
          <w:szCs w:val="18"/>
          <w:color w:val="auto"/>
        </w:rPr>
      </w:pPr>
    </w:p>
    <w:p>
      <w:pPr>
        <w:ind w:firstLine="1428"/>
        <w:spacing w:after="0" w:line="268" w:lineRule="auto"/>
        <w:tabs>
          <w:tab w:leader="none" w:pos="1822" w:val="left"/>
        </w:tabs>
        <w:numPr>
          <w:ilvl w:val="0"/>
          <w:numId w:val="212"/>
        </w:numPr>
        <w:rPr>
          <w:rFonts w:ascii="Arial" w:cs="Arial" w:eastAsia="Arial" w:hAnsi="Arial"/>
          <w:sz w:val="17"/>
          <w:szCs w:val="17"/>
          <w:color w:val="auto"/>
        </w:rPr>
      </w:pPr>
      <w:r>
        <w:rPr>
          <w:rFonts w:ascii="Arial" w:cs="Arial" w:eastAsia="Arial" w:hAnsi="Arial"/>
          <w:sz w:val="17"/>
          <w:szCs w:val="17"/>
          <w:color w:val="auto"/>
        </w:rPr>
        <w:t>By notification to the Company within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any other Derivative Securities then outstanding). At the expiration of such twenty (20) day period, the Company shall promptly notify each Major Investor that elects to purchase or acquire all the shares available to it (each, a “</w:t>
      </w:r>
      <w:r>
        <w:rPr>
          <w:rFonts w:ascii="Arial" w:cs="Arial" w:eastAsia="Arial" w:hAnsi="Arial"/>
          <w:sz w:val="17"/>
          <w:szCs w:val="17"/>
          <w:b w:val="1"/>
          <w:bCs w:val="1"/>
          <w:color w:val="auto"/>
        </w:rPr>
        <w:t>Fully Exercising Investor</w:t>
      </w:r>
      <w:r>
        <w:rPr>
          <w:rFonts w:ascii="Arial" w:cs="Arial" w:eastAsia="Arial" w:hAnsi="Arial"/>
          <w:sz w:val="17"/>
          <w:szCs w:val="17"/>
          <w:color w:val="auto"/>
        </w:rPr>
        <w:t xml:space="preserve">”)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shall occur within the later of 90 days of the date that the Offer Notice is given and the date of initial sale of New Securities pursuant to </w:t>
      </w:r>
      <w:r>
        <w:rPr>
          <w:rFonts w:ascii="Arial" w:cs="Arial" w:eastAsia="Arial" w:hAnsi="Arial"/>
          <w:sz w:val="17"/>
          <w:szCs w:val="17"/>
          <w:u w:val="single" w:color="auto"/>
          <w:color w:val="auto"/>
        </w:rPr>
        <w:t>Section 4.1(c)</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right="40" w:firstLine="1428"/>
        <w:spacing w:after="0" w:line="273" w:lineRule="auto"/>
        <w:tabs>
          <w:tab w:leader="none" w:pos="1812"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If all New Securities referred to in the Offer Notice are not elected to be purchased or acquired as provided in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the Company may, during the 90 day period following the expiration of the periods provided in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30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7"/>
          <w:szCs w:val="17"/>
          <w:u w:val="single" w:color="auto"/>
          <w:color w:val="auto"/>
        </w:rPr>
        <w:t>Section 4.1</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40" w:firstLine="1428"/>
        <w:spacing w:after="0" w:line="257" w:lineRule="auto"/>
        <w:tabs>
          <w:tab w:leader="none" w:pos="182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Notwithstanding any provision hereof to the contrary, in lieu of complying with the provisions of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the Company may elect to give notice to the Major Investors within thirty (30) days after the issuance of New Securities. Such notice shall describe the type, price, and terms of the New Securities. Each Major Investor shall have twenty (20) days from the date notice is given to elect to purchase up to the number of New Securities that would, if purchased by such Major Investor, maintain such Major Investor’s percentage-ownership position, calculated as set forth in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before giving effect to the issuance of such New Securities.</w:t>
      </w:r>
    </w:p>
    <w:p>
      <w:pPr>
        <w:spacing w:after="0" w:line="187" w:lineRule="exact"/>
        <w:rPr>
          <w:rFonts w:ascii="Arial" w:cs="Arial" w:eastAsia="Arial" w:hAnsi="Arial"/>
          <w:sz w:val="18"/>
          <w:szCs w:val="18"/>
          <w:color w:val="auto"/>
        </w:rPr>
      </w:pPr>
    </w:p>
    <w:p>
      <w:pPr>
        <w:ind w:right="220" w:firstLine="1428"/>
        <w:spacing w:after="0" w:line="263" w:lineRule="auto"/>
        <w:tabs>
          <w:tab w:leader="none" w:pos="180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not be applicable to (i) Exempted Securities (as defined in the Certificate of Incorporation); (ii) shares of Common Stock issued in the IPO; and (iii) the issuance of shares of Preferred Stock to Additional Purchasers pursuant to Section 1.3 of the Purchase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0" w:right="439" w:bottom="1440" w:gutter="0" w:footer="0" w:header="0"/>
        </w:sectPr>
      </w:pPr>
    </w:p>
    <w:bookmarkStart w:id="274" w:name="page275"/>
    <w:bookmarkEnd w:id="274"/>
    <w:p>
      <w:pPr>
        <w:ind w:right="6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The covenants set forth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terminate and be of no further force or effect (i) immediately before the consummation of the Qualified IPO, as such term is defined in the Certificate of Incorporation, (ii) when the Company first becomes subject to the periodic reporting requirements of Section 12(g) or 15(d) of the Exchange Act, or (iii) upon the closing of a Deemed Liquidation Event, as such term is defined in the Certificate of Incorporation in which the consideration received by the Investors in such Deemed Liquidation Event is in the form of cash and/or publicly traded securities, or if the Investors receive participation rights from the acquiring company or other successor to the Company reasonably comparable to those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whichever event occurs first.</w:t>
      </w:r>
    </w:p>
    <w:p>
      <w:pPr>
        <w:spacing w:after="0" w:line="286" w:lineRule="exact"/>
        <w:rPr>
          <w:sz w:val="20"/>
          <w:szCs w:val="20"/>
          <w:color w:val="auto"/>
        </w:rPr>
      </w:pPr>
    </w:p>
    <w:p>
      <w:pPr>
        <w:ind w:left="760" w:hanging="324"/>
        <w:spacing w:after="0"/>
        <w:tabs>
          <w:tab w:leader="none" w:pos="76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117"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shall use commercially reasonable efforts to maintain, from financially sound and reputable insurers Directors and Officers liability insurance in an amount and on terms and conditions satisfactory to the Board of Directors, until such time as the Board of Directors determines that such insurance should be discontinued. The policy will not be cancelable by the Company without prior approval by the Board of Directors.</w:t>
      </w:r>
    </w:p>
    <w:p>
      <w:pPr>
        <w:spacing w:after="0" w:line="187"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Employee Agreements</w:t>
      </w:r>
      <w:r>
        <w:rPr>
          <w:rFonts w:ascii="Arial" w:cs="Arial" w:eastAsia="Arial" w:hAnsi="Arial"/>
          <w:sz w:val="18"/>
          <w:szCs w:val="18"/>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one year non-competition and non-solicitation agreement, substantially in the form approved by the Board of Directors.</w:t>
      </w:r>
    </w:p>
    <w:p>
      <w:pPr>
        <w:spacing w:after="0" w:line="187"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Employee Stock</w:t>
      </w:r>
      <w:r>
        <w:rPr>
          <w:rFonts w:ascii="Arial" w:cs="Arial" w:eastAsia="Arial" w:hAnsi="Arial"/>
          <w:sz w:val="16"/>
          <w:szCs w:val="16"/>
          <w:color w:val="auto"/>
        </w:rPr>
        <w:t xml:space="preserve">. Unless otherwise approved by the Board of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4 year period, with the first 25% of such shares vesting following 12 months of continued employment or service, and the remaining shares vesting in equal monthly installments over the following 36 months, and (ii) a market stand-off provision substantially similar to that in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Without the prior approval by the Board of Directors, the Company shall not amend, modify, terminate, waive or otherwise alter, in whole or in part, any stock purchase, stock restriction or option agreement with any existing employee or service provider if such amendment would cause it to be inconsistent with this </w:t>
      </w:r>
      <w:r>
        <w:rPr>
          <w:rFonts w:ascii="Arial" w:cs="Arial" w:eastAsia="Arial" w:hAnsi="Arial"/>
          <w:sz w:val="16"/>
          <w:szCs w:val="16"/>
          <w:u w:val="single" w:color="auto"/>
          <w:color w:val="auto"/>
        </w:rPr>
        <w:t>Section 5.3</w:t>
      </w:r>
      <w:r>
        <w:rPr>
          <w:rFonts w:ascii="Arial" w:cs="Arial" w:eastAsia="Arial" w:hAnsi="Arial"/>
          <w:sz w:val="16"/>
          <w:szCs w:val="16"/>
          <w:color w:val="auto"/>
        </w:rPr>
        <w:t>. In addition, unless otherwise approved by the Board of Directors, the Company shall retain (and not waive) a “right of first refusal” on employee transfers until the Company’s IPO and shall have the right to repurchase unvested shares at cost upon termination of employment of a holder of restricted stock.</w:t>
      </w:r>
    </w:p>
    <w:p>
      <w:pPr>
        <w:spacing w:after="0" w:line="166"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Board Matters</w:t>
      </w:r>
      <w:r>
        <w:rPr>
          <w:rFonts w:ascii="Arial" w:cs="Arial" w:eastAsia="Arial" w:hAnsi="Arial"/>
          <w:sz w:val="17"/>
          <w:szCs w:val="17"/>
          <w:color w:val="auto"/>
        </w:rPr>
        <w:t>. Unless otherwise determined by the vote of a majority of the directors then in office, the Board of Directors shall meet at least quarterly in accordance with an agreed-upon schedule. The Company shall reimburse the directors for all reasonable out-of-pocket travel expenses incurred (consistent with the Company’s travel policy) in connection with attending meetings of the Board of Directors. Each non-employee director shall be entitled in such person’s discretion to be a member of any committee of the Board of Directors.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75" w:name="page276"/>
    <w:bookmarkEnd w:id="275"/>
    <w:p>
      <w:pPr>
        <w:ind w:right="1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5.5 </w:t>
      </w:r>
      <w:r>
        <w:rPr>
          <w:rFonts w:ascii="Arial" w:cs="Arial" w:eastAsia="Arial" w:hAnsi="Arial"/>
          <w:sz w:val="18"/>
          <w:szCs w:val="18"/>
          <w:u w:val="single" w:color="auto"/>
          <w:color w:val="auto"/>
        </w:rPr>
        <w:t>Matters Requiring Preferred Director Approval</w:t>
      </w:r>
      <w:r>
        <w:rPr>
          <w:rFonts w:ascii="Arial" w:cs="Arial" w:eastAsia="Arial" w:hAnsi="Arial"/>
          <w:sz w:val="18"/>
          <w:szCs w:val="18"/>
          <w:color w:val="auto"/>
        </w:rPr>
        <w:t>. During such time or times as the holders of Preferred Stock are entitled to elect a Preferred Director and such seat is filled, the Company hereby covenants and agrees with each of the Investors that it shall not, without approval of the Board of Directors, which approval must include the Requisite Preferred Director Vote:</w:t>
      </w:r>
    </w:p>
    <w:p>
      <w:pPr>
        <w:spacing w:after="0" w:line="184" w:lineRule="exact"/>
        <w:rPr>
          <w:sz w:val="20"/>
          <w:szCs w:val="20"/>
          <w:color w:val="auto"/>
        </w:rPr>
      </w:pPr>
    </w:p>
    <w:p>
      <w:pPr>
        <w:ind w:right="440" w:firstLine="987"/>
        <w:spacing w:after="0" w:line="277" w:lineRule="auto"/>
        <w:tabs>
          <w:tab w:leader="none" w:pos="137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or own any stock or other securities of, any subsidiary or other corporation, partnership, or other entity unless it is wholly owned by the Company;</w:t>
      </w:r>
    </w:p>
    <w:p>
      <w:pPr>
        <w:spacing w:after="0" w:line="170" w:lineRule="exact"/>
        <w:rPr>
          <w:rFonts w:ascii="Arial" w:cs="Arial" w:eastAsia="Arial" w:hAnsi="Arial"/>
          <w:sz w:val="18"/>
          <w:szCs w:val="18"/>
          <w:color w:val="auto"/>
        </w:rPr>
      </w:pPr>
    </w:p>
    <w:p>
      <w:pPr>
        <w:ind w:right="60" w:firstLine="987"/>
        <w:spacing w:after="0" w:line="263" w:lineRule="auto"/>
        <w:tabs>
          <w:tab w:leader="none" w:pos="138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approved by the Board of Directors;</w:t>
      </w:r>
    </w:p>
    <w:p>
      <w:pPr>
        <w:spacing w:after="0" w:line="183" w:lineRule="exact"/>
        <w:rPr>
          <w:rFonts w:ascii="Arial" w:cs="Arial" w:eastAsia="Arial" w:hAnsi="Arial"/>
          <w:sz w:val="18"/>
          <w:szCs w:val="18"/>
          <w:color w:val="auto"/>
        </w:rPr>
      </w:pPr>
    </w:p>
    <w:p>
      <w:pPr>
        <w:ind w:right="520" w:firstLine="987"/>
        <w:spacing w:after="0" w:line="277" w:lineRule="auto"/>
        <w:tabs>
          <w:tab w:leader="none" w:pos="137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guarantee, directly or indirectly, or permit any subsidiary to guarantee, directly or indirectly, any indebtedness except for trade accounts of the Company or any subsidiary arising in the ordinary course of business;</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 of Directors;</w:t>
      </w:r>
    </w:p>
    <w:p>
      <w:pPr>
        <w:spacing w:after="0" w:line="225" w:lineRule="exact"/>
        <w:rPr>
          <w:rFonts w:ascii="Arial" w:cs="Arial" w:eastAsia="Arial" w:hAnsi="Arial"/>
          <w:sz w:val="18"/>
          <w:szCs w:val="18"/>
          <w:color w:val="auto"/>
        </w:rPr>
      </w:pPr>
    </w:p>
    <w:p>
      <w:pPr>
        <w:ind w:firstLine="987"/>
        <w:spacing w:after="0" w:line="277" w:lineRule="auto"/>
        <w:tabs>
          <w:tab w:leader="none" w:pos="137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incur any aggregate indebtedness in excess of $250,000 that is not already included in the Budget (as defined in </w:t>
      </w:r>
      <w:r>
        <w:rPr>
          <w:rFonts w:ascii="Arial" w:cs="Arial" w:eastAsia="Arial" w:hAnsi="Arial"/>
          <w:sz w:val="18"/>
          <w:szCs w:val="18"/>
          <w:u w:val="single" w:color="auto"/>
          <w:color w:val="auto"/>
        </w:rPr>
        <w:t>Section 3.1(e))</w:t>
      </w:r>
      <w:r>
        <w:rPr>
          <w:rFonts w:ascii="Arial" w:cs="Arial" w:eastAsia="Arial" w:hAnsi="Arial"/>
          <w:sz w:val="18"/>
          <w:szCs w:val="18"/>
          <w:color w:val="auto"/>
        </w:rPr>
        <w:t>, other than trade credit incurred in the ordinary course of business;</w:t>
      </w:r>
    </w:p>
    <w:p>
      <w:pPr>
        <w:spacing w:after="0" w:line="170" w:lineRule="exact"/>
        <w:rPr>
          <w:rFonts w:ascii="Arial" w:cs="Arial" w:eastAsia="Arial" w:hAnsi="Arial"/>
          <w:sz w:val="18"/>
          <w:szCs w:val="18"/>
          <w:color w:val="auto"/>
        </w:rPr>
      </w:pPr>
    </w:p>
    <w:p>
      <w:pPr>
        <w:ind w:right="20" w:firstLine="987"/>
        <w:spacing w:after="0" w:line="259" w:lineRule="auto"/>
        <w:tabs>
          <w:tab w:leader="none" w:pos="135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otherwise enter into or be a party to any transaction with any director, officer, or employee of the Company or any “associate” (as defined in Rule 12b-2 promulgated under the Exchange Act) of any such Person, including without limitation any “management bonus” or similar plan providing payments to employees in connection with a Deemed Liquidation Event, as such term is defined in the Certificate of Incorporation, except for transactions contemplated by this Agreement and the Purchase Agreement;</w:t>
      </w:r>
    </w:p>
    <w:p>
      <w:pPr>
        <w:spacing w:after="0" w:line="186" w:lineRule="exact"/>
        <w:rPr>
          <w:rFonts w:ascii="Arial" w:cs="Arial" w:eastAsia="Arial" w:hAnsi="Arial"/>
          <w:sz w:val="18"/>
          <w:szCs w:val="18"/>
          <w:color w:val="auto"/>
        </w:rPr>
      </w:pPr>
    </w:p>
    <w:p>
      <w:pPr>
        <w:ind w:left="1380" w:hanging="393"/>
        <w:spacing w:after="0"/>
        <w:tabs>
          <w:tab w:leader="none" w:pos="138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hire, terminate, or change the compensation of the executive officers, including approving any option grants or stock awards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executive officers;</w:t>
      </w:r>
    </w:p>
    <w:p>
      <w:pPr>
        <w:spacing w:after="0" w:line="210" w:lineRule="exact"/>
        <w:rPr>
          <w:rFonts w:ascii="Arial" w:cs="Arial" w:eastAsia="Arial" w:hAnsi="Arial"/>
          <w:sz w:val="17"/>
          <w:szCs w:val="17"/>
          <w:color w:val="auto"/>
        </w:rPr>
      </w:pPr>
    </w:p>
    <w:p>
      <w:pPr>
        <w:ind w:left="1380" w:hanging="393"/>
        <w:spacing w:after="0"/>
        <w:tabs>
          <w:tab w:leader="none" w:pos="13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change the principal business of the Company, enter new lines of business, or exit the current line of business;</w:t>
      </w:r>
    </w:p>
    <w:p>
      <w:pPr>
        <w:spacing w:after="0" w:line="225" w:lineRule="exact"/>
        <w:rPr>
          <w:rFonts w:ascii="Arial" w:cs="Arial" w:eastAsia="Arial" w:hAnsi="Arial"/>
          <w:sz w:val="18"/>
          <w:szCs w:val="18"/>
          <w:color w:val="auto"/>
        </w:rPr>
      </w:pPr>
    </w:p>
    <w:p>
      <w:pPr>
        <w:ind w:right="420" w:firstLine="987"/>
        <w:spacing w:after="0" w:line="277" w:lineRule="auto"/>
        <w:tabs>
          <w:tab w:leader="none" w:pos="134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sell, assign, license, pledge, or encumber material technology or intellectual property, other than licenses granted in the ordinary course of business; or</w:t>
      </w:r>
    </w:p>
    <w:p>
      <w:pPr>
        <w:spacing w:after="0" w:line="170" w:lineRule="exact"/>
        <w:rPr>
          <w:rFonts w:ascii="Arial" w:cs="Arial" w:eastAsia="Arial" w:hAnsi="Arial"/>
          <w:sz w:val="18"/>
          <w:szCs w:val="18"/>
          <w:color w:val="auto"/>
        </w:rPr>
      </w:pPr>
    </w:p>
    <w:p>
      <w:pPr>
        <w:ind w:right="20" w:firstLine="987"/>
        <w:spacing w:after="0" w:line="277" w:lineRule="auto"/>
        <w:tabs>
          <w:tab w:leader="none" w:pos="134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enter into any corporate strategic relationship involving the payment, contribution, or assignment by the Company or to the Company of money or assets greater than $250,000.</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w:t>
      </w:r>
    </w:p>
    <w:p>
      <w:pPr>
        <w:spacing w:after="0" w:line="188" w:lineRule="exact"/>
        <w:rPr>
          <w:sz w:val="20"/>
          <w:szCs w:val="20"/>
          <w:color w:val="auto"/>
        </w:rPr>
      </w:pPr>
    </w:p>
    <w:p>
      <w:pPr>
        <w:jc w:val="both"/>
        <w:ind w:right="80" w:firstLine="991"/>
        <w:spacing w:after="0" w:line="286"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Indemnification Matters</w:t>
      </w:r>
      <w:r>
        <w:rPr>
          <w:rFonts w:ascii="Arial" w:cs="Arial" w:eastAsia="Arial" w:hAnsi="Arial"/>
          <w:sz w:val="17"/>
          <w:szCs w:val="17"/>
          <w:color w:val="auto"/>
        </w:rPr>
        <w:t>. The Company hereby acknowledges that one (1) or more of the Preferred Directors nominated to serve on the Board of Directors by the Investors may have certain rights to indemnification, advancement of expenses and/or insurance provided by one or more of the Investors and certain of their Affiliates (collectively, the “</w:t>
      </w:r>
      <w:r>
        <w:rPr>
          <w:rFonts w:ascii="Arial" w:cs="Arial" w:eastAsia="Arial" w:hAnsi="Arial"/>
          <w:sz w:val="17"/>
          <w:szCs w:val="17"/>
          <w:b w:val="1"/>
          <w:bCs w:val="1"/>
          <w:color w:val="auto"/>
        </w:rPr>
        <w:t>Investor Indemnitors</w:t>
      </w:r>
      <w:r>
        <w:rPr>
          <w:rFonts w:ascii="Arial" w:cs="Arial" w:eastAsia="Arial" w:hAnsi="Arial"/>
          <w:sz w:val="17"/>
          <w:szCs w:val="17"/>
          <w:color w:val="auto"/>
        </w:rPr>
        <w:t>”). The Company hereby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76" w:name="page277"/>
    <w:bookmarkEnd w:id="276"/>
    <w:p>
      <w:pPr>
        <w:ind w:left="4"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agrees (a) that it is the indemnitor of first resort (i.e., its obligations to any such Preferred Director are primary and any obligation of the Investor Indemnitors to advance expenses or to provide indemnification for the same expenses or liabilities incurred by such Preferred Director are secondary),</w:t>
      </w:r>
    </w:p>
    <w:p>
      <w:pPr>
        <w:ind w:left="4" w:hanging="4"/>
        <w:spacing w:after="0" w:line="286" w:lineRule="auto"/>
        <w:tabs>
          <w:tab w:leader="none" w:pos="259"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that it shall be required to advance the full amount of expenses incurred by such Preferred Director and shall be liable for the full amount of all expenses, judgments, penalties, fines and amounts paid in settlement by or on behalf of any such Preferred Director to the extent legally permitted and as required by the Certificate of Incorporation or Bylaws of the Company (or any agreement between the Company and such Preferred Director), without regard to any rights such Preferred Director may have against the 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Preferred Director with respect to any claim for which such Preferred Director has sought indemnification from the Company shall affect the foregoing and the Investor Indemnitors shall have a right of contribution and/or be subrogated to the extent of such advancement or payment to all of the rights of recovery of such Preferred Director against the Company. The Preferred Directors and the Investor Indemnitors are intended third party beneficiaries of this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and shall have the right, power and authority to enforce the provisions of this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as though they were a party to this Agreement.</w:t>
      </w:r>
    </w:p>
    <w:p>
      <w:pPr>
        <w:spacing w:after="0" w:line="169" w:lineRule="exact"/>
        <w:rPr>
          <w:sz w:val="20"/>
          <w:szCs w:val="20"/>
          <w:color w:val="auto"/>
        </w:rPr>
      </w:pPr>
    </w:p>
    <w:p>
      <w:pPr>
        <w:ind w:left="4" w:firstLine="991"/>
        <w:spacing w:after="0" w:line="267"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Right to Conduct Activities</w:t>
      </w:r>
      <w:r>
        <w:rPr>
          <w:rFonts w:ascii="Arial" w:cs="Arial" w:eastAsia="Arial" w:hAnsi="Arial"/>
          <w:sz w:val="17"/>
          <w:szCs w:val="17"/>
          <w:color w:val="auto"/>
        </w:rPr>
        <w:t>. The Company hereby agrees and acknowledges that each of Sands Capital Ventures, LLC (together with its Affiliates), PBM ACU Holdings, LLC (together with its Affiliates), PBM ACU Holdings II, LLC (together with its Affiliates), Blackwell, and RA Capital (together with its Affiliates) is a professional investment organization, and as such reviews the business plans and related proprietary information of many enterprises, some of which may compete directly or indirectly with the Company’s business (as currently conducted or as currently propose to be conducted). Nothing in this Agreement shall preclude or in any way restrict the Investors from evaluating or purchasing securities, including publicly traded securities, of a particular enterprise, or investing or participating in any particular enterprise whether or not such enterprise has products or services which compete with those of the Company; and the Company hereby agrees that, to the extent permitted under applicable law, Sands Capital Ventures, LLC (and its Affiliates), PBM ACU Holdings, LLC (together with its Affiliates), PBM ACU Holdings II, LLC (together with its Affiliates), Blackwell and RA Capital (or its Affiliates) shall not be liable to the Company for any claim arising out of, or based upon, (i) the investment by Sands Capital Ventures, LLC (or its Affiliates), PBM ACU Holdings, LLC (together with its Affiliates), PBM ACU Holdings II, LLC (together with its Affiliates), Blackwell or RA Capital (or its Affiliates) in any entity competitive with the Company, or (ii) actions taken by any partner, officer, employee or other representative of Sands Capital Ventures, LLC (or its Affiliates), PBM ACU Holdings, LLC (together with its Affiliates), PBM ACU Holdings II, LLC (together with its Affiliates), Blackwell or RA Capital (or its Affiliates)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91" w:lineRule="exact"/>
        <w:rPr>
          <w:sz w:val="20"/>
          <w:szCs w:val="20"/>
          <w:color w:val="auto"/>
        </w:rPr>
      </w:pPr>
    </w:p>
    <w:p>
      <w:pPr>
        <w:ind w:left="4" w:right="20" w:firstLine="991"/>
        <w:spacing w:after="0" w:line="286"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Side Letters</w:t>
      </w:r>
      <w:r>
        <w:rPr>
          <w:rFonts w:ascii="Arial" w:cs="Arial" w:eastAsia="Arial" w:hAnsi="Arial"/>
          <w:sz w:val="17"/>
          <w:szCs w:val="17"/>
          <w:color w:val="auto"/>
        </w:rPr>
        <w:t>. The Company agrees and covenants that it will promptly notify (and provide a copy to) RA Capital and Sands Capital if it enters into any separate agreements or side letters with any other shareholder of the Company or an affiliate of any such shareholder (other than the Transaction Agreements (as defined in the Purchase Agreement) and employment related agreements in the ordinary course).</w:t>
      </w:r>
    </w:p>
    <w:p>
      <w:pPr>
        <w:spacing w:after="0" w:line="165" w:lineRule="exact"/>
        <w:rPr>
          <w:sz w:val="20"/>
          <w:szCs w:val="20"/>
          <w:color w:val="auto"/>
        </w:rPr>
      </w:pPr>
    </w:p>
    <w:p>
      <w:pPr>
        <w:ind w:left="4" w:right="360" w:firstLine="991"/>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except for </w:t>
      </w:r>
      <w:r>
        <w:rPr>
          <w:rFonts w:ascii="Arial" w:cs="Arial" w:eastAsia="Arial" w:hAnsi="Arial"/>
          <w:sz w:val="18"/>
          <w:szCs w:val="18"/>
          <w:u w:val="single" w:color="auto"/>
          <w:color w:val="auto"/>
        </w:rPr>
        <w:t>Section 5.6</w:t>
      </w:r>
      <w:r>
        <w:rPr>
          <w:rFonts w:ascii="Arial" w:cs="Arial" w:eastAsia="Arial" w:hAnsi="Arial"/>
          <w:sz w:val="18"/>
          <w:szCs w:val="18"/>
          <w:color w:val="auto"/>
        </w:rPr>
        <w:t>, shall terminate and be of no further force or effect (i) immediately before the consummation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277" w:name="page278"/>
    <w:bookmarkEnd w:id="277"/>
    <w:p>
      <w:pPr>
        <w:ind w:right="5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IPO, (ii) when the Company first becomes subject to the periodic reporting requirements of Section 12(g) or 15(d) of the Exchange Act, or (iii) upon a Deemed Liquidation Event, as such term is defined in the Certificate of Incorporation, whichever event occurs first.</w:t>
      </w:r>
    </w:p>
    <w:p>
      <w:pPr>
        <w:spacing w:after="0" w:line="254" w:lineRule="exact"/>
        <w:rPr>
          <w:sz w:val="20"/>
          <w:szCs w:val="20"/>
          <w:color w:val="auto"/>
        </w:rPr>
      </w:pPr>
    </w:p>
    <w:p>
      <w:pPr>
        <w:ind w:left="760" w:hanging="324"/>
        <w:spacing w:after="0"/>
        <w:tabs>
          <w:tab w:leader="none" w:pos="76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shares of Registrable Securities (subject to appropriate adjustment for stock splits, stock dividends, combinations, and other recapitalizations); provided, however,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7"/>
          <w:szCs w:val="17"/>
          <w:u w:val="single" w:color="auto"/>
          <w:color w:val="auto"/>
        </w:rPr>
        <w:t>Section 2.11</w:t>
      </w:r>
      <w:r>
        <w:rPr>
          <w:rFonts w:ascii="Arial" w:cs="Arial" w:eastAsia="Arial" w:hAnsi="Arial"/>
          <w:sz w:val="17"/>
          <w:szCs w:val="17"/>
          <w:color w:val="auto"/>
        </w:rPr>
        <w:t>.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provided further 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82"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internal law of the State of Delaware, without regard to conflict of law principles that would result in the application of any law other than the law of the State of Delaware.</w:t>
      </w:r>
    </w:p>
    <w:p>
      <w:pPr>
        <w:spacing w:after="0" w:line="170"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w:t>
      </w:r>
    </w:p>
    <w:p>
      <w:pPr>
        <w:spacing w:after="0" w:line="171" w:lineRule="exact"/>
        <w:rPr>
          <w:sz w:val="20"/>
          <w:szCs w:val="20"/>
          <w:color w:val="auto"/>
        </w:rPr>
      </w:pPr>
    </w:p>
    <w:p>
      <w:pPr>
        <w:ind w:right="740" w:firstLine="991"/>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27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17" w:lineRule="exact"/>
        <w:rPr>
          <w:sz w:val="20"/>
          <w:szCs w:val="20"/>
          <w:color w:val="auto"/>
        </w:rPr>
      </w:pPr>
    </w:p>
    <w:p>
      <w:pPr>
        <w:ind w:right="160" w:firstLine="1428"/>
        <w:spacing w:after="0" w:line="275" w:lineRule="auto"/>
        <w:tabs>
          <w:tab w:leader="none" w:pos="1802"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 days after having been sent by registered or certified mail, return receipt requested, postage prepaid; or (iv) one business day after the business day of deposit with a nationally recognized overnight courier, freight prepaid, specifying next-day delivery, with written verification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78" w:name="page279"/>
    <w:bookmarkEnd w:id="278"/>
    <w:p>
      <w:pPr>
        <w:ind w:left="4" w:right="2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receipt. All communications shall be sent to the respective parties at their addresses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address as subsequently modified by written notice given in accordance with this </w:t>
      </w:r>
      <w:r>
        <w:rPr>
          <w:rFonts w:ascii="Arial" w:cs="Arial" w:eastAsia="Arial" w:hAnsi="Arial"/>
          <w:sz w:val="18"/>
          <w:szCs w:val="18"/>
          <w:u w:val="single" w:color="auto"/>
          <w:color w:val="auto"/>
        </w:rPr>
        <w:t>Section 6.5</w:t>
      </w:r>
      <w:r>
        <w:rPr>
          <w:rFonts w:ascii="Arial" w:cs="Arial" w:eastAsia="Arial" w:hAnsi="Arial"/>
          <w:sz w:val="18"/>
          <w:szCs w:val="18"/>
          <w:color w:val="auto"/>
        </w:rPr>
        <w:t>. If notice is given to the Company, a copy (which shall not constitute notice) shall also be sent to Cooley LLP, 1299 Pennsylvania Avenue NW, Suite 700, Washington, DC 20004, Attention: Brooke Nussbaum. If notice is given to Investors, a copy (which shall not constitute notice) shall also be sent to Wilson Sonsini Goodrich &amp; Rosati, Professional Corporation, 28 State Street, 37th Floor, Boston, MA 02109, Attention: Jennifer Fang.</w:t>
      </w:r>
    </w:p>
    <w:p>
      <w:pPr>
        <w:spacing w:after="0" w:line="195" w:lineRule="exact"/>
        <w:rPr>
          <w:sz w:val="20"/>
          <w:szCs w:val="20"/>
          <w:color w:val="auto"/>
        </w:rPr>
      </w:pPr>
    </w:p>
    <w:p>
      <w:pPr>
        <w:ind w:left="4" w:right="20" w:firstLine="1428"/>
        <w:spacing w:after="0" w:line="291" w:lineRule="auto"/>
        <w:tabs>
          <w:tab w:leader="none" w:pos="1826"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Consent to Electronic Notice</w:t>
      </w:r>
      <w:r>
        <w:rPr>
          <w:rFonts w:ascii="Arial" w:cs="Arial" w:eastAsia="Arial" w:hAnsi="Arial"/>
          <w:sz w:val="16"/>
          <w:szCs w:val="16"/>
          <w:color w:val="auto"/>
        </w:rPr>
        <w:t>. Each Investor consents to the delivery of any stockholder notice pursuant to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as amended or superseded from time to time, by electronic transmission pursuant to Section 232 of the DGCL (or any successor thereto) at the electronic mail address or the facsimile number set forth below such Investor’s name on the Schedule hereto, as updated from time to time by notice to the Company, or as on the books of the Company. To the extent that any notice given by means of electronic transmission is returned or undeliverable for any reason, the foregoing consent shall be deemed to have been revoked until a new or corrected electronic mail address has been provided, and such attempted electronic notice shall be ineffective and deemed to not have been given. Each Investor agrees to promptly notify the Company of any change in such stockholder’s electronic mail address, and that failure to do so shall not affect the foregoing.</w:t>
      </w:r>
    </w:p>
    <w:p>
      <w:pPr>
        <w:spacing w:after="0" w:line="166" w:lineRule="exact"/>
        <w:rPr>
          <w:sz w:val="20"/>
          <w:szCs w:val="20"/>
          <w:color w:val="auto"/>
        </w:rPr>
      </w:pPr>
    </w:p>
    <w:p>
      <w:pPr>
        <w:ind w:left="4" w:right="80" w:firstLine="991"/>
        <w:spacing w:after="0" w:line="29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Any term of this Agreement may be amended, modified or terminated and the observance of any term of this Agreement may be waived (either generally or in a particular instance, and either retroactively or prospectively) only with the written consent of</w:t>
      </w:r>
    </w:p>
    <w:p>
      <w:pPr>
        <w:ind w:left="4" w:right="60" w:hanging="4"/>
        <w:spacing w:after="0" w:line="281" w:lineRule="auto"/>
        <w:tabs>
          <w:tab w:leader="none" w:pos="21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the Company and (ii) the holders of at least 67% of the shares of Common Stock issued or issuable upon conversion of the shares of Series B Preferred Stock held by the Investors (voting together as a single class), excluding any Common Stock issued upon conversion of the Series B Preferred Stock pursuant to the “Special Mandatory Conversion” provisions of the Certificate of Incorporation.;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in its sole discretion waive compliance with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(and the Company’s failure to object promptly in writing after notification of a proposed assignment allegedly in violation of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shall be deemed to be a waiver);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provision hereof may be waived by any waiving party on such party’s own behalf, without the consent of any other party. Notwithstanding the foregoing, (a) this Agreement may not be amended, modified or terminated and the observance of any term hereof may not be waived with respect to any Investor without the written consent of such Investor, unless such amendment, modification, termination, or waiver applies to all Investors in the same fashion (it being agreed that a waiver of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and</w:t>
      </w:r>
    </w:p>
    <w:p>
      <w:pPr>
        <w:spacing w:after="0" w:line="5" w:lineRule="exact"/>
        <w:rPr>
          <w:rFonts w:ascii="Arial" w:cs="Arial" w:eastAsia="Arial" w:hAnsi="Arial"/>
          <w:sz w:val="16"/>
          <w:szCs w:val="16"/>
          <w:color w:val="auto"/>
        </w:rPr>
      </w:pPr>
    </w:p>
    <w:p>
      <w:pPr>
        <w:ind w:left="4" w:hanging="4"/>
        <w:spacing w:after="0" w:line="268" w:lineRule="auto"/>
        <w:tabs>
          <w:tab w:leader="none" w:pos="259"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any other section of this Agreement applicable to the Major Investors (including this clause (b) of this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may not be amended, modified, terminated or waived without the written consent of the holders of a majority of the Registrable Securities then outstanding and held by the Major Investors. Notwithstanding the foregoing,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may be amended by the Company from time to time to add transferees of any Registrable Securities in compliance with the terms of this Agreement without the consent of the other parties; and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may also be amended by the Company after the date of this Agreement without the consent of the other parties to add information regarding any additional Investor who becomes a party to this Agreement in accordance with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Any amendment, modification, termination, or waiver effected in accordance with this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79" w:name="page280"/>
    <w:bookmarkEnd w:id="279"/>
    <w:p>
      <w:pPr>
        <w:ind w:right="2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87"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84" w:lineRule="exact"/>
        <w:rPr>
          <w:sz w:val="20"/>
          <w:szCs w:val="20"/>
          <w:color w:val="auto"/>
        </w:rPr>
      </w:pPr>
    </w:p>
    <w:p>
      <w:pPr>
        <w:ind w:right="160" w:firstLine="991"/>
        <w:spacing w:after="0" w:line="296"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Additional Investors</w:t>
      </w:r>
      <w:r>
        <w:rPr>
          <w:rFonts w:ascii="Arial" w:cs="Arial" w:eastAsia="Arial" w:hAnsi="Arial"/>
          <w:sz w:val="16"/>
          <w:szCs w:val="16"/>
          <w:color w:val="auto"/>
        </w:rPr>
        <w:t>. Notwithstanding anything to the contrary contained herein, if the Company issues additional shares of the Company’s Preferred Stock after the date hereof, whether pursuant to the Purchase Agreement or otherwise,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61"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171"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92" w:lineRule="exact"/>
        <w:rPr>
          <w:sz w:val="20"/>
          <w:szCs w:val="20"/>
          <w:color w:val="auto"/>
        </w:rPr>
      </w:pPr>
    </w:p>
    <w:p>
      <w:pPr>
        <w:ind w:right="300" w:firstLine="991"/>
        <w:spacing w:after="0" w:line="296"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80" w:name="page281"/>
    <w:bookmarkEnd w:id="280"/>
    <w:p>
      <w:pPr>
        <w:jc w:val="both"/>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6.13 </w:t>
      </w:r>
      <w:r>
        <w:rPr>
          <w:rFonts w:ascii="Arial" w:cs="Arial" w:eastAsia="Arial" w:hAnsi="Arial"/>
          <w:sz w:val="18"/>
          <w:szCs w:val="18"/>
          <w:u w:val="single" w:color="auto"/>
          <w:color w:val="auto"/>
        </w:rPr>
        <w:t>Special Mandatory Conversion</w:t>
      </w:r>
      <w:r>
        <w:rPr>
          <w:rFonts w:ascii="Arial" w:cs="Arial" w:eastAsia="Arial" w:hAnsi="Arial"/>
          <w:sz w:val="18"/>
          <w:szCs w:val="18"/>
          <w:color w:val="auto"/>
        </w:rPr>
        <w:t>. In the event that the Series B Preferred Stock held by an Investor is converted into Common Stock (the “</w:t>
      </w:r>
      <w:r>
        <w:rPr>
          <w:rFonts w:ascii="Arial" w:cs="Arial" w:eastAsia="Arial" w:hAnsi="Arial"/>
          <w:sz w:val="18"/>
          <w:szCs w:val="18"/>
          <w:b w:val="1"/>
          <w:bCs w:val="1"/>
          <w:color w:val="auto"/>
        </w:rPr>
        <w:t>Converted Stock</w:t>
      </w:r>
      <w:r>
        <w:rPr>
          <w:rFonts w:ascii="Arial" w:cs="Arial" w:eastAsia="Arial" w:hAnsi="Arial"/>
          <w:sz w:val="18"/>
          <w:szCs w:val="18"/>
          <w:color w:val="auto"/>
        </w:rPr>
        <w:t>”) pursuant to the “Special Mandatory Conversion” provisions of the Certificate of Incorporation, such Investor shall cease to be entitled to any of the rights and privileges granted to an Investor or Major Investor pursuant to this Agreement with respect to such shares of Converted Stock.</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4" w:right="519" w:bottom="1440" w:gutter="0" w:footer="0" w:header="0"/>
        </w:sectPr>
      </w:pPr>
    </w:p>
    <w:bookmarkStart w:id="281" w:name="page282"/>
    <w:bookmarkEnd w:id="28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CUMEN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J.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Daniel J. O’Connell</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180"/>
        <w:spacing w:after="0"/>
        <w:tabs>
          <w:tab w:leader="none" w:pos="7080" w:val="left"/>
        </w:tabs>
        <w:rPr>
          <w:sz w:val="20"/>
          <w:szCs w:val="20"/>
          <w:color w:val="auto"/>
        </w:rPr>
      </w:pPr>
      <w:r>
        <w:rPr>
          <w:rFonts w:ascii="Arial" w:cs="Arial" w:eastAsia="Arial" w:hAnsi="Arial"/>
          <w:sz w:val="18"/>
          <w:szCs w:val="18"/>
          <w:color w:val="auto"/>
        </w:rPr>
        <w:t>Address:</w:t>
        <w:tab/>
        <w:t>427 Park Street</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Charlottesville, VA 22902</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 doconnell@acumenpharm.com</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282" w:name="page283"/>
    <w:bookmarkEnd w:id="28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Joseph Andrasko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Joseph Andrasko</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283" w:name="page284"/>
    <w:bookmarkEnd w:id="28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ARROCHAR INVESTMENTS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Macfarlane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John Macfarlane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Managing Member</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284" w:name="page285"/>
    <w:bookmarkEnd w:id="28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BLACKROCK HEALTH SCIENCES TRUST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BlackRock Advisors, LLC, its Investment Adviser</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Hongying Erin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Hongying Erin Xie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BLACKROCK HEALTH SCIENCES TRUST II</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BlackRock Advisors, LLC, its Investment Adviser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Hongying Erin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Hongying Erin Xie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Managing Director</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285" w:name="page286"/>
    <w:bookmarkEnd w:id="28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BLACKWELL PARTNERS LLC – SERIES A</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Abayomi A. Adigun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gridSpan w:val="2"/>
          </w:tcPr>
          <w:p>
            <w:pPr>
              <w:spacing w:after="0"/>
              <w:rPr>
                <w:sz w:val="20"/>
                <w:szCs w:val="20"/>
                <w:color w:val="auto"/>
              </w:rPr>
            </w:pPr>
            <w:r>
              <w:rPr>
                <w:rFonts w:ascii="Arial" w:cs="Arial" w:eastAsia="Arial" w:hAnsi="Arial"/>
                <w:sz w:val="18"/>
                <w:szCs w:val="18"/>
                <w:color w:val="auto"/>
              </w:rPr>
              <w:t>Abayomi A. Adigun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gridSpan w:val="2"/>
          </w:tcPr>
          <w:p>
            <w:pPr>
              <w:spacing w:after="0"/>
              <w:rPr>
                <w:sz w:val="20"/>
                <w:szCs w:val="20"/>
                <w:color w:val="auto"/>
              </w:rPr>
            </w:pPr>
            <w:r>
              <w:rPr>
                <w:rFonts w:ascii="Arial" w:cs="Arial" w:eastAsia="Arial" w:hAnsi="Arial"/>
                <w:sz w:val="18"/>
                <w:szCs w:val="18"/>
                <w:color w:val="auto"/>
              </w:rPr>
              <w:t>Investment Manager</w:t>
            </w:r>
          </w:p>
        </w:tc>
      </w:tr>
      <w:tr>
        <w:trPr>
          <w:trHeight w:val="230"/>
        </w:trPr>
        <w:tc>
          <w:tcPr>
            <w:tcW w:w="58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DUMAC, Inc., Authorized Signatory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Jannine M. Lall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gridSpan w:val="2"/>
          </w:tcPr>
          <w:p>
            <w:pPr>
              <w:spacing w:after="0"/>
              <w:rPr>
                <w:sz w:val="20"/>
                <w:szCs w:val="20"/>
                <w:color w:val="auto"/>
              </w:rPr>
            </w:pPr>
            <w:r>
              <w:rPr>
                <w:rFonts w:ascii="Arial" w:cs="Arial" w:eastAsia="Arial" w:hAnsi="Arial"/>
                <w:sz w:val="18"/>
                <w:szCs w:val="18"/>
                <w:color w:val="auto"/>
              </w:rPr>
              <w:t>Jannine M. Lall</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gridSpan w:val="2"/>
          </w:tcPr>
          <w:p>
            <w:pPr>
              <w:spacing w:after="0"/>
              <w:rPr>
                <w:sz w:val="20"/>
                <w:szCs w:val="20"/>
                <w:color w:val="auto"/>
              </w:rPr>
            </w:pPr>
            <w:r>
              <w:rPr>
                <w:rFonts w:ascii="Arial" w:cs="Arial" w:eastAsia="Arial" w:hAnsi="Arial"/>
                <w:sz w:val="18"/>
                <w:szCs w:val="18"/>
                <w:color w:val="auto"/>
              </w:rPr>
              <w:t>Head of Finance &amp; Controller</w:t>
            </w:r>
          </w:p>
        </w:tc>
      </w:tr>
      <w:tr>
        <w:trPr>
          <w:trHeight w:val="230"/>
        </w:trPr>
        <w:tc>
          <w:tcPr>
            <w:tcW w:w="58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DUMAC, Inc., Authorized Signatory</w:t>
            </w:r>
          </w:p>
        </w:tc>
      </w:tr>
      <w:tr>
        <w:trPr>
          <w:trHeight w:val="418"/>
        </w:trPr>
        <w:tc>
          <w:tcPr>
            <w:tcW w:w="8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3540" w:type="dxa"/>
            <w:vAlign w:val="bottom"/>
          </w:tcPr>
          <w:p>
            <w:pPr>
              <w:ind w:left="240"/>
              <w:spacing w:after="0"/>
              <w:rPr>
                <w:sz w:val="20"/>
                <w:szCs w:val="20"/>
                <w:color w:val="auto"/>
              </w:rPr>
            </w:pPr>
            <w:r>
              <w:rPr>
                <w:rFonts w:ascii="Arial" w:cs="Arial" w:eastAsia="Arial" w:hAnsi="Arial"/>
                <w:sz w:val="18"/>
                <w:szCs w:val="18"/>
                <w:color w:val="auto"/>
              </w:rPr>
              <w:t>Blackwell Partners LLC – Series A</w:t>
            </w:r>
          </w:p>
        </w:tc>
      </w:tr>
      <w:tr>
        <w:trPr>
          <w:trHeight w:val="216"/>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280 S. Mangum Street</w:t>
            </w:r>
          </w:p>
        </w:tc>
      </w:tr>
      <w:tr>
        <w:trPr>
          <w:trHeight w:val="230"/>
        </w:trPr>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Suite 210</w:t>
            </w:r>
          </w:p>
        </w:tc>
      </w:tr>
    </w:tbl>
    <w:p>
      <w:pPr>
        <w:ind w:left="7280"/>
        <w:spacing w:after="0"/>
        <w:rPr>
          <w:sz w:val="20"/>
          <w:szCs w:val="20"/>
          <w:color w:val="auto"/>
        </w:rPr>
      </w:pPr>
      <w:r>
        <w:rPr>
          <w:rFonts w:ascii="Arial" w:cs="Arial" w:eastAsia="Arial" w:hAnsi="Arial"/>
          <w:sz w:val="18"/>
          <w:szCs w:val="18"/>
          <w:color w:val="auto"/>
        </w:rPr>
        <w:t>Durham, NC 27701</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Attn: Jannine Lall</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0" w:right="439" w:bottom="1440" w:gutter="0" w:footer="0" w:header="0"/>
        </w:sectPr>
      </w:pPr>
    </w:p>
    <w:bookmarkStart w:id="286" w:name="page287"/>
    <w:bookmarkEnd w:id="28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Frank A. Bonsal,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Frank A. Bonsal, Jr.</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287" w:name="page288"/>
    <w:bookmarkEnd w:id="28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IOTECHNOLOGY</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LP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BVF Partners, L.P., its general partner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BVF, Inc., its general partner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Mark N. Lampert</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10, LLC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BVF Partners, L.P., its attorney-in-fact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BVF, Inc., its general partner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Mark N. Lampert</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IOTECHNOLOGY</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II, LP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BVF Partners, L.P., its general partner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BVF, Inc., its general partner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Mark N. Lampert</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BVF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L.L.C.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BVF Partners, L.P., its manager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BVF, Inc., its general partner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Mark N. Lampert</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288" w:name="page289"/>
    <w:bookmarkEnd w:id="28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Alex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Alex Casdin</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289" w:name="page290"/>
    <w:bookmarkEnd w:id="28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CHARLOTTESVILLE AREA COMMUNITY</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FOUNDATION</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 Dorman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Jan Dorman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Director of Finance</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290" w:name="page291"/>
    <w:bookmarkEnd w:id="29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LELAND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AMILY</w:t>
      </w:r>
      <w:r>
        <w:rPr>
          <w:rFonts w:ascii="Arial" w:cs="Arial" w:eastAsia="Arial" w:hAnsi="Arial"/>
          <w:sz w:val="18"/>
          <w:szCs w:val="18"/>
          <w:b w:val="1"/>
          <w:bCs w:val="1"/>
          <w:color w:val="auto"/>
        </w:rPr>
        <w:t xml:space="preserve"> III,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Bruce Cleland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Bruce Cleland</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Managing Partner</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291" w:name="page292"/>
    <w:bookmarkEnd w:id="29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Terrence D.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Terrence D. Daniels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ERRENCE</w:t>
      </w:r>
      <w:r>
        <w:rPr>
          <w:rFonts w:ascii="Arial" w:cs="Arial" w:eastAsia="Arial" w:hAnsi="Arial"/>
          <w:sz w:val="18"/>
          <w:szCs w:val="18"/>
          <w:b w:val="1"/>
          <w:bCs w:val="1"/>
          <w:color w:val="auto"/>
        </w:rPr>
        <w:t xml:space="preserve"> D. D</w:t>
      </w:r>
      <w:r>
        <w:rPr>
          <w:rFonts w:ascii="Arial" w:cs="Arial" w:eastAsia="Arial" w:hAnsi="Arial"/>
          <w:sz w:val="14"/>
          <w:szCs w:val="14"/>
          <w:b w:val="1"/>
          <w:bCs w:val="1"/>
          <w:color w:val="auto"/>
        </w:rPr>
        <w:t>ANIELS</w:t>
      </w:r>
      <w:r>
        <w:rPr>
          <w:rFonts w:ascii="Arial" w:cs="Arial" w:eastAsia="Arial" w:hAnsi="Arial"/>
          <w:sz w:val="18"/>
          <w:szCs w:val="18"/>
          <w:b w:val="1"/>
          <w:bCs w:val="1"/>
          <w:color w:val="auto"/>
        </w:rPr>
        <w:t xml:space="preserve"> 2008 C</w:t>
      </w:r>
      <w:r>
        <w:rPr>
          <w:rFonts w:ascii="Arial" w:cs="Arial" w:eastAsia="Arial" w:hAnsi="Arial"/>
          <w:sz w:val="14"/>
          <w:szCs w:val="14"/>
          <w:b w:val="1"/>
          <w:bCs w:val="1"/>
          <w:color w:val="auto"/>
        </w:rPr>
        <w:t>HILDREN</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Terrence D.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Terrence D. Daniels</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ERRENCE</w:t>
      </w:r>
      <w:r>
        <w:rPr>
          <w:rFonts w:ascii="Arial" w:cs="Arial" w:eastAsia="Arial" w:hAnsi="Arial"/>
          <w:sz w:val="18"/>
          <w:szCs w:val="18"/>
          <w:b w:val="1"/>
          <w:bCs w:val="1"/>
          <w:color w:val="auto"/>
        </w:rPr>
        <w:t xml:space="preserve"> D. D</w:t>
      </w:r>
      <w:r>
        <w:rPr>
          <w:rFonts w:ascii="Arial" w:cs="Arial" w:eastAsia="Arial" w:hAnsi="Arial"/>
          <w:sz w:val="14"/>
          <w:szCs w:val="14"/>
          <w:b w:val="1"/>
          <w:bCs w:val="1"/>
          <w:color w:val="auto"/>
        </w:rPr>
        <w:t>ANIELS</w:t>
      </w:r>
      <w:r>
        <w:rPr>
          <w:rFonts w:ascii="Arial" w:cs="Arial" w:eastAsia="Arial" w:hAnsi="Arial"/>
          <w:sz w:val="18"/>
          <w:szCs w:val="18"/>
          <w:b w:val="1"/>
          <w:bCs w:val="1"/>
          <w:color w:val="auto"/>
        </w:rPr>
        <w:t xml:space="preserve"> 2010 G</w:t>
      </w:r>
      <w:r>
        <w:rPr>
          <w:rFonts w:ascii="Arial" w:cs="Arial" w:eastAsia="Arial" w:hAnsi="Arial"/>
          <w:sz w:val="14"/>
          <w:szCs w:val="14"/>
          <w:b w:val="1"/>
          <w:bCs w:val="1"/>
          <w:color w:val="auto"/>
        </w:rPr>
        <w:t>RANDCHILDREN</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Terrence D.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Terrence D. Daniels</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20"/>
          </w:cols>
          <w:pgMar w:left="880" w:top="270" w:right="499" w:bottom="1440" w:gutter="0" w:footer="0" w:header="0"/>
        </w:sectPr>
      </w:pPr>
    </w:p>
    <w:bookmarkStart w:id="292" w:name="page293"/>
    <w:bookmarkEnd w:id="29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20"/>
          <w:szCs w:val="20"/>
          <w:b w:val="1"/>
          <w:bCs w:val="1"/>
          <w:color w:val="auto"/>
        </w:rPr>
        <w:t>INVESTOR: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Tim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Tim Davis</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293" w:name="page294"/>
    <w:bookmarkEnd w:id="29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UGENE</w:t>
      </w:r>
      <w:r>
        <w:rPr>
          <w:rFonts w:ascii="Arial" w:cs="Arial" w:eastAsia="Arial" w:hAnsi="Arial"/>
          <w:sz w:val="18"/>
          <w:szCs w:val="18"/>
          <w:b w:val="1"/>
          <w:bCs w:val="1"/>
          <w:color w:val="auto"/>
        </w:rPr>
        <w:t xml:space="preserve"> V. F</w:t>
      </w:r>
      <w:r>
        <w:rPr>
          <w:rFonts w:ascii="Arial" w:cs="Arial" w:eastAsia="Arial" w:hAnsi="Arial"/>
          <w:sz w:val="14"/>
          <w:szCs w:val="14"/>
          <w:b w:val="1"/>
          <w:bCs w:val="1"/>
          <w:color w:val="auto"/>
        </w:rPr>
        <w:t>IFE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EVOCABLE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 DTD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PRIL</w:t>
      </w:r>
      <w:r>
        <w:rPr>
          <w:rFonts w:ascii="Arial" w:cs="Arial" w:eastAsia="Arial" w:hAnsi="Arial"/>
          <w:sz w:val="18"/>
          <w:szCs w:val="18"/>
          <w:b w:val="1"/>
          <w:bCs w:val="1"/>
          <w:color w:val="auto"/>
        </w:rPr>
        <w:t xml:space="preserve"> 24,</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2002</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Eugene V.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Eugene V. Fife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294" w:name="page295"/>
    <w:bookmarkEnd w:id="29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Caleb Finch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Caleb Finch</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295" w:name="page296"/>
    <w:bookmarkEnd w:id="29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LYNN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John Glynn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296" w:name="page297"/>
    <w:bookmarkEnd w:id="29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Philip Goelet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Philip Goelet</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297" w:name="page298"/>
    <w:bookmarkEnd w:id="29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H7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Hardie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Robert Hardie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Co-Chairman and CEO</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298" w:name="page299"/>
    <w:bookmarkEnd w:id="29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ARK</w:t>
      </w:r>
      <w:r>
        <w:rPr>
          <w:rFonts w:ascii="Arial" w:cs="Arial" w:eastAsia="Arial" w:hAnsi="Arial"/>
          <w:sz w:val="18"/>
          <w:szCs w:val="18"/>
          <w:b w:val="1"/>
          <w:bCs w:val="1"/>
          <w:color w:val="auto"/>
        </w:rPr>
        <w:t xml:space="preserve"> J. K</w:t>
      </w:r>
      <w:r>
        <w:rPr>
          <w:rFonts w:ascii="Arial" w:cs="Arial" w:eastAsia="Arial" w:hAnsi="Arial"/>
          <w:sz w:val="14"/>
          <w:szCs w:val="14"/>
          <w:b w:val="1"/>
          <w:bCs w:val="1"/>
          <w:color w:val="auto"/>
        </w:rPr>
        <w:t>INGTON</w:t>
      </w:r>
      <w:r>
        <w:rPr>
          <w:rFonts w:ascii="Arial" w:cs="Arial" w:eastAsia="Arial" w:hAnsi="Arial"/>
          <w:sz w:val="18"/>
          <w:szCs w:val="18"/>
          <w:b w:val="1"/>
          <w:bCs w:val="1"/>
          <w:color w:val="auto"/>
        </w:rPr>
        <w:t xml:space="preserve"> &amp; A</w:t>
      </w:r>
      <w:r>
        <w:rPr>
          <w:rFonts w:ascii="Arial" w:cs="Arial" w:eastAsia="Arial" w:hAnsi="Arial"/>
          <w:sz w:val="14"/>
          <w:szCs w:val="14"/>
          <w:b w:val="1"/>
          <w:bCs w:val="1"/>
          <w:color w:val="auto"/>
        </w:rPr>
        <w:t>NN</w:t>
      </w:r>
      <w:r>
        <w:rPr>
          <w:rFonts w:ascii="Arial" w:cs="Arial" w:eastAsia="Arial" w:hAnsi="Arial"/>
          <w:sz w:val="18"/>
          <w:szCs w:val="18"/>
          <w:b w:val="1"/>
          <w:bCs w:val="1"/>
          <w:color w:val="auto"/>
        </w:rPr>
        <w:t xml:space="preserve"> K</w:t>
      </w:r>
      <w:r>
        <w:rPr>
          <w:rFonts w:ascii="Arial" w:cs="Arial" w:eastAsia="Arial" w:hAnsi="Arial"/>
          <w:sz w:val="14"/>
          <w:szCs w:val="14"/>
          <w:b w:val="1"/>
          <w:bCs w:val="1"/>
          <w:color w:val="auto"/>
        </w:rPr>
        <w:t>INGTON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BE</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 Dyson Capital Advisors, LLC</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Mark J. Kington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Mark J. Kington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Ann Kington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Ann Kington</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299" w:name="page300"/>
    <w:bookmarkEnd w:id="29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4"/>
          <w:szCs w:val="14"/>
          <w:b w:val="1"/>
          <w:bCs w:val="1"/>
          <w:color w:val="auto"/>
        </w:rPr>
        <w:t>NOLLWOOD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D. Irwin,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Kevin D. Irwin, Jr.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President of Managing Member</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00" w:name="page301"/>
    <w:bookmarkEnd w:id="30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w:t>
      </w:r>
      <w:r>
        <w:rPr>
          <w:rFonts w:ascii="Arial" w:cs="Arial" w:eastAsia="Arial" w:hAnsi="Arial"/>
          <w:sz w:val="14"/>
          <w:szCs w:val="14"/>
          <w:b w:val="1"/>
          <w:bCs w:val="1"/>
          <w:color w:val="auto"/>
        </w:rPr>
        <w:t>RC</w:t>
      </w:r>
      <w:r>
        <w:rPr>
          <w:rFonts w:ascii="Arial" w:cs="Arial" w:eastAsia="Arial" w:hAnsi="Arial"/>
          <w:sz w:val="18"/>
          <w:szCs w:val="18"/>
          <w:b w:val="1"/>
          <w:bCs w:val="1"/>
          <w:color w:val="auto"/>
        </w:rPr>
        <w:t xml:space="preserve"> D. K</w:t>
      </w:r>
      <w:r>
        <w:rPr>
          <w:rFonts w:ascii="Arial" w:cs="Arial" w:eastAsia="Arial" w:hAnsi="Arial"/>
          <w:sz w:val="14"/>
          <w:szCs w:val="14"/>
          <w:b w:val="1"/>
          <w:bCs w:val="1"/>
          <w:color w:val="auto"/>
        </w:rPr>
        <w:t>OZIN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RREVOCABLE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D</w:t>
      </w:r>
      <w:r>
        <w:rPr>
          <w:rFonts w:ascii="Arial" w:cs="Arial" w:eastAsia="Arial" w:hAnsi="Arial"/>
          <w:sz w:val="14"/>
          <w:szCs w:val="14"/>
          <w:b w:val="1"/>
          <w:bCs w:val="1"/>
          <w:color w:val="auto"/>
        </w:rPr>
        <w:t>ONNA</w:t>
      </w:r>
      <w:r>
        <w:rPr>
          <w:rFonts w:ascii="Arial" w:cs="Arial" w:eastAsia="Arial" w:hAnsi="Arial"/>
          <w:sz w:val="18"/>
          <w:szCs w:val="18"/>
          <w:b w:val="1"/>
          <w:bCs w:val="1"/>
          <w:color w:val="auto"/>
        </w:rPr>
        <w:t xml:space="preserve"> M.</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4"/>
          <w:szCs w:val="14"/>
          <w:b w:val="1"/>
          <w:bCs w:val="1"/>
          <w:color w:val="auto"/>
        </w:rPr>
        <w:t>OZIN</w:t>
      </w:r>
      <w:r>
        <w:rPr>
          <w:rFonts w:ascii="Arial" w:cs="Arial" w:eastAsia="Arial" w:hAnsi="Arial"/>
          <w:sz w:val="18"/>
          <w:szCs w:val="18"/>
          <w:b w:val="1"/>
          <w:bCs w:val="1"/>
          <w:color w:val="auto"/>
        </w:rPr>
        <w:t>, T</w:t>
      </w:r>
      <w:r>
        <w:rPr>
          <w:rFonts w:ascii="Arial" w:cs="Arial" w:eastAsia="Arial" w:hAnsi="Arial"/>
          <w:sz w:val="14"/>
          <w:szCs w:val="14"/>
          <w:b w:val="1"/>
          <w:bCs w:val="1"/>
          <w:color w:val="auto"/>
        </w:rPr>
        <w:t>RUSTEE</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Donna M. Kozin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Donna M. Kozin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01" w:name="page302"/>
    <w:bookmarkEnd w:id="30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Grant A. Krafft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Grant A. Krafft</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02" w:name="page303"/>
    <w:bookmarkEnd w:id="30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EVEL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NE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ARTNERS</w:t>
      </w:r>
      <w:r>
        <w:rPr>
          <w:rFonts w:ascii="Arial" w:cs="Arial" w:eastAsia="Arial" w:hAnsi="Arial"/>
          <w:sz w:val="18"/>
          <w:szCs w:val="18"/>
          <w:b w:val="1"/>
          <w:bCs w:val="1"/>
          <w:color w:val="auto"/>
        </w:rPr>
        <w:t>,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Hardie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Robert Hardie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Manager</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03" w:name="page304"/>
    <w:bookmarkEnd w:id="30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John L. Lewis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John L. Lewis IV</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04" w:name="page305"/>
    <w:bookmarkEnd w:id="30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AVID</w:t>
      </w:r>
      <w:r>
        <w:rPr>
          <w:rFonts w:ascii="Arial" w:cs="Arial" w:eastAsia="Arial" w:hAnsi="Arial"/>
          <w:sz w:val="18"/>
          <w:szCs w:val="18"/>
          <w:b w:val="1"/>
          <w:bCs w:val="1"/>
          <w:color w:val="auto"/>
        </w:rPr>
        <w:t xml:space="preserve"> V M</w:t>
      </w:r>
      <w:r>
        <w:rPr>
          <w:rFonts w:ascii="Arial" w:cs="Arial" w:eastAsia="Arial" w:hAnsi="Arial"/>
          <w:sz w:val="14"/>
          <w:szCs w:val="14"/>
          <w:b w:val="1"/>
          <w:bCs w:val="1"/>
          <w:color w:val="auto"/>
        </w:rPr>
        <w:t>ILLIGAN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CT</w:t>
      </w:r>
      <w:r>
        <w:rPr>
          <w:rFonts w:ascii="Arial" w:cs="Arial" w:eastAsia="Arial" w:hAnsi="Arial"/>
          <w:sz w:val="18"/>
          <w:szCs w:val="18"/>
          <w:b w:val="1"/>
          <w:bCs w:val="1"/>
          <w:color w:val="auto"/>
        </w:rPr>
        <w:t xml:space="preserve"> 19, 1991</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David Milligan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05" w:name="page306"/>
    <w:bookmarkEnd w:id="30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RW</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LIND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 Dyson Capital Advisors, LLC</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Nicholas Perrins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Nicholas Perrins</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06" w:name="page307"/>
    <w:bookmarkEnd w:id="30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Edward Meigs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Edward Meigs</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07" w:name="page308"/>
    <w:bookmarkEnd w:id="30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4"/>
          <w:szCs w:val="14"/>
          <w:b w:val="1"/>
          <w:bCs w:val="1"/>
          <w:color w:val="auto"/>
        </w:rPr>
        <w:t>AMES</w:t>
      </w:r>
      <w:r>
        <w:rPr>
          <w:rFonts w:ascii="Arial" w:cs="Arial" w:eastAsia="Arial" w:hAnsi="Arial"/>
          <w:sz w:val="18"/>
          <w:szCs w:val="18"/>
          <w:b w:val="1"/>
          <w:bCs w:val="1"/>
          <w:color w:val="auto"/>
        </w:rPr>
        <w:t xml:space="preserve"> B. M</w:t>
      </w:r>
      <w:r>
        <w:rPr>
          <w:rFonts w:ascii="Arial" w:cs="Arial" w:eastAsia="Arial" w:hAnsi="Arial"/>
          <w:sz w:val="14"/>
          <w:szCs w:val="14"/>
          <w:b w:val="1"/>
          <w:bCs w:val="1"/>
          <w:color w:val="auto"/>
        </w:rPr>
        <w:t>URRAY</w:t>
      </w:r>
      <w:r>
        <w:rPr>
          <w:rFonts w:ascii="Arial" w:cs="Arial" w:eastAsia="Arial" w:hAnsi="Arial"/>
          <w:sz w:val="18"/>
          <w:szCs w:val="18"/>
          <w:b w:val="1"/>
          <w:bCs w:val="1"/>
          <w:color w:val="auto"/>
        </w:rPr>
        <w:t>, J</w:t>
      </w:r>
      <w:r>
        <w:rPr>
          <w:rFonts w:ascii="Arial" w:cs="Arial" w:eastAsia="Arial" w:hAnsi="Arial"/>
          <w:sz w:val="14"/>
          <w:szCs w:val="14"/>
          <w:b w:val="1"/>
          <w:bCs w:val="1"/>
          <w:color w:val="auto"/>
        </w:rPr>
        <w:t>R</w:t>
      </w:r>
      <w:r>
        <w:rPr>
          <w:rFonts w:ascii="Arial" w:cs="Arial" w:eastAsia="Arial" w:hAnsi="Arial"/>
          <w:sz w:val="18"/>
          <w:szCs w:val="18"/>
          <w:b w:val="1"/>
          <w:bCs w:val="1"/>
          <w:color w:val="auto"/>
        </w:rPr>
        <w:t>. R</w:t>
      </w:r>
      <w:r>
        <w:rPr>
          <w:rFonts w:ascii="Arial" w:cs="Arial" w:eastAsia="Arial" w:hAnsi="Arial"/>
          <w:sz w:val="14"/>
          <w:szCs w:val="14"/>
          <w:b w:val="1"/>
          <w:bCs w:val="1"/>
          <w:color w:val="auto"/>
        </w:rPr>
        <w:t>EVOCABLE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r>
        <w:rPr>
          <w:rFonts w:ascii="Arial" w:cs="Arial" w:eastAsia="Arial" w:hAnsi="Arial"/>
          <w:sz w:val="18"/>
          <w:szCs w:val="18"/>
          <w:b w:val="1"/>
          <w:bCs w:val="1"/>
          <w:color w:val="auto"/>
        </w:rPr>
        <w:t xml:space="preserve"> U/A/D</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8/5/1991</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B. Murray,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B. Murray, Jr.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08" w:name="page309"/>
    <w:bookmarkEnd w:id="30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EURO</w:t>
      </w:r>
      <w:r>
        <w:rPr>
          <w:rFonts w:ascii="Arial" w:cs="Arial" w:eastAsia="Arial" w:hAnsi="Arial"/>
          <w:sz w:val="18"/>
          <w:szCs w:val="18"/>
          <w:b w:val="1"/>
          <w:bCs w:val="1"/>
          <w:color w:val="auto"/>
        </w:rPr>
        <w:t>V</w:t>
      </w:r>
      <w:r>
        <w:rPr>
          <w:rFonts w:ascii="Arial" w:cs="Arial" w:eastAsia="Arial" w:hAnsi="Arial"/>
          <w:sz w:val="14"/>
          <w:szCs w:val="14"/>
          <w:b w:val="1"/>
          <w:bCs w:val="1"/>
          <w:color w:val="auto"/>
        </w:rPr>
        <w:t>ENTURES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Daniel O’Connell</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Managing Member</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09" w:name="page310"/>
    <w:bookmarkEnd w:id="30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PBM ACU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LLC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PBM Capital Group, LLC, its manager</w:t>
      </w:r>
    </w:p>
    <w:p>
      <w:pPr>
        <w:spacing w:after="0" w:line="224"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 Manning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Paul B. Manning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CEO</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820" w:type="dxa"/>
            <w:vAlign w:val="bottom"/>
          </w:tcPr>
          <w:p>
            <w:pPr>
              <w:spacing w:after="0"/>
              <w:rPr>
                <w:sz w:val="20"/>
                <w:szCs w:val="20"/>
                <w:color w:val="auto"/>
              </w:rPr>
            </w:pPr>
            <w:r>
              <w:rPr>
                <w:rFonts w:ascii="Arial" w:cs="Arial" w:eastAsia="Arial" w:hAnsi="Arial"/>
                <w:sz w:val="18"/>
                <w:szCs w:val="18"/>
                <w:color w:val="auto"/>
              </w:rPr>
              <w:t>11/20/2020</w:t>
            </w:r>
          </w:p>
        </w:tc>
      </w:tr>
    </w:tbl>
    <w:p>
      <w:pPr>
        <w:spacing w:after="0" w:line="19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PBM ACU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xml:space="preserve"> II, LLC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PBM Capital Group, LLC, its manager</w:t>
      </w:r>
    </w:p>
    <w:p>
      <w:pPr>
        <w:spacing w:after="0" w:line="224"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 Manning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Paul B. Manning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CEO</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820" w:type="dxa"/>
            <w:vAlign w:val="bottom"/>
          </w:tcPr>
          <w:p>
            <w:pPr>
              <w:spacing w:after="0"/>
              <w:rPr>
                <w:sz w:val="20"/>
                <w:szCs w:val="20"/>
                <w:color w:val="auto"/>
              </w:rPr>
            </w:pPr>
            <w:r>
              <w:rPr>
                <w:rFonts w:ascii="Arial" w:cs="Arial" w:eastAsia="Arial" w:hAnsi="Arial"/>
                <w:sz w:val="18"/>
                <w:szCs w:val="18"/>
                <w:color w:val="auto"/>
              </w:rPr>
              <w:t>11/20/2020</w:t>
            </w:r>
          </w:p>
        </w:tc>
      </w:tr>
    </w:tbl>
    <w:p>
      <w:pPr>
        <w:spacing w:after="0" w:line="130"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0" w:right="439" w:bottom="1440" w:gutter="0" w:footer="0" w:header="0"/>
        </w:sectPr>
      </w:pPr>
    </w:p>
    <w:bookmarkStart w:id="310" w:name="page311"/>
    <w:bookmarkEnd w:id="31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RAXIS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ECHNOLOGIES</w:t>
      </w:r>
      <w:r>
        <w:rPr>
          <w:rFonts w:ascii="Arial" w:cs="Arial" w:eastAsia="Arial" w:hAnsi="Arial"/>
          <w:sz w:val="18"/>
          <w:szCs w:val="18"/>
          <w:b w:val="1"/>
          <w:bCs w:val="1"/>
          <w:color w:val="auto"/>
        </w:rPr>
        <w:t xml:space="preserve"> L.P.</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B. Murray,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B. Murray, Jr.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Manager</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11" w:name="page312"/>
    <w:bookmarkEnd w:id="31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ROTECTIVE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Mark McNeill</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Financial Reporting Manager</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12" w:name="page313"/>
    <w:bookmarkEnd w:id="31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RA CAPITAL HEALTHCARE FUND,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RA Capital Healthcare Fund GP, LLC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Rajeev Shah</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spacing w:after="0"/>
              <w:rPr>
                <w:sz w:val="20"/>
                <w:szCs w:val="20"/>
                <w:color w:val="auto"/>
              </w:rPr>
            </w:pPr>
            <w:r>
              <w:rPr>
                <w:rFonts w:ascii="Arial" w:cs="Arial" w:eastAsia="Arial" w:hAnsi="Arial"/>
                <w:sz w:val="18"/>
                <w:szCs w:val="18"/>
                <w:color w:val="auto"/>
              </w:rPr>
              <w:t>Rajeev Shah</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spacing w:after="0"/>
              <w:rPr>
                <w:sz w:val="20"/>
                <w:szCs w:val="20"/>
                <w:color w:val="auto"/>
              </w:rPr>
            </w:pPr>
            <w:r>
              <w:rPr>
                <w:rFonts w:ascii="Arial" w:cs="Arial" w:eastAsia="Arial" w:hAnsi="Arial"/>
                <w:sz w:val="18"/>
                <w:szCs w:val="18"/>
                <w:color w:val="auto"/>
              </w:rPr>
              <w:t>Manager</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3660" w:type="dxa"/>
            <w:vAlign w:val="bottom"/>
          </w:tcPr>
          <w:p>
            <w:pPr>
              <w:ind w:left="360"/>
              <w:spacing w:after="0"/>
              <w:rPr>
                <w:sz w:val="20"/>
                <w:szCs w:val="20"/>
                <w:color w:val="auto"/>
              </w:rPr>
            </w:pPr>
            <w:r>
              <w:rPr>
                <w:rFonts w:ascii="Arial" w:cs="Arial" w:eastAsia="Arial" w:hAnsi="Arial"/>
                <w:sz w:val="18"/>
                <w:szCs w:val="18"/>
                <w:color w:val="auto"/>
              </w:rPr>
              <w:t>RA Capital Management, L.P.</w:t>
            </w:r>
          </w:p>
        </w:tc>
      </w:tr>
      <w:tr>
        <w:trPr>
          <w:trHeight w:val="213"/>
        </w:trPr>
        <w:tc>
          <w:tcPr>
            <w:tcW w:w="74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200 Berkeley Street</w:t>
            </w:r>
          </w:p>
        </w:tc>
      </w:tr>
      <w:tr>
        <w:trPr>
          <w:trHeight w:val="219"/>
        </w:trPr>
        <w:tc>
          <w:tcPr>
            <w:tcW w:w="740" w:type="dxa"/>
            <w:vAlign w:val="bottom"/>
          </w:tcPr>
          <w:p>
            <w:pPr>
              <w:spacing w:after="0"/>
              <w:rPr>
                <w:sz w:val="19"/>
                <w:szCs w:val="19"/>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18</w:t>
            </w:r>
            <w:r>
              <w:rPr>
                <w:rFonts w:ascii="Arial" w:cs="Arial" w:eastAsia="Arial" w:hAnsi="Arial"/>
                <w:sz w:val="15"/>
                <w:szCs w:val="15"/>
                <w:b w:val="1"/>
                <w:bCs w:val="1"/>
                <w:color w:val="auto"/>
              </w:rPr>
              <w:t>th</w:t>
            </w:r>
            <w:r>
              <w:rPr>
                <w:rFonts w:ascii="Arial" w:cs="Arial" w:eastAsia="Arial" w:hAnsi="Arial"/>
                <w:sz w:val="18"/>
                <w:szCs w:val="18"/>
                <w:color w:val="auto"/>
              </w:rPr>
              <w:t xml:space="preserve"> Floor</w:t>
            </w:r>
          </w:p>
        </w:tc>
      </w:tr>
      <w:tr>
        <w:trPr>
          <w:trHeight w:val="216"/>
        </w:trPr>
        <w:tc>
          <w:tcPr>
            <w:tcW w:w="74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Boston, MA 02116</w:t>
            </w:r>
          </w:p>
        </w:tc>
      </w:tr>
      <w:tr>
        <w:trPr>
          <w:trHeight w:val="230"/>
        </w:trPr>
        <w:tc>
          <w:tcPr>
            <w:tcW w:w="74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Attn: General Counsel</w:t>
            </w:r>
          </w:p>
        </w:tc>
      </w:tr>
    </w:tbl>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RA CAPITAL NEXUS FUND II, L.P.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RA Capital Nexus Fund II GP,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Rajeev Shah</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spacing w:after="0"/>
              <w:rPr>
                <w:sz w:val="20"/>
                <w:szCs w:val="20"/>
                <w:color w:val="auto"/>
              </w:rPr>
            </w:pPr>
            <w:r>
              <w:rPr>
                <w:rFonts w:ascii="Arial" w:cs="Arial" w:eastAsia="Arial" w:hAnsi="Arial"/>
                <w:sz w:val="18"/>
                <w:szCs w:val="18"/>
                <w:color w:val="auto"/>
              </w:rPr>
              <w:t>Rajeev Shah</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spacing w:after="0"/>
              <w:rPr>
                <w:sz w:val="20"/>
                <w:szCs w:val="20"/>
                <w:color w:val="auto"/>
              </w:rPr>
            </w:pPr>
            <w:r>
              <w:rPr>
                <w:rFonts w:ascii="Arial" w:cs="Arial" w:eastAsia="Arial" w:hAnsi="Arial"/>
                <w:sz w:val="18"/>
                <w:szCs w:val="18"/>
                <w:color w:val="auto"/>
              </w:rPr>
              <w:t>Manager</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3660" w:type="dxa"/>
            <w:vAlign w:val="bottom"/>
          </w:tcPr>
          <w:p>
            <w:pPr>
              <w:ind w:left="360"/>
              <w:spacing w:after="0"/>
              <w:rPr>
                <w:sz w:val="20"/>
                <w:szCs w:val="20"/>
                <w:color w:val="auto"/>
              </w:rPr>
            </w:pPr>
            <w:r>
              <w:rPr>
                <w:rFonts w:ascii="Arial" w:cs="Arial" w:eastAsia="Arial" w:hAnsi="Arial"/>
                <w:sz w:val="18"/>
                <w:szCs w:val="18"/>
                <w:color w:val="auto"/>
              </w:rPr>
              <w:t>RA Capital Management, L.P.</w:t>
            </w:r>
          </w:p>
        </w:tc>
      </w:tr>
      <w:tr>
        <w:trPr>
          <w:trHeight w:val="213"/>
        </w:trPr>
        <w:tc>
          <w:tcPr>
            <w:tcW w:w="74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200 Berkeley Street</w:t>
            </w:r>
          </w:p>
        </w:tc>
      </w:tr>
      <w:tr>
        <w:trPr>
          <w:trHeight w:val="219"/>
        </w:trPr>
        <w:tc>
          <w:tcPr>
            <w:tcW w:w="740" w:type="dxa"/>
            <w:vAlign w:val="bottom"/>
          </w:tcPr>
          <w:p>
            <w:pPr>
              <w:spacing w:after="0"/>
              <w:rPr>
                <w:sz w:val="19"/>
                <w:szCs w:val="19"/>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18</w:t>
            </w:r>
            <w:r>
              <w:rPr>
                <w:rFonts w:ascii="Arial" w:cs="Arial" w:eastAsia="Arial" w:hAnsi="Arial"/>
                <w:sz w:val="15"/>
                <w:szCs w:val="15"/>
                <w:b w:val="1"/>
                <w:bCs w:val="1"/>
                <w:color w:val="auto"/>
              </w:rPr>
              <w:t>th</w:t>
            </w:r>
            <w:r>
              <w:rPr>
                <w:rFonts w:ascii="Arial" w:cs="Arial" w:eastAsia="Arial" w:hAnsi="Arial"/>
                <w:sz w:val="18"/>
                <w:szCs w:val="18"/>
                <w:color w:val="auto"/>
              </w:rPr>
              <w:t xml:space="preserve"> Floor</w:t>
            </w:r>
          </w:p>
        </w:tc>
      </w:tr>
      <w:tr>
        <w:trPr>
          <w:trHeight w:val="216"/>
        </w:trPr>
        <w:tc>
          <w:tcPr>
            <w:tcW w:w="740" w:type="dxa"/>
            <w:vAlign w:val="bottom"/>
          </w:tcPr>
          <w:p>
            <w:pPr>
              <w:spacing w:after="0"/>
              <w:rPr>
                <w:sz w:val="18"/>
                <w:szCs w:val="18"/>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Boston, MA 02116</w:t>
            </w:r>
          </w:p>
        </w:tc>
      </w:tr>
      <w:tr>
        <w:trPr>
          <w:trHeight w:val="230"/>
        </w:trPr>
        <w:tc>
          <w:tcPr>
            <w:tcW w:w="74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Attn: General Counsel</w:t>
            </w:r>
          </w:p>
        </w:tc>
      </w:tr>
    </w:tbl>
    <w:p>
      <w:pPr>
        <w:spacing w:after="0" w:line="14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80"/>
          </w:cols>
          <w:pgMar w:left="880" w:top="270" w:right="439" w:bottom="1440" w:gutter="0" w:footer="0" w:header="0"/>
        </w:sectPr>
      </w:pPr>
    </w:p>
    <w:bookmarkStart w:id="313" w:name="page314"/>
    <w:bookmarkEnd w:id="31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R3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TRATEGIES</w:t>
      </w:r>
      <w:r>
        <w:rPr>
          <w:rFonts w:ascii="Arial" w:cs="Arial" w:eastAsia="Arial" w:hAnsi="Arial"/>
          <w:sz w:val="18"/>
          <w:szCs w:val="18"/>
          <w:b w:val="1"/>
          <w:bCs w:val="1"/>
          <w:color w:val="auto"/>
        </w:rPr>
        <w:t>,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Robert Brown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Owner</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14" w:name="page315"/>
    <w:bookmarkEnd w:id="31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Dru Rasmussen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Dru Rasmussen</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15" w:name="page316"/>
    <w:bookmarkEnd w:id="31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ROCK SPRINGS CAPITAL MASTER FUND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Rock Springs General Partner LLC, its General Partner</w:t>
      </w:r>
    </w:p>
    <w:p>
      <w:pPr>
        <w:spacing w:after="0" w:line="248"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Bussard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Mark Bussard</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Member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FOUR PINES MASTER FUND LP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Four Pines General Partner LLC, its General Partner</w:t>
      </w:r>
    </w:p>
    <w:p>
      <w:pPr>
        <w:spacing w:after="0" w:line="222"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Bussard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Mark Bussard</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Member</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16" w:name="page317"/>
    <w:bookmarkEnd w:id="31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ANDS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IFE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CIENCES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ULSE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Jonathan Goodman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General Counsel</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ANDS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LOBAL</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II,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Sands Capital Global Venture Fund II-GP, L.P., Its</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Partner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Sands Capital Global Venture Fund II-GP, LLC, Its</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Jonathan Goodman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General Counsel</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ANDS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ISCOVERY</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III,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Sands Capital Ventures Discovery Fund III-GP, LLC,</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Jonathan Goodman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General Counsel</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17" w:name="page318"/>
    <w:bookmarkEnd w:id="31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David Summa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Summa</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18" w:name="page319"/>
    <w:bookmarkEnd w:id="31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Hans Utsch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Hans Utsch</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19" w:name="page320"/>
    <w:bookmarkEnd w:id="31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ALINCO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IMITED</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A.H.D. Weldon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A.H.D. Weldon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Director</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20" w:name="page321"/>
    <w:bookmarkEnd w:id="32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Spencer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Spencer Wheeler</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21" w:name="page322"/>
    <w:bookmarkEnd w:id="32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Wm Matthew Zuga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Wm Matthew Zuga</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22" w:name="page323"/>
    <w:bookmarkEnd w:id="32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MIDDLELAND ENDOWMENT I,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X.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Arthur X. Duffy</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Manager</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23" w:name="page324"/>
    <w:bookmarkEnd w:id="32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DALTON TRUST - 1995</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P. Mixer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David P. Mixer</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Trustee</w:t>
      </w:r>
    </w:p>
    <w:p>
      <w:pPr>
        <w:spacing w:after="0" w:line="1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500"/>
          </w:cols>
          <w:pgMar w:left="880" w:top="270" w:right="519" w:bottom="1440" w:gutter="0" w:footer="0" w:header="0"/>
        </w:sectPr>
      </w:pPr>
    </w:p>
    <w:bookmarkStart w:id="324" w:name="page325"/>
    <w:bookmarkEnd w:id="324"/>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ectPr>
          <w:pgSz w:w="11900" w:h="16838" w:orient="portrait"/>
          <w:cols w:equalWidth="0" w:num="1">
            <w:col w:w="9019"/>
          </w:cols>
          <w:pgMar w:left="1440" w:top="270"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INVESTORS</w:t>
      </w:r>
    </w:p>
    <w:p>
      <w:pPr>
        <w:sectPr>
          <w:pgSz w:w="11900" w:h="16838" w:orient="portrait"/>
          <w:cols w:equalWidth="0" w:num="1">
            <w:col w:w="9019"/>
          </w:cols>
          <w:pgMar w:left="1440" w:top="270" w:right="1440" w:bottom="1440" w:gutter="0" w:footer="0" w:header="0"/>
          <w:type w:val="continuous"/>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68" w:lineRule="exact"/>
        <w:rPr>
          <w:sz w:val="20"/>
          <w:szCs w:val="20"/>
          <w:color w:val="auto"/>
        </w:rPr>
      </w:pPr>
    </w:p>
    <w:p>
      <w:pPr>
        <w:ind w:right="900"/>
        <w:spacing w:after="0" w:line="266"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COLLABORATION AGREEMENT</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7"/>
          <w:szCs w:val="17"/>
          <w:color w:val="auto"/>
        </w:rPr>
        <w:t>This AMENDED AND RESTATED COLLABORATION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effective as of December 22, 2003, as amended and restated as of October 18, 2006 (the “</w:t>
      </w:r>
      <w:r>
        <w:rPr>
          <w:rFonts w:ascii="Arial" w:cs="Arial" w:eastAsia="Arial" w:hAnsi="Arial"/>
          <w:sz w:val="17"/>
          <w:szCs w:val="17"/>
          <w:b w:val="1"/>
          <w:bCs w:val="1"/>
          <w:color w:val="auto"/>
        </w:rPr>
        <w:t>Amendment Effective Date</w:t>
      </w:r>
      <w:r>
        <w:rPr>
          <w:rFonts w:ascii="Arial" w:cs="Arial" w:eastAsia="Arial" w:hAnsi="Arial"/>
          <w:sz w:val="17"/>
          <w:szCs w:val="17"/>
          <w:color w:val="auto"/>
        </w:rPr>
        <w:t>”), is made by and between Acumen Pharmaceuticals Inc., a Delaware corporation, having a principal place of business at 385 Oyster Point Blvd, Suite 9A, South San Francisco, CA 94080 (“</w:t>
      </w:r>
      <w:r>
        <w:rPr>
          <w:rFonts w:ascii="Arial" w:cs="Arial" w:eastAsia="Arial" w:hAnsi="Arial"/>
          <w:sz w:val="17"/>
          <w:szCs w:val="17"/>
          <w:b w:val="1"/>
          <w:bCs w:val="1"/>
          <w:color w:val="auto"/>
        </w:rPr>
        <w:t>Acumen</w:t>
      </w:r>
      <w:r>
        <w:rPr>
          <w:rFonts w:ascii="Arial" w:cs="Arial" w:eastAsia="Arial" w:hAnsi="Arial"/>
          <w:sz w:val="17"/>
          <w:szCs w:val="17"/>
          <w:color w:val="auto"/>
        </w:rPr>
        <w:t>”), and Merck &amp; Co., Inc., a New Jersey corporation, having a principal place of business at One Merck Drive, Whitehouse Station, NJ 08889-0100 (“</w:t>
      </w:r>
      <w:r>
        <w:rPr>
          <w:rFonts w:ascii="Arial" w:cs="Arial" w:eastAsia="Arial" w:hAnsi="Arial"/>
          <w:sz w:val="17"/>
          <w:szCs w:val="17"/>
          <w:b w:val="1"/>
          <w:bCs w:val="1"/>
          <w:color w:val="auto"/>
        </w:rPr>
        <w:t>Merck</w:t>
      </w:r>
      <w:r>
        <w:rPr>
          <w:rFonts w:ascii="Arial" w:cs="Arial" w:eastAsia="Arial" w:hAnsi="Arial"/>
          <w:sz w:val="17"/>
          <w:szCs w:val="17"/>
          <w:color w:val="auto"/>
        </w:rPr>
        <w:t>”). Acumen and Merck are sometimes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Acumen possesses certain technology related to amyloid beta-derived diffusible ligands and the uses thereof;</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Merck is a leader in the research and development of pharmaceutical products;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 Acumen and Merck wish to collaborate to research, discover, and develop Products in the Therapeutic Field (as those terms are defined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D. Merck wishes to acquire an exclusive license to develop and commercialize Products resulting from the collaboration, as well as certain other rights to the results of the collaboration, and Acumen wishes to grant to Merck such license, all on the terms and conditions set forth herein below.</w:t>
      </w:r>
    </w:p>
    <w:p>
      <w:pPr>
        <w:spacing w:after="0" w:line="1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E. Effective December 22, 2003 (the “</w:t>
      </w:r>
      <w:r>
        <w:rPr>
          <w:rFonts w:ascii="Arial" w:cs="Arial" w:eastAsia="Arial" w:hAnsi="Arial"/>
          <w:sz w:val="18"/>
          <w:szCs w:val="18"/>
          <w:b w:val="1"/>
          <w:bCs w:val="1"/>
          <w:color w:val="auto"/>
        </w:rPr>
        <w:t>Effective Date</w:t>
      </w:r>
      <w:r>
        <w:rPr>
          <w:rFonts w:ascii="Arial" w:cs="Arial" w:eastAsia="Arial" w:hAnsi="Arial"/>
          <w:sz w:val="18"/>
          <w:szCs w:val="18"/>
          <w:color w:val="auto"/>
        </w:rPr>
        <w:t>”), Acumen and Merck entered into the “Collaboration Agreement” (the “</w:t>
      </w:r>
      <w:r>
        <w:rPr>
          <w:rFonts w:ascii="Arial" w:cs="Arial" w:eastAsia="Arial" w:hAnsi="Arial"/>
          <w:sz w:val="18"/>
          <w:szCs w:val="18"/>
          <w:b w:val="1"/>
          <w:bCs w:val="1"/>
          <w:color w:val="auto"/>
        </w:rPr>
        <w:t>Collaboration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to achieve these goals; and</w:t>
      </w:r>
    </w:p>
    <w:p>
      <w:pPr>
        <w:spacing w:after="0" w:line="58"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F. Acumen and Merck previously amended Section 6.1 of the Collaboration Agreement effective May 20, 2004, and wish to incorporate that amendment in this Agreement; and</w:t>
      </w:r>
    </w:p>
    <w:p>
      <w:pPr>
        <w:spacing w:after="0" w:line="62" w:lineRule="exact"/>
        <w:rPr>
          <w:sz w:val="20"/>
          <w:szCs w:val="20"/>
          <w:color w:val="auto"/>
        </w:rPr>
      </w:pPr>
    </w:p>
    <w:p>
      <w:pPr>
        <w:ind w:right="820" w:firstLine="440"/>
        <w:spacing w:after="0" w:line="277" w:lineRule="auto"/>
        <w:rPr>
          <w:sz w:val="20"/>
          <w:szCs w:val="20"/>
          <w:color w:val="auto"/>
        </w:rPr>
      </w:pPr>
      <w:r>
        <w:rPr>
          <w:rFonts w:ascii="Arial" w:cs="Arial" w:eastAsia="Arial" w:hAnsi="Arial"/>
          <w:sz w:val="18"/>
          <w:szCs w:val="18"/>
          <w:color w:val="auto"/>
        </w:rPr>
        <w:t>G. Acumen and Merck desire to further amend the Collaboration Agreement to provide Merck with an exclusive license under Acumen Diagnostic IP, and to make changes to the prosecution and maintenance of the Acumen Patent Rights;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for and in consideration of the covenants, conditions and undertakings hereinafter set forth, it is agreed by and between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as follows:</w:t>
      </w:r>
    </w:p>
    <w:p>
      <w:pPr>
        <w:sectPr>
          <w:pgSz w:w="11900" w:h="16838" w:orient="portrait"/>
          <w:cols w:equalWidth="0" w:num="1">
            <w:col w:w="11020"/>
          </w:cols>
          <w:pgMar w:left="440" w:top="121" w:right="439" w:bottom="1440" w:gutter="0" w:footer="0" w:header="0"/>
        </w:sectPr>
      </w:pPr>
    </w:p>
    <w:bookmarkStart w:id="326" w:name="page327"/>
    <w:bookmarkEnd w:id="326"/>
    <w:p>
      <w:pPr>
        <w:ind w:right="8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used herein, the following terms, whether in the singular or plural, will have the meanings set forth below when capitalized in this Agreement:</w:t>
      </w:r>
    </w:p>
    <w:p>
      <w:pPr>
        <w:spacing w:after="0" w:line="136"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shall mean, as applicable, the United States Federal Food, Drug and Cosmetic Act, 21 U.S.C. §§ 301 et seq., and/or the Public Health Service Act, 42 U.S.C. §§ 262 et seq., as such may be amended from time to time.</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u w:val="single" w:color="auto"/>
          <w:color w:val="auto"/>
        </w:rPr>
        <w:t>Acumen Diagnostic IP</w:t>
      </w:r>
      <w:r>
        <w:rPr>
          <w:rFonts w:ascii="Arial" w:cs="Arial" w:eastAsia="Arial" w:hAnsi="Arial"/>
          <w:sz w:val="18"/>
          <w:szCs w:val="18"/>
          <w:color w:val="auto"/>
        </w:rPr>
        <w:t>” shall mean all Acumen Diagnostic Know-How and Acumen Diagnostic Patent Rights. .</w:t>
      </w:r>
    </w:p>
    <w:p>
      <w:pPr>
        <w:spacing w:after="0" w:line="117"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“Acumen Diagnostic Know-How”</w:t>
      </w:r>
      <w:r>
        <w:rPr>
          <w:rFonts w:ascii="Arial" w:cs="Arial" w:eastAsia="Arial" w:hAnsi="Arial"/>
          <w:sz w:val="18"/>
          <w:szCs w:val="18"/>
          <w:color w:val="auto"/>
        </w:rPr>
        <w:t xml:space="preserve"> shall mean Know-How that is Controlled by Acumen or its Controlled Affiliates as of the Effective Date, or thereafter during the Research Term, and that is necessary or useful to research, discover, develop, make, have made, use, import, sell or offer to sell Diagnostic Products in the Diagnostic Field in the Territory.</w:t>
      </w:r>
    </w:p>
    <w:p>
      <w:pPr>
        <w:spacing w:after="0" w:line="68" w:lineRule="exact"/>
        <w:rPr>
          <w:sz w:val="20"/>
          <w:szCs w:val="20"/>
          <w:color w:val="auto"/>
        </w:rPr>
      </w:pPr>
    </w:p>
    <w:p>
      <w:pPr>
        <w:jc w:val="both"/>
        <w:ind w:right="300" w:firstLine="991"/>
        <w:spacing w:after="0" w:line="266"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Acumen Diagnostic Patent Rights”</w:t>
      </w:r>
      <w:r>
        <w:rPr>
          <w:rFonts w:ascii="Arial" w:cs="Arial" w:eastAsia="Arial" w:hAnsi="Arial"/>
          <w:sz w:val="18"/>
          <w:szCs w:val="18"/>
          <w:color w:val="auto"/>
        </w:rPr>
        <w:t xml:space="preserve"> shall mean, subject to Section 9.2.2(b), Patent Rights that are Controlled by Acumen or its Controlled Affiliates as of the Effective Date, or during the Term, and are necessary or useful to research, discover, develop, make, have made, use, import, sell or offer to sell Diagnostic Products in the Diagnostic Field in the Territory.</w:t>
      </w:r>
    </w:p>
    <w:p>
      <w:pPr>
        <w:spacing w:after="0" w:line="68"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Acumen-Owned ADDL Antibodies</w:t>
      </w:r>
      <w:r>
        <w:rPr>
          <w:rFonts w:ascii="Arial" w:cs="Arial" w:eastAsia="Arial" w:hAnsi="Arial"/>
          <w:sz w:val="18"/>
          <w:szCs w:val="18"/>
          <w:color w:val="auto"/>
        </w:rPr>
        <w:t>” shall mean ADDL Antibodies created by or on behalf of Acumen, or licensed to Acumen pursuant to the Northwestern License or the USC License.</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u w:val="single" w:color="auto"/>
          <w:color w:val="auto"/>
        </w:rPr>
        <w:t>Acumen Technology</w:t>
      </w:r>
      <w:r>
        <w:rPr>
          <w:rFonts w:ascii="Arial" w:cs="Arial" w:eastAsia="Arial" w:hAnsi="Arial"/>
          <w:sz w:val="18"/>
          <w:szCs w:val="18"/>
          <w:color w:val="auto"/>
        </w:rPr>
        <w:t>” shall mean, collectively, the Acumen Patent Rights and Acumen Know-How.</w:t>
      </w:r>
    </w:p>
    <w:p>
      <w:pPr>
        <w:spacing w:after="0" w:line="117" w:lineRule="exact"/>
        <w:rPr>
          <w:sz w:val="20"/>
          <w:szCs w:val="20"/>
          <w:color w:val="auto"/>
        </w:rPr>
      </w:pPr>
    </w:p>
    <w:p>
      <w:pPr>
        <w:ind w:firstLine="991"/>
        <w:spacing w:after="0" w:line="274" w:lineRule="auto"/>
        <w:rPr>
          <w:sz w:val="20"/>
          <w:szCs w:val="20"/>
          <w:color w:val="auto"/>
        </w:rPr>
      </w:pPr>
      <w:r>
        <w:rPr>
          <w:rFonts w:ascii="Arial" w:cs="Arial" w:eastAsia="Arial" w:hAnsi="Arial"/>
          <w:sz w:val="17"/>
          <w:szCs w:val="17"/>
          <w:color w:val="auto"/>
        </w:rPr>
        <w:t>1.4.1 “</w:t>
      </w:r>
      <w:r>
        <w:rPr>
          <w:rFonts w:ascii="Arial" w:cs="Arial" w:eastAsia="Arial" w:hAnsi="Arial"/>
          <w:sz w:val="17"/>
          <w:szCs w:val="17"/>
          <w:b w:val="1"/>
          <w:bCs w:val="1"/>
          <w:u w:val="single" w:color="auto"/>
          <w:color w:val="auto"/>
        </w:rPr>
        <w:t>Acumen Patent Rights</w:t>
      </w:r>
      <w:r>
        <w:rPr>
          <w:rFonts w:ascii="Arial" w:cs="Arial" w:eastAsia="Arial" w:hAnsi="Arial"/>
          <w:sz w:val="17"/>
          <w:szCs w:val="17"/>
          <w:color w:val="auto"/>
        </w:rPr>
        <w:t xml:space="preserve">” shall mean, subject to Section 9.2.2(b), Patent Rights that (i) are Controlled by Acumen or its Controlled Affiliates as of the Effective Date and are necessary or useful to perform the Research Program, or to research, discover, develop, make, have made, use, import, sell and offer to sell Products within the Therapeutic Field and Territory, including but not limited to the Patent Rights licensed to Acumen pursuant to the Northwestern License and the USC License, and the Patent Rights listed in </w:t>
      </w:r>
      <w:r>
        <w:rPr>
          <w:rFonts w:ascii="Arial" w:cs="Arial" w:eastAsia="Arial" w:hAnsi="Arial"/>
          <w:sz w:val="17"/>
          <w:szCs w:val="17"/>
          <w:u w:val="single" w:color="auto"/>
          <w:color w:val="auto"/>
        </w:rPr>
        <w:t>Exhibit 1.3</w:t>
      </w:r>
      <w:r>
        <w:rPr>
          <w:rFonts w:ascii="Arial" w:cs="Arial" w:eastAsia="Arial" w:hAnsi="Arial"/>
          <w:sz w:val="17"/>
          <w:szCs w:val="17"/>
          <w:color w:val="auto"/>
        </w:rPr>
        <w:t>; or (ii) claim an Invention that was invented or created by or on behalf of Acumen during the Research Term in its performance of the Research Program; or (iii) are Controlled by Acumen or its Controlled Affiliates during the Term and claim the composition or use of an ADDL Antigen or an ADDL Antibody.</w:t>
      </w:r>
    </w:p>
    <w:p>
      <w:pPr>
        <w:spacing w:after="0" w:line="65" w:lineRule="exact"/>
        <w:rPr>
          <w:sz w:val="20"/>
          <w:szCs w:val="20"/>
          <w:color w:val="auto"/>
        </w:rPr>
      </w:pPr>
    </w:p>
    <w:p>
      <w:pPr>
        <w:ind w:right="220" w:firstLine="991"/>
        <w:spacing w:after="0" w:line="303" w:lineRule="auto"/>
        <w:rPr>
          <w:sz w:val="20"/>
          <w:szCs w:val="20"/>
          <w:color w:val="auto"/>
        </w:rPr>
      </w:pPr>
      <w:r>
        <w:rPr>
          <w:rFonts w:ascii="Arial" w:cs="Arial" w:eastAsia="Arial" w:hAnsi="Arial"/>
          <w:sz w:val="16"/>
          <w:szCs w:val="16"/>
          <w:color w:val="auto"/>
        </w:rPr>
        <w:t>1.4.2 “</w:t>
      </w:r>
      <w:r>
        <w:rPr>
          <w:rFonts w:ascii="Arial" w:cs="Arial" w:eastAsia="Arial" w:hAnsi="Arial"/>
          <w:sz w:val="16"/>
          <w:szCs w:val="16"/>
          <w:b w:val="1"/>
          <w:bCs w:val="1"/>
          <w:u w:val="single" w:color="auto"/>
          <w:color w:val="auto"/>
        </w:rPr>
        <w:t>Acumen Know-How</w:t>
      </w:r>
      <w:r>
        <w:rPr>
          <w:rFonts w:ascii="Arial" w:cs="Arial" w:eastAsia="Arial" w:hAnsi="Arial"/>
          <w:sz w:val="16"/>
          <w:szCs w:val="16"/>
          <w:color w:val="auto"/>
        </w:rPr>
        <w:t>” shall mean the Know-How Controlled by Acumen or its Controlled Affiliates as of the Effective Date, or thereafter during the Research Term, that (i) was invented or created by or on behalf of Acumen in its performance of the Research Program; or (ii) is necessary or useful to perform the Research Program or to research, discover, develop, make, have made, use, offer for sale, import or sell ADDL Antibodies or Products, or (upon exercise of the Vaccine Option) ADDL Antigens, within the Therapeutic Field and Territory.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27" w:name="page328"/>
    <w:bookmarkEnd w:id="327"/>
    <w:p>
      <w:pPr>
        <w:ind w:left="4" w:right="8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u w:val="single" w:color="auto"/>
          <w:color w:val="auto"/>
        </w:rPr>
        <w:t>ADDL Antibody</w:t>
      </w:r>
      <w:r>
        <w:rPr>
          <w:rFonts w:ascii="Arial" w:cs="Arial" w:eastAsia="Arial" w:hAnsi="Arial"/>
          <w:sz w:val="18"/>
          <w:szCs w:val="18"/>
          <w:color w:val="auto"/>
        </w:rPr>
        <w:t>” shall mean [***].</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u w:val="single" w:color="auto"/>
          <w:color w:val="auto"/>
        </w:rPr>
        <w:t>ADDL Antigen</w:t>
      </w:r>
      <w:r>
        <w:rPr>
          <w:rFonts w:ascii="Arial" w:cs="Arial" w:eastAsia="Arial" w:hAnsi="Arial"/>
          <w:sz w:val="18"/>
          <w:szCs w:val="18"/>
          <w:color w:val="auto"/>
        </w:rPr>
        <w:t>” shall mean [***].</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u w:val="single" w:color="auto"/>
          <w:color w:val="auto"/>
        </w:rPr>
        <w:t>ADDL Surrogate</w:t>
      </w:r>
      <w:r>
        <w:rPr>
          <w:rFonts w:ascii="Arial" w:cs="Arial" w:eastAsia="Arial" w:hAnsi="Arial"/>
          <w:sz w:val="18"/>
          <w:szCs w:val="18"/>
          <w:color w:val="auto"/>
        </w:rPr>
        <w:t>” shall mean [***].</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u w:val="single" w:color="auto"/>
          <w:color w:val="auto"/>
        </w:rPr>
        <w:t>ADDL</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Amyloid Beta-Derived Diffusible Ligand</w:t>
      </w:r>
      <w:r>
        <w:rPr>
          <w:rFonts w:ascii="Arial" w:cs="Arial" w:eastAsia="Arial" w:hAnsi="Arial"/>
          <w:sz w:val="18"/>
          <w:szCs w:val="18"/>
          <w:color w:val="auto"/>
        </w:rPr>
        <w:t>” shall mean [***].</w:t>
      </w:r>
    </w:p>
    <w:p>
      <w:pPr>
        <w:spacing w:after="0" w:line="117" w:lineRule="exact"/>
        <w:rPr>
          <w:sz w:val="20"/>
          <w:szCs w:val="20"/>
          <w:color w:val="auto"/>
        </w:rPr>
      </w:pPr>
    </w:p>
    <w:p>
      <w:pPr>
        <w:ind w:left="4" w:right="140" w:firstLine="440"/>
        <w:spacing w:after="0" w:line="282"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u w:val="single" w:color="auto"/>
          <w:color w:val="auto"/>
        </w:rPr>
        <w:t>ADDL-Related Condition</w:t>
      </w:r>
      <w:r>
        <w:rPr>
          <w:rFonts w:ascii="Arial" w:cs="Arial" w:eastAsia="Arial" w:hAnsi="Arial"/>
          <w:sz w:val="18"/>
          <w:szCs w:val="18"/>
          <w:color w:val="auto"/>
        </w:rPr>
        <w:t>” shall mean any human medical condition, state or indication that is caused by ADDLs or for which ADDL is a contributing factor, such as without limitation, Alzheimer’s disease, Down’s Syndrome, and Mild Cognitive Impairment.</w:t>
      </w:r>
    </w:p>
    <w:p>
      <w:pPr>
        <w:spacing w:after="0" w:line="54"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1.10 “</w:t>
      </w:r>
      <w:r>
        <w:rPr>
          <w:rFonts w:ascii="Arial" w:cs="Arial" w:eastAsia="Arial" w:hAnsi="Arial"/>
          <w:sz w:val="17"/>
          <w:szCs w:val="17"/>
          <w:b w:val="1"/>
          <w:bCs w:val="1"/>
          <w:u w:val="single" w:color="auto"/>
          <w:color w:val="auto"/>
        </w:rPr>
        <w:t>Affiliate</w:t>
      </w:r>
      <w:r>
        <w:rPr>
          <w:rFonts w:ascii="Arial" w:cs="Arial" w:eastAsia="Arial" w:hAnsi="Arial"/>
          <w:sz w:val="17"/>
          <w:szCs w:val="17"/>
          <w:color w:val="auto"/>
        </w:rPr>
        <w:t>” shall mean (i) any corporation or business entity of which fifty percent (50%) (or the maximum ownership interest permitted by law) or more of the equity, voting stock, or of the ownership interests representing the general partnership interest, are owned, directly or indirectly, by Merck or Acumen, but only so long as such ownership exists; or (ii) any corporation or business entity which, directly or indirectly, owns fifty percent (50%) (or the maximum ownership interest permitted by law) or more of the equity, voting stock, or of the ownership interests representing, if applicable, the general partnership interest, of Merck or Acumen, but only so long as such ownership exists; or (iii) any corporation or business entity of which fifty percent (50%) (or the maximum ownership interest permitted by law) or more of equity, voting stock, or of the ownership interests representing the general partnership interest, are owned, directly or indirectly, by a corporation or business entity described in (ii), but only so long as such ownership exists. A “</w:t>
      </w:r>
      <w:r>
        <w:rPr>
          <w:rFonts w:ascii="Arial" w:cs="Arial" w:eastAsia="Arial" w:hAnsi="Arial"/>
          <w:sz w:val="17"/>
          <w:szCs w:val="17"/>
          <w:b w:val="1"/>
          <w:bCs w:val="1"/>
          <w:color w:val="auto"/>
        </w:rPr>
        <w:t>Controlled Affiliate</w:t>
      </w:r>
      <w:r>
        <w:rPr>
          <w:rFonts w:ascii="Arial" w:cs="Arial" w:eastAsia="Arial" w:hAnsi="Arial"/>
          <w:sz w:val="17"/>
          <w:szCs w:val="17"/>
          <w:color w:val="auto"/>
        </w:rPr>
        <w:t>” shall mean a corporation or business entity of which greater than fifty percent (50%) of the equity, voting stock, or of the ownership interests representing the general partnership interest, are owned, directly or indirectly, by Merck or Acumen, but only so long as such ownership exists.</w:t>
      </w:r>
    </w:p>
    <w:p>
      <w:pPr>
        <w:spacing w:after="0" w:line="69"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u w:val="single" w:color="auto"/>
          <w:color w:val="auto"/>
        </w:rPr>
        <w:t>Antibody Product</w:t>
      </w:r>
      <w:r>
        <w:rPr>
          <w:rFonts w:ascii="Arial" w:cs="Arial" w:eastAsia="Arial" w:hAnsi="Arial"/>
          <w:sz w:val="18"/>
          <w:szCs w:val="18"/>
          <w:color w:val="auto"/>
        </w:rPr>
        <w:t>” shall mean a pharmaceutical preparation that contains one or more ADDL Antibodies for application in the Therapeutic Field and is (i) for administration to human patients in a Clinical Trial, or (ii) for sale by prescription, over the counter, or any other method. Notwithstanding the foregoing, a pharmaceutical preparation shall not be considered an Antibody Product if it is a Vaccine Product, is intended for use in the Diagnostic Field, or it contains a Small Molecule.</w:t>
      </w:r>
    </w:p>
    <w:p>
      <w:pPr>
        <w:spacing w:after="0" w:line="72" w:lineRule="exact"/>
        <w:rPr>
          <w:sz w:val="20"/>
          <w:szCs w:val="20"/>
          <w:color w:val="auto"/>
        </w:rPr>
      </w:pPr>
    </w:p>
    <w:p>
      <w:pPr>
        <w:ind w:left="4" w:right="240" w:firstLine="440"/>
        <w:spacing w:after="0" w:line="286"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b w:val="1"/>
          <w:bCs w:val="1"/>
          <w:u w:val="single" w:color="auto"/>
          <w:color w:val="auto"/>
        </w:rPr>
        <w:t>Antibody</w:t>
      </w:r>
      <w:r>
        <w:rPr>
          <w:rFonts w:ascii="Arial" w:cs="Arial" w:eastAsia="Arial" w:hAnsi="Arial"/>
          <w:sz w:val="16"/>
          <w:szCs w:val="16"/>
          <w:color w:val="auto"/>
        </w:rPr>
        <w:t>” shall mean (i) an immunoglobulin protein or similar immune-derived, antigen-binding protein, (ii) a fragment of such immunoglobulin protein or similar immune-derived, antigen-binding protein (e.g., Fab fusion proteins), or (iii) an immune-derived antigen-binding fusion protein (e.g., Fc fusion protein) or other modified protein construct, which in each case has an antigen-binding region that has specific binding affinity for the antigen to which the same is directed. For clarity, the antigen-binding region of any such protein may be obtained by (A) conventional immunization of animals with the particular antigen of interest and/or one or more other antigens able to cross react with such particular antigen,</w:t>
      </w:r>
    </w:p>
    <w:p>
      <w:pPr>
        <w:spacing w:after="0" w:line="2" w:lineRule="exact"/>
        <w:rPr>
          <w:sz w:val="20"/>
          <w:szCs w:val="20"/>
          <w:color w:val="auto"/>
        </w:rPr>
      </w:pPr>
    </w:p>
    <w:p>
      <w:pPr>
        <w:ind w:left="284" w:hanging="284"/>
        <w:spacing w:after="0"/>
        <w:tabs>
          <w:tab w:leader="none" w:pos="284" w:val="left"/>
        </w:tabs>
        <w:numPr>
          <w:ilvl w:val="0"/>
          <w:numId w:val="221"/>
        </w:numPr>
        <w:rPr>
          <w:rFonts w:ascii="Arial" w:cs="Arial" w:eastAsia="Arial" w:hAnsi="Arial"/>
          <w:sz w:val="17"/>
          <w:szCs w:val="17"/>
          <w:color w:val="auto"/>
        </w:rPr>
      </w:pPr>
      <w:r>
        <w:rPr>
          <w:rFonts w:ascii="Arial" w:cs="Arial" w:eastAsia="Arial" w:hAnsi="Arial"/>
          <w:sz w:val="17"/>
          <w:szCs w:val="17"/>
          <w:color w:val="auto"/>
        </w:rPr>
        <w:t>lymphocyte cultures with the particular antigen of interest and/or one or more other antigens able to cross react with such particular antigen,</w:t>
      </w:r>
    </w:p>
    <w:p>
      <w:pPr>
        <w:spacing w:after="0" w:line="20" w:lineRule="exact"/>
        <w:rPr>
          <w:rFonts w:ascii="Arial" w:cs="Arial" w:eastAsia="Arial" w:hAnsi="Arial"/>
          <w:sz w:val="17"/>
          <w:szCs w:val="17"/>
          <w:color w:val="auto"/>
        </w:rPr>
      </w:pPr>
    </w:p>
    <w:p>
      <w:pPr>
        <w:ind w:left="4" w:right="40" w:hanging="4"/>
        <w:spacing w:after="0" w:line="260" w:lineRule="auto"/>
        <w:tabs>
          <w:tab w:leader="none" w:pos="28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affinity selection from libraries of variable or hypervariable domains with the particular antigen of interest and/or one or more other antigens able to cross react with such particular antigen, or (D) genetic engineering of such proteins derived pursuant to (A), (B) or (C).</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328" w:name="page329"/>
    <w:bookmarkEnd w:id="328"/>
    <w:p>
      <w:pPr>
        <w:ind w:left="4" w:right="8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u w:val="single" w:color="auto"/>
          <w:color w:val="auto"/>
        </w:rPr>
        <w:t>Biological</w:t>
      </w:r>
      <w:r>
        <w:rPr>
          <w:rFonts w:ascii="Arial" w:cs="Arial" w:eastAsia="Arial" w:hAnsi="Arial"/>
          <w:sz w:val="18"/>
          <w:szCs w:val="18"/>
          <w:color w:val="auto"/>
        </w:rPr>
        <w:t>” shall mean: (i) an Antibody; and/or (ii) any other peptide, peptide that is genetically or chemically fused to a stabilizing protein, peptide aptamer, protein, protein-construct, fusion protein, including without limitation purified protein, lipoprotein, glycoprotein, and/or nucleotide aptamer consisting of either modified or unmodified DNA or RNA sequences, including without limitation single-stranded or double-stranded or a combination of both.</w:t>
      </w:r>
    </w:p>
    <w:p>
      <w:pPr>
        <w:spacing w:after="0" w:line="72"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u w:val="single" w:color="auto"/>
          <w:color w:val="auto"/>
        </w:rPr>
        <w:t>Calendar Quarter</w:t>
      </w:r>
      <w:r>
        <w:rPr>
          <w:rFonts w:ascii="Arial" w:cs="Arial" w:eastAsia="Arial" w:hAnsi="Arial"/>
          <w:sz w:val="18"/>
          <w:szCs w:val="18"/>
          <w:color w:val="auto"/>
        </w:rPr>
        <w:t>” shall mean the respective periods of three (3) consecutive calendar months ending on March 31, June 30, September 30 and December 31.</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1.15 “</w:t>
      </w:r>
      <w:r>
        <w:rPr>
          <w:rFonts w:ascii="Arial" w:cs="Arial" w:eastAsia="Arial" w:hAnsi="Arial"/>
          <w:sz w:val="17"/>
          <w:szCs w:val="17"/>
          <w:b w:val="1"/>
          <w:bCs w:val="1"/>
          <w:u w:val="single" w:color="auto"/>
          <w:color w:val="auto"/>
        </w:rPr>
        <w:t>Calendar Year</w:t>
      </w:r>
      <w:r>
        <w:rPr>
          <w:rFonts w:ascii="Arial" w:cs="Arial" w:eastAsia="Arial" w:hAnsi="Arial"/>
          <w:sz w:val="17"/>
          <w:szCs w:val="17"/>
          <w:color w:val="auto"/>
        </w:rPr>
        <w:t>” shall mean each successive period of twelve (12) months commencing on January 1 and ending on December 31.</w:t>
      </w:r>
    </w:p>
    <w:p>
      <w:pPr>
        <w:spacing w:after="0" w:line="129" w:lineRule="exact"/>
        <w:rPr>
          <w:sz w:val="20"/>
          <w:szCs w:val="20"/>
          <w:color w:val="auto"/>
        </w:rPr>
      </w:pPr>
    </w:p>
    <w:p>
      <w:pPr>
        <w:ind w:left="4" w:right="60" w:firstLine="440"/>
        <w:spacing w:after="0" w:line="292"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b w:val="1"/>
          <w:bCs w:val="1"/>
          <w:u w:val="single" w:color="auto"/>
          <w:color w:val="auto"/>
        </w:rPr>
        <w:t>Change of Control</w:t>
      </w:r>
      <w:r>
        <w:rPr>
          <w:rFonts w:ascii="Arial" w:cs="Arial" w:eastAsia="Arial" w:hAnsi="Arial"/>
          <w:sz w:val="16"/>
          <w:szCs w:val="16"/>
          <w:color w:val="auto"/>
        </w:rPr>
        <w:t>” shall mean, with respect to a Party, any transaction or series of related transactions that constitute: (i) the sale of all or substantially all of such Party’s business or assets to an acquiring entity; (ii) any merger, consolidation, share exchange, recapitalization, business combination or other transaction to which such Party is subject resulting in the exchange of the outstanding shares of such Party for securities or consideration issued, or caused to be issued, by the acquiring entity; or (iii) an acquiring entity having obtaining beneficial ownership of fifty percent (50%) or more of the outstanding voting securities of such Party; unless in any of cases (i), (ii) or (iii) the stockholders of such Party as of the date prior to the closing date of such transaction or series of related transactions hold more than fifty percent (50%) of the voting securities in the surviving entity in such transaction or its parent outstanding immediately after the closing of such transaction or series of transactions.</w:t>
      </w:r>
    </w:p>
    <w:p>
      <w:pPr>
        <w:spacing w:after="0" w:line="53" w:lineRule="exact"/>
        <w:rPr>
          <w:sz w:val="20"/>
          <w:szCs w:val="20"/>
          <w:color w:val="auto"/>
        </w:rPr>
      </w:pPr>
    </w:p>
    <w:p>
      <w:pPr>
        <w:ind w:left="4" w:right="220" w:firstLine="440"/>
        <w:spacing w:after="0" w:line="293" w:lineRule="auto"/>
        <w:rPr>
          <w:sz w:val="20"/>
          <w:szCs w:val="20"/>
          <w:color w:val="auto"/>
        </w:rPr>
      </w:pPr>
      <w:r>
        <w:rPr>
          <w:rFonts w:ascii="Arial" w:cs="Arial" w:eastAsia="Arial" w:hAnsi="Arial"/>
          <w:sz w:val="16"/>
          <w:szCs w:val="16"/>
          <w:color w:val="auto"/>
        </w:rPr>
        <w:t>1.17 “</w:t>
      </w:r>
      <w:r>
        <w:rPr>
          <w:rFonts w:ascii="Arial" w:cs="Arial" w:eastAsia="Arial" w:hAnsi="Arial"/>
          <w:sz w:val="16"/>
          <w:szCs w:val="16"/>
          <w:b w:val="1"/>
          <w:bCs w:val="1"/>
          <w:u w:val="single" w:color="auto"/>
          <w:color w:val="auto"/>
        </w:rPr>
        <w:t>Clinical Trial</w:t>
      </w:r>
      <w:r>
        <w:rPr>
          <w:rFonts w:ascii="Arial" w:cs="Arial" w:eastAsia="Arial" w:hAnsi="Arial"/>
          <w:sz w:val="16"/>
          <w:szCs w:val="16"/>
          <w:color w:val="auto"/>
        </w:rPr>
        <w:t>” shall mean (i) any clinical trial involving the administration of a Product to a human subject for the purpose of evaluating the safety, efficacy, performance or other characteristic of such Product, including a Phase I Trial, Phase II Trial, and/or Phase III Trial; or</w:t>
      </w:r>
    </w:p>
    <w:p>
      <w:pPr>
        <w:spacing w:after="0" w:line="1" w:lineRule="exact"/>
        <w:rPr>
          <w:sz w:val="20"/>
          <w:szCs w:val="20"/>
          <w:color w:val="auto"/>
        </w:rPr>
      </w:pPr>
    </w:p>
    <w:p>
      <w:pPr>
        <w:ind w:left="4" w:right="480" w:hanging="4"/>
        <w:spacing w:after="0" w:line="260" w:lineRule="auto"/>
        <w:tabs>
          <w:tab w:leader="none" w:pos="26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commencement of GLP trials directed to obtaining data sufficient for filing under Section 510(k) of the Food, Drug and Cosmetics Act for the Regulatory Authority approval for a Diagnostic Product.</w:t>
      </w:r>
    </w:p>
    <w:p>
      <w:pPr>
        <w:spacing w:after="0" w:line="73" w:lineRule="exact"/>
        <w:rPr>
          <w:sz w:val="20"/>
          <w:szCs w:val="20"/>
          <w:color w:val="auto"/>
        </w:rPr>
      </w:pPr>
    </w:p>
    <w:p>
      <w:pPr>
        <w:ind w:left="4" w:right="60" w:firstLine="440"/>
        <w:spacing w:after="0" w:line="347" w:lineRule="auto"/>
        <w:rPr>
          <w:sz w:val="20"/>
          <w:szCs w:val="20"/>
          <w:color w:val="auto"/>
        </w:rPr>
      </w:pPr>
      <w:r>
        <w:rPr>
          <w:rFonts w:ascii="Arial" w:cs="Arial" w:eastAsia="Arial" w:hAnsi="Arial"/>
          <w:sz w:val="16"/>
          <w:szCs w:val="16"/>
          <w:color w:val="auto"/>
        </w:rPr>
        <w:t>1.18 “</w:t>
      </w:r>
      <w:r>
        <w:rPr>
          <w:rFonts w:ascii="Arial" w:cs="Arial" w:eastAsia="Arial" w:hAnsi="Arial"/>
          <w:sz w:val="16"/>
          <w:szCs w:val="16"/>
          <w:b w:val="1"/>
          <w:bCs w:val="1"/>
          <w:u w:val="single" w:color="auto"/>
          <w:color w:val="auto"/>
        </w:rPr>
        <w:t>Combination Product</w:t>
      </w:r>
      <w:r>
        <w:rPr>
          <w:rFonts w:ascii="Arial" w:cs="Arial" w:eastAsia="Arial" w:hAnsi="Arial"/>
          <w:sz w:val="16"/>
          <w:szCs w:val="16"/>
          <w:color w:val="auto"/>
        </w:rPr>
        <w:t>” shall mean (i) an Antibody Product that contains at least one therapeutically active ingredient other than an ADDL Antibody; or (ii) a Vaccine Product that contains at least one therapeutically active ingredient and/or at least one antigen other than an ADDL Antigen.</w:t>
      </w:r>
    </w:p>
    <w:p>
      <w:pPr>
        <w:spacing w:after="0" w:line="8" w:lineRule="exact"/>
        <w:rPr>
          <w:sz w:val="20"/>
          <w:szCs w:val="20"/>
          <w:color w:val="auto"/>
        </w:rPr>
      </w:pPr>
    </w:p>
    <w:p>
      <w:pPr>
        <w:ind w:left="4" w:right="80" w:firstLine="440"/>
        <w:spacing w:after="0" w:line="261"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u w:val="single" w:color="auto"/>
          <w:color w:val="auto"/>
        </w:rPr>
        <w:t>Controlled</w:t>
      </w:r>
      <w:r>
        <w:rPr>
          <w:rFonts w:ascii="Arial" w:cs="Arial" w:eastAsia="Arial" w:hAnsi="Arial"/>
          <w:sz w:val="18"/>
          <w:szCs w:val="18"/>
          <w:color w:val="auto"/>
        </w:rPr>
        <w:t>” shall mean, with respect to particular Patent Rights or Know-How, possession of the power and authority to grant or authorize a license or sublicense of, or within, the scope provided for herein with respect to such Patent Rights or Know-How, without violating the agreement or arrangement with a Third Party under which such Patent Rights or Know-How was first acquired or created by the Party granting or authorizing the license or sublicense.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329" w:name="page330"/>
    <w:bookmarkEnd w:id="329"/>
    <w:p>
      <w:pPr>
        <w:ind w:left="4" w:right="8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left="4" w:right="60" w:firstLine="440"/>
        <w:spacing w:after="0" w:line="293" w:lineRule="auto"/>
        <w:rPr>
          <w:sz w:val="20"/>
          <w:szCs w:val="20"/>
          <w:color w:val="auto"/>
        </w:rPr>
      </w:pPr>
      <w:r>
        <w:rPr>
          <w:rFonts w:ascii="Arial" w:cs="Arial" w:eastAsia="Arial" w:hAnsi="Arial"/>
          <w:sz w:val="16"/>
          <w:szCs w:val="16"/>
          <w:color w:val="auto"/>
        </w:rPr>
        <w:t>1.20 “</w:t>
      </w:r>
      <w:r>
        <w:rPr>
          <w:rFonts w:ascii="Arial" w:cs="Arial" w:eastAsia="Arial" w:hAnsi="Arial"/>
          <w:sz w:val="16"/>
          <w:szCs w:val="16"/>
          <w:b w:val="1"/>
          <w:bCs w:val="1"/>
          <w:u w:val="single" w:color="auto"/>
          <w:color w:val="auto"/>
        </w:rPr>
        <w:t>Derivative Patents</w:t>
      </w:r>
      <w:r>
        <w:rPr>
          <w:rFonts w:ascii="Arial" w:cs="Arial" w:eastAsia="Arial" w:hAnsi="Arial"/>
          <w:sz w:val="16"/>
          <w:szCs w:val="16"/>
          <w:color w:val="auto"/>
        </w:rPr>
        <w:t>” shall mean Patent Rights Controlled by Merck or its Controlled Affiliates that (i) claim an Invention that was invented or created by or on behalf of Merck (A) during the Research Term in researching or developing ADDL Antibodies, ADDL Antigens and/or Product or</w:t>
      </w:r>
    </w:p>
    <w:p>
      <w:pPr>
        <w:spacing w:after="0" w:line="1" w:lineRule="exact"/>
        <w:rPr>
          <w:sz w:val="20"/>
          <w:szCs w:val="20"/>
          <w:color w:val="auto"/>
        </w:rPr>
      </w:pPr>
    </w:p>
    <w:p>
      <w:pPr>
        <w:ind w:left="4" w:right="20" w:hanging="4"/>
        <w:spacing w:after="0" w:line="273" w:lineRule="auto"/>
        <w:tabs>
          <w:tab w:leader="none" w:pos="289" w:val="left"/>
        </w:tabs>
        <w:numPr>
          <w:ilvl w:val="0"/>
          <w:numId w:val="223"/>
        </w:numPr>
        <w:rPr>
          <w:rFonts w:ascii="Arial" w:cs="Arial" w:eastAsia="Arial" w:hAnsi="Arial"/>
          <w:sz w:val="17"/>
          <w:szCs w:val="17"/>
          <w:color w:val="auto"/>
        </w:rPr>
      </w:pPr>
      <w:r>
        <w:rPr>
          <w:rFonts w:ascii="Arial" w:cs="Arial" w:eastAsia="Arial" w:hAnsi="Arial"/>
          <w:sz w:val="17"/>
          <w:szCs w:val="17"/>
          <w:color w:val="auto"/>
        </w:rPr>
        <w:t>otherwise at any time using Confidential Information obtained by Merck or its Controlled Affiliates from Acumen; and (ii) are reasonably necessary to develop or commercialize a product that does not contain an ADDL Antibody or ADDL Antigen and is intended for the Treatment of an ADDL-Related Condition. For purposes of this Section 1.19, a Patent Rights shall be considered “reasonably necessary” if at any time there is no reasonably practical alternative to practicing the Patent Rights under the circumstances, considering both commercial and technical factors.</w:t>
      </w:r>
    </w:p>
    <w:p>
      <w:pPr>
        <w:spacing w:after="0" w:line="6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u w:val="single" w:color="auto"/>
          <w:color w:val="auto"/>
        </w:rPr>
        <w:t>Diagnostic Field</w:t>
      </w:r>
      <w:r>
        <w:rPr>
          <w:rFonts w:ascii="Arial" w:cs="Arial" w:eastAsia="Arial" w:hAnsi="Arial"/>
          <w:sz w:val="18"/>
          <w:szCs w:val="18"/>
          <w:color w:val="auto"/>
        </w:rPr>
        <w:t>” shall mean the identification, diagnosis or prognosis of any ADDL-Related Condition including, without limitation,</w:t>
      </w:r>
    </w:p>
    <w:p>
      <w:pPr>
        <w:spacing w:after="0" w:line="27" w:lineRule="exact"/>
        <w:rPr>
          <w:sz w:val="20"/>
          <w:szCs w:val="20"/>
          <w:color w:val="auto"/>
        </w:rPr>
      </w:pPr>
    </w:p>
    <w:p>
      <w:pPr>
        <w:ind w:left="4" w:hanging="4"/>
        <w:spacing w:after="0" w:line="271" w:lineRule="auto"/>
        <w:tabs>
          <w:tab w:leader="none" w:pos="219" w:val="left"/>
        </w:tabs>
        <w:numPr>
          <w:ilvl w:val="0"/>
          <w:numId w:val="224"/>
        </w:numPr>
        <w:rPr>
          <w:rFonts w:ascii="Arial" w:cs="Arial" w:eastAsia="Arial" w:hAnsi="Arial"/>
          <w:sz w:val="17"/>
          <w:szCs w:val="17"/>
          <w:color w:val="auto"/>
        </w:rPr>
      </w:pPr>
      <w:r>
        <w:rPr>
          <w:rFonts w:ascii="Arial" w:cs="Arial" w:eastAsia="Arial" w:hAnsi="Arial"/>
          <w:sz w:val="17"/>
          <w:szCs w:val="17"/>
          <w:color w:val="auto"/>
        </w:rPr>
        <w:t>quantification of ADDLs; (ii) identification of a predisposition for an ADDL-Related Condition; (iii) diagnosis, detection or confirmation of the presence or absence of an ADDL-Related Condition; (iv) therapeutic or dosage selection, prediction or monitoring of therapeutic response, effectiveness or safety (including determination of predisposition for adverse reactions to particular therapeutics or dosages), or (v) stratification or selection of individuals for treatments directed at ADDL-Related Conditions, in each case whether by determination of an individual’s genetic makeup or otherwise. It is understood that no portion of the Therapeutic Field shall be considered to be included in the Diagnostic Field.</w:t>
      </w:r>
    </w:p>
    <w:p>
      <w:pPr>
        <w:spacing w:after="0" w:line="66" w:lineRule="exact"/>
        <w:rPr>
          <w:sz w:val="20"/>
          <w:szCs w:val="20"/>
          <w:color w:val="auto"/>
        </w:rPr>
      </w:pPr>
    </w:p>
    <w:p>
      <w:pPr>
        <w:ind w:left="444"/>
        <w:spacing w:after="0"/>
        <w:rPr>
          <w:sz w:val="20"/>
          <w:szCs w:val="20"/>
          <w:color w:val="auto"/>
        </w:rPr>
      </w:pPr>
      <w:r>
        <w:rPr>
          <w:rFonts w:ascii="Arial" w:cs="Arial" w:eastAsia="Arial" w:hAnsi="Arial"/>
          <w:sz w:val="17"/>
          <w:szCs w:val="17"/>
          <w:color w:val="auto"/>
        </w:rPr>
        <w:t>1.22 “</w:t>
      </w:r>
      <w:r>
        <w:rPr>
          <w:rFonts w:ascii="Arial" w:cs="Arial" w:eastAsia="Arial" w:hAnsi="Arial"/>
          <w:sz w:val="17"/>
          <w:szCs w:val="17"/>
          <w:b w:val="1"/>
          <w:bCs w:val="1"/>
          <w:u w:val="single" w:color="auto"/>
          <w:color w:val="auto"/>
        </w:rPr>
        <w:t>Diagnostic IP</w:t>
      </w:r>
      <w:r>
        <w:rPr>
          <w:rFonts w:ascii="Arial" w:cs="Arial" w:eastAsia="Arial" w:hAnsi="Arial"/>
          <w:sz w:val="17"/>
          <w:szCs w:val="17"/>
          <w:color w:val="auto"/>
        </w:rPr>
        <w:t>” shall mean, with respect to Acumen, the Acumen Diagnostic IP and, with respect to Merck, the Merck Diagnostic IP.</w:t>
      </w:r>
    </w:p>
    <w:p>
      <w:pPr>
        <w:spacing w:after="0" w:line="129"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u w:val="single" w:color="auto"/>
          <w:color w:val="auto"/>
        </w:rPr>
        <w:t>Diagnostic Product</w:t>
      </w:r>
      <w:r>
        <w:rPr>
          <w:rFonts w:ascii="Arial" w:cs="Arial" w:eastAsia="Arial" w:hAnsi="Arial"/>
          <w:sz w:val="18"/>
          <w:szCs w:val="18"/>
          <w:color w:val="auto"/>
        </w:rPr>
        <w:t>” shall mean any product, kit or other application for use in the Diagnostic Field and which is covered by, claimed in, or makes use of (i) the Acumen Diagnostic IP; (ii) the Joint Inventions in the Diagnostic Field; or (iii) the Merck Diagnostic IP.</w:t>
      </w:r>
    </w:p>
    <w:p>
      <w:pPr>
        <w:spacing w:after="0" w:line="54" w:lineRule="exact"/>
        <w:rPr>
          <w:sz w:val="20"/>
          <w:szCs w:val="20"/>
          <w:color w:val="auto"/>
        </w:rPr>
      </w:pPr>
    </w:p>
    <w:p>
      <w:pPr>
        <w:ind w:left="4" w:right="340" w:firstLine="440"/>
        <w:spacing w:after="0" w:line="282"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u w:val="single" w:color="auto"/>
          <w:color w:val="auto"/>
        </w:rPr>
        <w:t>Diagnostic Received Revenue</w:t>
      </w:r>
      <w:r>
        <w:rPr>
          <w:rFonts w:ascii="Arial" w:cs="Arial" w:eastAsia="Arial" w:hAnsi="Arial"/>
          <w:sz w:val="18"/>
          <w:szCs w:val="18"/>
          <w:color w:val="auto"/>
        </w:rPr>
        <w:t>” shall mean revenue received by Merck or its Affiliates for Diagnostic Products other than Net Sales by Merck, its Affiliates or Sublicensees.</w:t>
      </w:r>
    </w:p>
    <w:p>
      <w:pPr>
        <w:spacing w:after="0" w:line="54" w:lineRule="exact"/>
        <w:rPr>
          <w:sz w:val="20"/>
          <w:szCs w:val="20"/>
          <w:color w:val="auto"/>
        </w:rPr>
      </w:pPr>
    </w:p>
    <w:p>
      <w:pPr>
        <w:ind w:left="4" w:right="180" w:firstLine="440"/>
        <w:spacing w:after="0" w:line="282"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u w:val="single" w:color="auto"/>
          <w:color w:val="auto"/>
        </w:rPr>
        <w:t>Filing</w:t>
      </w:r>
      <w:r>
        <w:rPr>
          <w:rFonts w:ascii="Arial" w:cs="Arial" w:eastAsia="Arial" w:hAnsi="Arial"/>
          <w:sz w:val="18"/>
          <w:szCs w:val="18"/>
          <w:color w:val="auto"/>
        </w:rPr>
        <w:t>” shall mean, with respect to an MAA submitted to a Regulatory Authority, that such Regulatory Authority has accepted such MAA for substantive review.</w:t>
      </w:r>
    </w:p>
    <w:p>
      <w:pPr>
        <w:spacing w:after="0" w:line="54"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u w:val="single" w:color="auto"/>
          <w:color w:val="auto"/>
        </w:rPr>
        <w:t>First Commercial Sale</w:t>
      </w:r>
      <w:r>
        <w:rPr>
          <w:rFonts w:ascii="Arial" w:cs="Arial" w:eastAsia="Arial" w:hAnsi="Arial"/>
          <w:sz w:val="18"/>
          <w:szCs w:val="18"/>
          <w:color w:val="auto"/>
        </w:rPr>
        <w:t>” shall mean, with respect to any Product, the first bona fide commercial sale of such Product in any country by or under authority of any of Merck, its Affiliates, or Sublicensees.</w:t>
      </w:r>
    </w:p>
    <w:p>
      <w:pPr>
        <w:spacing w:after="0" w:line="54" w:lineRule="exact"/>
        <w:rPr>
          <w:sz w:val="20"/>
          <w:szCs w:val="20"/>
          <w:color w:val="auto"/>
        </w:rPr>
      </w:pPr>
    </w:p>
    <w:p>
      <w:pPr>
        <w:ind w:left="4" w:right="60" w:firstLine="440"/>
        <w:spacing w:after="0" w:line="261"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u w:val="single" w:color="auto"/>
          <w:color w:val="auto"/>
        </w:rPr>
        <w:t>Full Time Equivalent</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FTE</w:t>
      </w:r>
      <w:r>
        <w:rPr>
          <w:rFonts w:ascii="Arial" w:cs="Arial" w:eastAsia="Arial" w:hAnsi="Arial"/>
          <w:sz w:val="18"/>
          <w:szCs w:val="18"/>
          <w:color w:val="auto"/>
        </w:rPr>
        <w:t>” shall mean the equivalent of a full-time scientist’s work time over a twelve-month period (including normal vacations, sick days and holidays) on or directly related to the Research Program. The portion of an FTE year devoted by a scientist to the Research Program shall be determined by dividing the number of hours during any Calendar Year devoted by such scientist to the Research Program by the total number of working hours during such Calendar Year.</w:t>
      </w:r>
    </w:p>
    <w:p>
      <w:pPr>
        <w:spacing w:after="0" w:line="72" w:lineRule="exact"/>
        <w:rPr>
          <w:sz w:val="20"/>
          <w:szCs w:val="20"/>
          <w:color w:val="auto"/>
        </w:rPr>
      </w:pPr>
    </w:p>
    <w:p>
      <w:pPr>
        <w:jc w:val="both"/>
        <w:ind w:left="4" w:right="20" w:firstLine="440"/>
        <w:spacing w:after="0" w:line="266"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u w:val="single" w:color="auto"/>
          <w:color w:val="auto"/>
        </w:rPr>
        <w:t>GLP</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Good Laboratory Practice</w:t>
      </w:r>
      <w:r>
        <w:rPr>
          <w:rFonts w:ascii="Arial" w:cs="Arial" w:eastAsia="Arial" w:hAnsi="Arial"/>
          <w:sz w:val="18"/>
          <w:szCs w:val="18"/>
          <w:color w:val="auto"/>
        </w:rPr>
        <w:t>” shall mean the applicable then-current standards for laboratory activities for pharmaceuticals, as set forth in the Act and regulations or guidance documents promulgated thereunder, as amended from time to time, together with similar standards of good laboratory practice as are required by any Regulatory Authority in the Territory.</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0" w:right="479" w:bottom="1440" w:gutter="0" w:footer="0" w:header="0"/>
        </w:sectPr>
      </w:pPr>
    </w:p>
    <w:bookmarkStart w:id="330" w:name="page331"/>
    <w:bookmarkEnd w:id="330"/>
    <w:p>
      <w:pPr>
        <w:ind w:right="8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u w:val="single" w:color="auto"/>
          <w:color w:val="auto"/>
        </w:rPr>
        <w:t>Invention</w:t>
      </w:r>
      <w:r>
        <w:rPr>
          <w:rFonts w:ascii="Arial" w:cs="Arial" w:eastAsia="Arial" w:hAnsi="Arial"/>
          <w:sz w:val="18"/>
          <w:szCs w:val="18"/>
          <w:color w:val="auto"/>
        </w:rPr>
        <w:t>” shall mean any process, method, composition of matter, article of manufacture, discovery, or finding, as defined pursuant to United States patent law.</w:t>
      </w:r>
    </w:p>
    <w:p>
      <w:pPr>
        <w:spacing w:after="0" w:line="54"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u w:val="single" w:color="auto"/>
          <w:color w:val="auto"/>
        </w:rPr>
        <w:t>Joint Invention</w:t>
      </w:r>
      <w:r>
        <w:rPr>
          <w:rFonts w:ascii="Arial" w:cs="Arial" w:eastAsia="Arial" w:hAnsi="Arial"/>
          <w:sz w:val="18"/>
          <w:szCs w:val="18"/>
          <w:color w:val="auto"/>
        </w:rPr>
        <w:t>” shall mean an Invention invented or created jointly by employees and/or agents of Acumen and employees and/or agents of Merck during the Research Term.</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u w:val="single" w:color="auto"/>
          <w:color w:val="auto"/>
        </w:rPr>
        <w:t>Joint Patent Rights</w:t>
      </w:r>
      <w:r>
        <w:rPr>
          <w:rFonts w:ascii="Arial" w:cs="Arial" w:eastAsia="Arial" w:hAnsi="Arial"/>
          <w:sz w:val="18"/>
          <w:szCs w:val="18"/>
          <w:color w:val="auto"/>
        </w:rPr>
        <w:t>” shall mean those Patent Rights to the extent claiming a Joint Invention.</w:t>
      </w:r>
    </w:p>
    <w:p>
      <w:pPr>
        <w:spacing w:after="0" w:line="117"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u w:val="single" w:color="auto"/>
          <w:color w:val="auto"/>
        </w:rPr>
        <w:t>Know-How</w:t>
      </w:r>
      <w:r>
        <w:rPr>
          <w:rFonts w:ascii="Arial" w:cs="Arial" w:eastAsia="Arial" w:hAnsi="Arial"/>
          <w:sz w:val="18"/>
          <w:szCs w:val="18"/>
          <w:color w:val="auto"/>
        </w:rPr>
        <w:t>” shall mean all data, Inventions, discoveries, findings, methods, information, processes, techniques and technology (whether or not patentable), including, but not limited to, formulae, materials, including biological materials, practices, methods, knowledge, know-how, processes, experience, test data (including pharmacological, toxicological and clinical information and test data, and related reports, statistical analyses, expert opinions and the like), analytical and quality control data, marketing, which in all cases are not generally known, and the trade secret rights to the foregoing. As used herein, Know-How shall not include Patent Rights.</w:t>
      </w:r>
    </w:p>
    <w:p>
      <w:pPr>
        <w:spacing w:after="0" w:line="75" w:lineRule="exact"/>
        <w:rPr>
          <w:sz w:val="20"/>
          <w:szCs w:val="20"/>
          <w:color w:val="auto"/>
        </w:rPr>
      </w:pPr>
    </w:p>
    <w:p>
      <w:pPr>
        <w:ind w:right="560" w:firstLine="440"/>
        <w:spacing w:after="0" w:line="281" w:lineRule="auto"/>
        <w:rPr>
          <w:sz w:val="20"/>
          <w:szCs w:val="20"/>
          <w:color w:val="auto"/>
        </w:rPr>
      </w:pPr>
      <w:r>
        <w:rPr>
          <w:rFonts w:ascii="Arial" w:cs="Arial" w:eastAsia="Arial" w:hAnsi="Arial"/>
          <w:sz w:val="17"/>
          <w:szCs w:val="17"/>
          <w:color w:val="auto"/>
        </w:rPr>
        <w:t>1.33 “</w:t>
      </w:r>
      <w:r>
        <w:rPr>
          <w:rFonts w:ascii="Arial" w:cs="Arial" w:eastAsia="Arial" w:hAnsi="Arial"/>
          <w:sz w:val="17"/>
          <w:szCs w:val="17"/>
          <w:b w:val="1"/>
          <w:bCs w:val="1"/>
          <w:u w:val="single" w:color="auto"/>
          <w:color w:val="auto"/>
        </w:rPr>
        <w:t>MAA</w:t>
      </w:r>
      <w:r>
        <w:rPr>
          <w:rFonts w:ascii="Arial" w:cs="Arial" w:eastAsia="Arial" w:hAnsi="Arial"/>
          <w:sz w:val="17"/>
          <w:szCs w:val="17"/>
          <w:color w:val="auto"/>
        </w:rPr>
        <w:t>” or “</w:t>
      </w:r>
      <w:r>
        <w:rPr>
          <w:rFonts w:ascii="Arial" w:cs="Arial" w:eastAsia="Arial" w:hAnsi="Arial"/>
          <w:sz w:val="17"/>
          <w:szCs w:val="17"/>
          <w:b w:val="1"/>
          <w:bCs w:val="1"/>
          <w:u w:val="single" w:color="auto"/>
          <w:color w:val="auto"/>
        </w:rPr>
        <w:t>Marketing Authorization Application</w:t>
      </w:r>
      <w:r>
        <w:rPr>
          <w:rFonts w:ascii="Arial" w:cs="Arial" w:eastAsia="Arial" w:hAnsi="Arial"/>
          <w:sz w:val="17"/>
          <w:szCs w:val="17"/>
          <w:color w:val="auto"/>
        </w:rPr>
        <w:t>” shall mean, with respect to a particular Product and jurisdiction, a marketing authorization application (including or comparable to a Biologics License Application (BLA) in the United States as defined under the Act and regulations or guidance documents promulgated thereunder) filed with the requisite Regulatory Authorities in such jurisdiction, and applying for approval to market and/or commercialize such Product in such jurisdiction for the Therapeutic Field.</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u w:val="single" w:color="auto"/>
          <w:color w:val="auto"/>
        </w:rPr>
        <w:t>Major Market</w:t>
      </w:r>
      <w:r>
        <w:rPr>
          <w:rFonts w:ascii="Arial" w:cs="Arial" w:eastAsia="Arial" w:hAnsi="Arial"/>
          <w:sz w:val="18"/>
          <w:szCs w:val="18"/>
          <w:color w:val="auto"/>
        </w:rPr>
        <w:t>” shall mean any one of the following countries: [***].</w:t>
      </w:r>
    </w:p>
    <w:p>
      <w:pPr>
        <w:spacing w:after="0" w:line="117" w:lineRule="exact"/>
        <w:rPr>
          <w:sz w:val="20"/>
          <w:szCs w:val="20"/>
          <w:color w:val="auto"/>
        </w:rPr>
      </w:pPr>
    </w:p>
    <w:p>
      <w:pPr>
        <w:ind w:right="500" w:firstLine="440"/>
        <w:spacing w:after="0" w:line="312" w:lineRule="auto"/>
        <w:rPr>
          <w:sz w:val="20"/>
          <w:szCs w:val="20"/>
          <w:color w:val="auto"/>
        </w:rPr>
      </w:pPr>
      <w:r>
        <w:rPr>
          <w:rFonts w:ascii="Arial" w:cs="Arial" w:eastAsia="Arial" w:hAnsi="Arial"/>
          <w:sz w:val="17"/>
          <w:szCs w:val="17"/>
          <w:color w:val="auto"/>
        </w:rPr>
        <w:t>1.35 “</w:t>
      </w:r>
      <w:r>
        <w:rPr>
          <w:rFonts w:ascii="Arial" w:cs="Arial" w:eastAsia="Arial" w:hAnsi="Arial"/>
          <w:sz w:val="17"/>
          <w:szCs w:val="17"/>
          <w:b w:val="1"/>
          <w:bCs w:val="1"/>
          <w:u w:val="single" w:color="auto"/>
          <w:color w:val="auto"/>
        </w:rPr>
        <w:t>Major Pharma Change of Control</w:t>
      </w:r>
      <w:r>
        <w:rPr>
          <w:rFonts w:ascii="Arial" w:cs="Arial" w:eastAsia="Arial" w:hAnsi="Arial"/>
          <w:sz w:val="17"/>
          <w:szCs w:val="17"/>
          <w:color w:val="auto"/>
        </w:rPr>
        <w:t>” shall mean a Change of Control in which a Major Pharma Entity obtains control of Acumen by acquiring Acumen’s assets or voting equity securities (by asset purchase, merger, consolidation, reorganization or otherwise).</w:t>
      </w:r>
    </w:p>
    <w:p>
      <w:pPr>
        <w:spacing w:after="0" w:line="32"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b w:val="1"/>
          <w:bCs w:val="1"/>
          <w:u w:val="single" w:color="auto"/>
          <w:color w:val="auto"/>
        </w:rPr>
        <w:t>Major Pharma Entity</w:t>
      </w:r>
      <w:r>
        <w:rPr>
          <w:rFonts w:ascii="Arial" w:cs="Arial" w:eastAsia="Arial" w:hAnsi="Arial"/>
          <w:sz w:val="18"/>
          <w:szCs w:val="18"/>
          <w:color w:val="auto"/>
        </w:rPr>
        <w:t>” shall mean any health care company, or group of health care companies acting in concert to effect a Change of Control of Acumen, for whom the worldwide sales of pharmaceutical products (collectively in the case of such a group of companies) in the Calendar Year that preceded the Change of Control is in excess of [***], as reported by such entity or group or as reported by IMS America Ltd. of Plymouth Meeting, Pennsylvania (“</w:t>
      </w:r>
      <w:r>
        <w:rPr>
          <w:rFonts w:ascii="Arial" w:cs="Arial" w:eastAsia="Arial" w:hAnsi="Arial"/>
          <w:sz w:val="18"/>
          <w:szCs w:val="18"/>
          <w:b w:val="1"/>
          <w:bCs w:val="1"/>
          <w:color w:val="auto"/>
        </w:rPr>
        <w:t>IMS</w:t>
      </w:r>
      <w:r>
        <w:rPr>
          <w:rFonts w:ascii="Arial" w:cs="Arial" w:eastAsia="Arial" w:hAnsi="Arial"/>
          <w:sz w:val="18"/>
          <w:szCs w:val="18"/>
          <w:color w:val="auto"/>
        </w:rPr>
        <w:t>”) or any successor to IMS.</w:t>
      </w:r>
    </w:p>
    <w:p>
      <w:pPr>
        <w:spacing w:after="0" w:line="72"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b w:val="1"/>
          <w:bCs w:val="1"/>
          <w:u w:val="single" w:color="auto"/>
          <w:color w:val="auto"/>
        </w:rPr>
        <w:t>Marketing Authorization</w:t>
      </w:r>
      <w:r>
        <w:rPr>
          <w:rFonts w:ascii="Arial" w:cs="Arial" w:eastAsia="Arial" w:hAnsi="Arial"/>
          <w:sz w:val="18"/>
          <w:szCs w:val="18"/>
          <w:color w:val="auto"/>
        </w:rPr>
        <w:t>” shall mean all approvals, including licenses, registrations and authorizations, of all governmental agencies in a jurisdiction necessary for the development, manufacture, use or sale of a Product in the applicable jurisdiction, including any pricing or reimbursement approval necessary to sell Product in the applicable jurisdiction.</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1.38 “</w:t>
      </w:r>
      <w:r>
        <w:rPr>
          <w:rFonts w:ascii="Arial" w:cs="Arial" w:eastAsia="Arial" w:hAnsi="Arial"/>
          <w:sz w:val="18"/>
          <w:szCs w:val="18"/>
          <w:b w:val="1"/>
          <w:bCs w:val="1"/>
          <w:u w:val="single" w:color="auto"/>
          <w:color w:val="auto"/>
        </w:rPr>
        <w:t>Merck Diagnostic IP</w:t>
      </w:r>
      <w:r>
        <w:rPr>
          <w:rFonts w:ascii="Arial" w:cs="Arial" w:eastAsia="Arial" w:hAnsi="Arial"/>
          <w:sz w:val="18"/>
          <w:szCs w:val="18"/>
          <w:color w:val="auto"/>
        </w:rPr>
        <w:t>” shall mean all Merck Diagnostic Patent Rights and Merck Diagnostic Know-How.</w:t>
      </w: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0" w:right="499" w:bottom="1440" w:gutter="0" w:footer="0" w:header="0"/>
        </w:sectPr>
      </w:pPr>
    </w:p>
    <w:bookmarkStart w:id="331" w:name="page332"/>
    <w:bookmarkEnd w:id="331"/>
    <w:p>
      <w:pPr>
        <w:ind w:right="8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color w:val="auto"/>
        </w:rPr>
        <w:t>1.38.1 “</w:t>
      </w:r>
      <w:r>
        <w:rPr>
          <w:rFonts w:ascii="Arial" w:cs="Arial" w:eastAsia="Arial" w:hAnsi="Arial"/>
          <w:sz w:val="18"/>
          <w:szCs w:val="18"/>
          <w:b w:val="1"/>
          <w:bCs w:val="1"/>
          <w:color w:val="auto"/>
        </w:rPr>
        <w:t>Merck</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Diagnostic Know-How</w:t>
      </w:r>
      <w:r>
        <w:rPr>
          <w:rFonts w:ascii="Arial" w:cs="Arial" w:eastAsia="Arial" w:hAnsi="Arial"/>
          <w:sz w:val="18"/>
          <w:szCs w:val="18"/>
          <w:color w:val="auto"/>
        </w:rPr>
        <w:t>” shall mean, Know-How that is developed by or on behalf of Merck or its Controlled Affiliates during the Research Term in its performance of the Research Program, and are reasonably necessary to research, discover, develop, make, have made, use, import, sell or offer to sell Diagnostic Products. For the purpose of this Section 1.38.1, Know-How shall be considered “reasonably necessary” if at any time there is no reasonably practical alternative to practicing the Know-How under the circumstances, considering both commercial and technical factors.</w:t>
      </w:r>
    </w:p>
    <w:p>
      <w:pPr>
        <w:spacing w:after="0" w:line="75"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color w:val="auto"/>
        </w:rPr>
        <w:t>1.38.2 “</w:t>
      </w:r>
      <w:r>
        <w:rPr>
          <w:rFonts w:ascii="Arial" w:cs="Arial" w:eastAsia="Arial" w:hAnsi="Arial"/>
          <w:sz w:val="18"/>
          <w:szCs w:val="18"/>
          <w:b w:val="1"/>
          <w:bCs w:val="1"/>
          <w:color w:val="auto"/>
        </w:rPr>
        <w:t>Merck Diagnostic Patent Rights”</w:t>
      </w:r>
      <w:r>
        <w:rPr>
          <w:rFonts w:ascii="Arial" w:cs="Arial" w:eastAsia="Arial" w:hAnsi="Arial"/>
          <w:sz w:val="18"/>
          <w:szCs w:val="18"/>
          <w:color w:val="auto"/>
        </w:rPr>
        <w:t xml:space="preserve"> shall mean the Patent Rights owned by, or exclusively licensed by a Third Party or an Affiliate of Merck, to Merck or its Controlled Affiliates during the Term that claim an Invention that (i) was invented or created by or on behalf of Merck or its Controlled Affiliates during the Research Term in its performance of the Research Program in the Diagnostic Field and (ii) claim the composition or use of an ADDL Antigen, an ADDL Antibody, an Antibody Product, or a Vaccine Product.</w:t>
      </w:r>
    </w:p>
    <w:p>
      <w:pPr>
        <w:spacing w:after="0" w:line="72" w:lineRule="exact"/>
        <w:rPr>
          <w:sz w:val="20"/>
          <w:szCs w:val="20"/>
          <w:color w:val="auto"/>
        </w:rPr>
      </w:pPr>
    </w:p>
    <w:p>
      <w:pPr>
        <w:jc w:val="both"/>
        <w:ind w:right="100" w:firstLine="440"/>
        <w:spacing w:after="0" w:line="261"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b w:val="1"/>
          <w:bCs w:val="1"/>
          <w:u w:val="single" w:color="auto"/>
          <w:color w:val="auto"/>
        </w:rPr>
        <w:t>Merck Patent Rights</w:t>
      </w:r>
      <w:r>
        <w:rPr>
          <w:rFonts w:ascii="Arial" w:cs="Arial" w:eastAsia="Arial" w:hAnsi="Arial"/>
          <w:sz w:val="18"/>
          <w:szCs w:val="18"/>
          <w:color w:val="auto"/>
        </w:rPr>
        <w:t>” shall mean the Patent Rights owned by, or exclusively licensed by a Third Party or an Affiliate of Merck, to Merck or its Controlled Affiliates during the Term that (i) claim an Invention that was invented or created by or on behalf of Merck during the Research Term in its performance of the Research Program and (ii) claim the composition or use of an ADDL Antigen, an ADDL Antibody, an Antibody Product, or a Vaccine Product.</w:t>
      </w:r>
    </w:p>
    <w:p>
      <w:pPr>
        <w:spacing w:after="0" w:line="72"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1.40 “</w:t>
      </w:r>
      <w:r>
        <w:rPr>
          <w:rFonts w:ascii="Arial" w:cs="Arial" w:eastAsia="Arial" w:hAnsi="Arial"/>
          <w:sz w:val="18"/>
          <w:szCs w:val="18"/>
          <w:b w:val="1"/>
          <w:bCs w:val="1"/>
          <w:u w:val="single" w:color="auto"/>
          <w:color w:val="auto"/>
        </w:rPr>
        <w:t>Net Sales</w:t>
      </w:r>
      <w:r>
        <w:rPr>
          <w:rFonts w:ascii="Arial" w:cs="Arial" w:eastAsia="Arial" w:hAnsi="Arial"/>
          <w:sz w:val="18"/>
          <w:szCs w:val="18"/>
          <w:color w:val="auto"/>
        </w:rPr>
        <w:t>” shall mean the total amount invoiced for Products sold by Merck, its Affiliate, or Sublicensee to Third Parties, less reasonable and customary deductions for the following [***]</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respect to the sales in a Calendar Quarter of Combination Products that are Antibody Products, [***]</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Sales for Combination Products that are Vaccine Products [***]</w:t>
      </w:r>
    </w:p>
    <w:p>
      <w:pPr>
        <w:spacing w:after="0" w:line="113" w:lineRule="exact"/>
        <w:rPr>
          <w:sz w:val="20"/>
          <w:szCs w:val="20"/>
          <w:color w:val="auto"/>
        </w:rPr>
      </w:pPr>
    </w:p>
    <w:p>
      <w:pPr>
        <w:ind w:right="660" w:firstLine="440"/>
        <w:spacing w:after="0" w:line="347" w:lineRule="auto"/>
        <w:rPr>
          <w:sz w:val="20"/>
          <w:szCs w:val="20"/>
          <w:color w:val="auto"/>
        </w:rPr>
      </w:pPr>
      <w:r>
        <w:rPr>
          <w:rFonts w:ascii="Arial" w:cs="Arial" w:eastAsia="Arial" w:hAnsi="Arial"/>
          <w:sz w:val="16"/>
          <w:szCs w:val="16"/>
          <w:color w:val="auto"/>
        </w:rPr>
        <w:t>1.41 “</w:t>
      </w:r>
      <w:r>
        <w:rPr>
          <w:rFonts w:ascii="Arial" w:cs="Arial" w:eastAsia="Arial" w:hAnsi="Arial"/>
          <w:sz w:val="16"/>
          <w:szCs w:val="16"/>
          <w:b w:val="1"/>
          <w:bCs w:val="1"/>
          <w:u w:val="single" w:color="auto"/>
          <w:color w:val="auto"/>
        </w:rPr>
        <w:t>Northwestern License</w:t>
      </w:r>
      <w:r>
        <w:rPr>
          <w:rFonts w:ascii="Arial" w:cs="Arial" w:eastAsia="Arial" w:hAnsi="Arial"/>
          <w:sz w:val="16"/>
          <w:szCs w:val="16"/>
          <w:color w:val="auto"/>
        </w:rPr>
        <w:t xml:space="preserve">” shall mean the certain license agreement entered into between Northwestern University and Acumen as of March 6, 2000, as amended prior to the Amendment Effective Date; a copy of which is attached to this Agreement as </w:t>
      </w:r>
      <w:r>
        <w:rPr>
          <w:rFonts w:ascii="Arial" w:cs="Arial" w:eastAsia="Arial" w:hAnsi="Arial"/>
          <w:sz w:val="16"/>
          <w:szCs w:val="16"/>
          <w:u w:val="single" w:color="auto"/>
          <w:color w:val="auto"/>
        </w:rPr>
        <w:t>Exhibit 1.40</w:t>
      </w:r>
      <w:r>
        <w:rPr>
          <w:rFonts w:ascii="Arial" w:cs="Arial" w:eastAsia="Arial" w:hAnsi="Arial"/>
          <w:sz w:val="16"/>
          <w:szCs w:val="16"/>
          <w:color w:val="auto"/>
        </w:rPr>
        <w:t>.</w:t>
      </w:r>
    </w:p>
    <w:p>
      <w:pPr>
        <w:spacing w:after="0" w:line="8"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color w:val="auto"/>
        </w:rPr>
        <w:t>1.42 “</w:t>
      </w:r>
      <w:r>
        <w:rPr>
          <w:rFonts w:ascii="Arial" w:cs="Arial" w:eastAsia="Arial" w:hAnsi="Arial"/>
          <w:sz w:val="18"/>
          <w:szCs w:val="18"/>
          <w:b w:val="1"/>
          <w:bCs w:val="1"/>
          <w:u w:val="single" w:color="auto"/>
          <w:color w:val="auto"/>
        </w:rPr>
        <w:t>Patent Rights</w:t>
      </w:r>
      <w:r>
        <w:rPr>
          <w:rFonts w:ascii="Arial" w:cs="Arial" w:eastAsia="Arial" w:hAnsi="Arial"/>
          <w:sz w:val="18"/>
          <w:szCs w:val="18"/>
          <w:color w:val="auto"/>
        </w:rPr>
        <w:t>” shall mean any and all rights under any of the following, whether existing now or in the future: (i) a domestic, international or foreign patent, utility model, design registration, certificate of invention, patent of addition or substitution, or other governmental grant for the protection of inventions or industrial designs anywhere in the world, including any reissue, renewal, re-examination or extension thereof; and (ii) any application for any of the foregoing, including any international, provisional, divisional, continuation, continuation-in-part, or continued prosecution application.</w:t>
      </w:r>
    </w:p>
    <w:p>
      <w:pPr>
        <w:spacing w:after="0" w:line="7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b w:val="1"/>
          <w:bCs w:val="1"/>
          <w:u w:val="single" w:color="auto"/>
          <w:color w:val="auto"/>
        </w:rPr>
        <w:t>Phase I Trial</w:t>
      </w:r>
      <w:r>
        <w:rPr>
          <w:rFonts w:ascii="Arial" w:cs="Arial" w:eastAsia="Arial" w:hAnsi="Arial"/>
          <w:sz w:val="18"/>
          <w:szCs w:val="18"/>
          <w:color w:val="auto"/>
        </w:rPr>
        <w:t>” shall mean any human clinical trial, the principal purpose of which is preliminary determination of safety in healthy individuals or patients as required under 21 CFR 312.21(a), as such regulation may be subsequently modified, or similar clinical study in a country other than the United States, and for which there are no primary endpoints relating to efficacy in the protocol.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0" w:right="479" w:bottom="1440" w:gutter="0" w:footer="0" w:header="0"/>
        </w:sectPr>
      </w:pPr>
    </w:p>
    <w:bookmarkStart w:id="332" w:name="page333"/>
    <w:bookmarkEnd w:id="332"/>
    <w:p>
      <w:pPr>
        <w:ind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color w:val="auto"/>
        </w:rPr>
        <w:t>1.44 “</w:t>
      </w:r>
      <w:r>
        <w:rPr>
          <w:rFonts w:ascii="Arial" w:cs="Arial" w:eastAsia="Arial" w:hAnsi="Arial"/>
          <w:sz w:val="17"/>
          <w:szCs w:val="17"/>
          <w:b w:val="1"/>
          <w:bCs w:val="1"/>
          <w:u w:val="single" w:color="auto"/>
          <w:color w:val="auto"/>
        </w:rPr>
        <w:t>Phase II Trial</w:t>
      </w:r>
      <w:r>
        <w:rPr>
          <w:rFonts w:ascii="Arial" w:cs="Arial" w:eastAsia="Arial" w:hAnsi="Arial"/>
          <w:sz w:val="17"/>
          <w:szCs w:val="17"/>
          <w:color w:val="auto"/>
        </w:rPr>
        <w:t>” shall mean any human clinical trial which provides for clinical studies conducted on a limited number of patients for the purpose of preliminary evaluation of clinical efficacy and safety, and/or to obtain an indication of the dosage regimen required as required under 21 CFR 312.21(b), as such regulation may be subsequently modified, or similar clinical study in a country other than the United States.</w:t>
      </w:r>
    </w:p>
    <w:p>
      <w:pPr>
        <w:spacing w:after="0" w:line="5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1.45 “</w:t>
      </w:r>
      <w:r>
        <w:rPr>
          <w:rFonts w:ascii="Arial" w:cs="Arial" w:eastAsia="Arial" w:hAnsi="Arial"/>
          <w:sz w:val="18"/>
          <w:szCs w:val="18"/>
          <w:b w:val="1"/>
          <w:bCs w:val="1"/>
          <w:u w:val="single" w:color="auto"/>
          <w:color w:val="auto"/>
        </w:rPr>
        <w:t>Phase III Trial</w:t>
      </w:r>
      <w:r>
        <w:rPr>
          <w:rFonts w:ascii="Arial" w:cs="Arial" w:eastAsia="Arial" w:hAnsi="Arial"/>
          <w:sz w:val="18"/>
          <w:szCs w:val="18"/>
          <w:color w:val="auto"/>
        </w:rPr>
        <w:t>” shall mean any human clinical trial, the principal purpose of which is to establish safety and efficacy in patients with the disease being studied as required under 21 CFR 312.21(c), as such regulation may be subsequently modified, or similar clinical study in a country other than the United States. Phase III Trial shall also include a human clinical trial that has been designated by Merck as a pivotal trial whether or not such trial is a traditional ‘Phase III’ clinical trial, as shown in communications with the FDA (or other Regulatory Authority) or meeting minutes of discussions with the FDA (or other Regulatory Authority) (such as a trial which Merck has designated to the FDA as a Phase II/III trial, a trial for which the protocol has been designated as a Phase II/III protocol, or a trial that Merck has otherwise indicated to the FDA (or other Regulatory Authority) it intends to use for purposes of Phase III).</w:t>
      </w:r>
    </w:p>
    <w:p>
      <w:pPr>
        <w:spacing w:after="0" w:line="81" w:lineRule="exact"/>
        <w:rPr>
          <w:sz w:val="20"/>
          <w:szCs w:val="20"/>
          <w:color w:val="auto"/>
        </w:rPr>
      </w:pPr>
    </w:p>
    <w:p>
      <w:pPr>
        <w:ind w:right="380" w:firstLine="440"/>
        <w:spacing w:after="0" w:line="347" w:lineRule="auto"/>
        <w:rPr>
          <w:sz w:val="20"/>
          <w:szCs w:val="20"/>
          <w:color w:val="auto"/>
        </w:rPr>
      </w:pPr>
      <w:r>
        <w:rPr>
          <w:rFonts w:ascii="Arial" w:cs="Arial" w:eastAsia="Arial" w:hAnsi="Arial"/>
          <w:sz w:val="16"/>
          <w:szCs w:val="16"/>
          <w:color w:val="auto"/>
        </w:rPr>
        <w:t>1.46 “</w:t>
      </w:r>
      <w:r>
        <w:rPr>
          <w:rFonts w:ascii="Arial" w:cs="Arial" w:eastAsia="Arial" w:hAnsi="Arial"/>
          <w:sz w:val="16"/>
          <w:szCs w:val="16"/>
          <w:b w:val="1"/>
          <w:bCs w:val="1"/>
          <w:u w:val="single" w:color="auto"/>
          <w:color w:val="auto"/>
        </w:rPr>
        <w:t>Pre-Clinical Candidate</w:t>
      </w:r>
      <w:r>
        <w:rPr>
          <w:rFonts w:ascii="Arial" w:cs="Arial" w:eastAsia="Arial" w:hAnsi="Arial"/>
          <w:sz w:val="16"/>
          <w:szCs w:val="16"/>
          <w:color w:val="auto"/>
        </w:rPr>
        <w:t>” shall mean a preparation containing an ADDL Antibody or ADDL Antigen for which Merck has commenced dosing of the first animal in a study under conditions meeting Good Laboratory Practices, where such study is intended to support an IND filing.</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1.47 “</w:t>
      </w:r>
      <w:r>
        <w:rPr>
          <w:rFonts w:ascii="Arial" w:cs="Arial" w:eastAsia="Arial" w:hAnsi="Arial"/>
          <w:sz w:val="18"/>
          <w:szCs w:val="18"/>
          <w:b w:val="1"/>
          <w:bCs w:val="1"/>
          <w:u w:val="single" w:color="auto"/>
          <w:color w:val="auto"/>
        </w:rPr>
        <w:t>Principal Scientist</w:t>
      </w:r>
      <w:r>
        <w:rPr>
          <w:rFonts w:ascii="Arial" w:cs="Arial" w:eastAsia="Arial" w:hAnsi="Arial"/>
          <w:sz w:val="18"/>
          <w:szCs w:val="18"/>
          <w:color w:val="auto"/>
        </w:rPr>
        <w:t>” shall mean [***]</w:t>
      </w:r>
    </w:p>
    <w:p>
      <w:pPr>
        <w:spacing w:after="0" w:line="117" w:lineRule="exact"/>
        <w:rPr>
          <w:sz w:val="20"/>
          <w:szCs w:val="20"/>
          <w:color w:val="auto"/>
        </w:rPr>
      </w:pPr>
    </w:p>
    <w:p>
      <w:pPr>
        <w:ind w:right="260" w:firstLine="440"/>
        <w:spacing w:after="0" w:line="261" w:lineRule="auto"/>
        <w:rPr>
          <w:sz w:val="20"/>
          <w:szCs w:val="20"/>
          <w:color w:val="auto"/>
        </w:rPr>
      </w:pPr>
      <w:r>
        <w:rPr>
          <w:rFonts w:ascii="Arial" w:cs="Arial" w:eastAsia="Arial" w:hAnsi="Arial"/>
          <w:sz w:val="18"/>
          <w:szCs w:val="18"/>
          <w:color w:val="auto"/>
        </w:rPr>
        <w:t>1.48 “</w:t>
      </w:r>
      <w:r>
        <w:rPr>
          <w:rFonts w:ascii="Arial" w:cs="Arial" w:eastAsia="Arial" w:hAnsi="Arial"/>
          <w:sz w:val="18"/>
          <w:szCs w:val="18"/>
          <w:b w:val="1"/>
          <w:bCs w:val="1"/>
          <w:u w:val="single" w:color="auto"/>
          <w:color w:val="auto"/>
        </w:rPr>
        <w:t>Product</w:t>
      </w:r>
      <w:r>
        <w:rPr>
          <w:rFonts w:ascii="Arial" w:cs="Arial" w:eastAsia="Arial" w:hAnsi="Arial"/>
          <w:sz w:val="18"/>
          <w:szCs w:val="18"/>
          <w:color w:val="auto"/>
        </w:rPr>
        <w:t>” shall mean (i) an Antibody Product, (ii) a Diagnostic Product, and (iii) upon exercise by Merck of the Vaccine Option in accordance with Section 5.3, a Vaccine Product. For purposes of this Agreement, each Antibody Product which contains a different ADDL Antibody, each Diagnostic Product which contains a different ADDL Antibody, and each Vaccine Product which contains a different ADDL Antigen, shall be deemed a different Product.</w:t>
      </w:r>
    </w:p>
    <w:p>
      <w:pPr>
        <w:spacing w:after="0" w:line="72" w:lineRule="exact"/>
        <w:rPr>
          <w:sz w:val="20"/>
          <w:szCs w:val="20"/>
          <w:color w:val="auto"/>
        </w:rPr>
      </w:pPr>
    </w:p>
    <w:p>
      <w:pPr>
        <w:jc w:val="both"/>
        <w:ind w:right="100" w:firstLine="440"/>
        <w:spacing w:after="0" w:line="261" w:lineRule="auto"/>
        <w:rPr>
          <w:sz w:val="20"/>
          <w:szCs w:val="20"/>
          <w:color w:val="auto"/>
        </w:rPr>
      </w:pPr>
      <w:r>
        <w:rPr>
          <w:rFonts w:ascii="Arial" w:cs="Arial" w:eastAsia="Arial" w:hAnsi="Arial"/>
          <w:sz w:val="18"/>
          <w:szCs w:val="18"/>
          <w:color w:val="auto"/>
        </w:rPr>
        <w:t>1.49 “</w:t>
      </w:r>
      <w:r>
        <w:rPr>
          <w:rFonts w:ascii="Arial" w:cs="Arial" w:eastAsia="Arial" w:hAnsi="Arial"/>
          <w:sz w:val="18"/>
          <w:szCs w:val="18"/>
          <w:b w:val="1"/>
          <w:bCs w:val="1"/>
          <w:u w:val="single" w:color="auto"/>
          <w:color w:val="auto"/>
        </w:rPr>
        <w:t>Regulatory Authority</w:t>
      </w:r>
      <w:r>
        <w:rPr>
          <w:rFonts w:ascii="Arial" w:cs="Arial" w:eastAsia="Arial" w:hAnsi="Arial"/>
          <w:sz w:val="18"/>
          <w:szCs w:val="18"/>
          <w:color w:val="auto"/>
        </w:rPr>
        <w:t>” shall mean any federal, national, multinational, state, provincial or local regulatory agency, department, bureau or other governmental entity with authority over the development, manufacture, use or sale (including approval of Marketing Authorizations) with respect to any Product in any jurisdiction, including the United States Food and Drug Administration, European Medicines Evaluation Agency, the Ministry of Health, Labor and Welfare in Japan.</w:t>
      </w:r>
    </w:p>
    <w:p>
      <w:pPr>
        <w:spacing w:after="0" w:line="72" w:lineRule="exact"/>
        <w:rPr>
          <w:sz w:val="20"/>
          <w:szCs w:val="20"/>
          <w:color w:val="auto"/>
        </w:rPr>
      </w:pPr>
    </w:p>
    <w:p>
      <w:pPr>
        <w:ind w:right="240" w:firstLine="440"/>
        <w:spacing w:after="0" w:line="312" w:lineRule="auto"/>
        <w:rPr>
          <w:sz w:val="20"/>
          <w:szCs w:val="20"/>
          <w:color w:val="auto"/>
        </w:rPr>
      </w:pPr>
      <w:r>
        <w:rPr>
          <w:rFonts w:ascii="Arial" w:cs="Arial" w:eastAsia="Arial" w:hAnsi="Arial"/>
          <w:sz w:val="17"/>
          <w:szCs w:val="17"/>
          <w:color w:val="auto"/>
        </w:rPr>
        <w:t>1.50 “</w:t>
      </w:r>
      <w:r>
        <w:rPr>
          <w:rFonts w:ascii="Arial" w:cs="Arial" w:eastAsia="Arial" w:hAnsi="Arial"/>
          <w:sz w:val="17"/>
          <w:szCs w:val="17"/>
          <w:b w:val="1"/>
          <w:bCs w:val="1"/>
          <w:u w:val="single" w:color="auto"/>
          <w:color w:val="auto"/>
        </w:rPr>
        <w:t>Research Plan</w:t>
      </w:r>
      <w:r>
        <w:rPr>
          <w:rFonts w:ascii="Arial" w:cs="Arial" w:eastAsia="Arial" w:hAnsi="Arial"/>
          <w:sz w:val="17"/>
          <w:szCs w:val="17"/>
          <w:color w:val="auto"/>
        </w:rPr>
        <w:t>” shall mean the written plan for the Research Program, including Acumen’s budget for performing its activities under the Research Program, as may be approved, modified or amended from time to time in accordance with this Agreement.</w:t>
      </w:r>
    </w:p>
    <w:p>
      <w:pPr>
        <w:spacing w:after="0" w:line="32" w:lineRule="exact"/>
        <w:rPr>
          <w:sz w:val="20"/>
          <w:szCs w:val="20"/>
          <w:color w:val="auto"/>
        </w:rPr>
      </w:pPr>
    </w:p>
    <w:p>
      <w:pPr>
        <w:ind w:right="640" w:firstLine="440"/>
        <w:spacing w:after="0" w:line="282" w:lineRule="auto"/>
        <w:rPr>
          <w:sz w:val="20"/>
          <w:szCs w:val="20"/>
          <w:color w:val="auto"/>
        </w:rPr>
      </w:pPr>
      <w:r>
        <w:rPr>
          <w:rFonts w:ascii="Arial" w:cs="Arial" w:eastAsia="Arial" w:hAnsi="Arial"/>
          <w:sz w:val="18"/>
          <w:szCs w:val="18"/>
          <w:color w:val="auto"/>
        </w:rPr>
        <w:t>1.51 “</w:t>
      </w:r>
      <w:r>
        <w:rPr>
          <w:rFonts w:ascii="Arial" w:cs="Arial" w:eastAsia="Arial" w:hAnsi="Arial"/>
          <w:sz w:val="18"/>
          <w:szCs w:val="18"/>
          <w:b w:val="1"/>
          <w:bCs w:val="1"/>
          <w:u w:val="single" w:color="auto"/>
          <w:color w:val="auto"/>
        </w:rPr>
        <w:t>Research Program</w:t>
      </w:r>
      <w:r>
        <w:rPr>
          <w:rFonts w:ascii="Arial" w:cs="Arial" w:eastAsia="Arial" w:hAnsi="Arial"/>
          <w:sz w:val="18"/>
          <w:szCs w:val="18"/>
          <w:color w:val="auto"/>
        </w:rPr>
        <w:t>” shall mean those activities with respect to ADDL’s, ADDL Antibodies and Products undertaken by the Parties pursuant to Article 3 during the Research Term and as generally described in Section 3.1.</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333" w:name="page334"/>
    <w:bookmarkEnd w:id="333"/>
    <w:p>
      <w:pPr>
        <w:ind w:right="8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1.52 “</w:t>
      </w:r>
      <w:r>
        <w:rPr>
          <w:rFonts w:ascii="Arial" w:cs="Arial" w:eastAsia="Arial" w:hAnsi="Arial"/>
          <w:sz w:val="18"/>
          <w:szCs w:val="18"/>
          <w:b w:val="1"/>
          <w:bCs w:val="1"/>
          <w:color w:val="auto"/>
        </w:rPr>
        <w:t>Retained Antibody Field</w:t>
      </w:r>
      <w:r>
        <w:rPr>
          <w:rFonts w:ascii="Arial" w:cs="Arial" w:eastAsia="Arial" w:hAnsi="Arial"/>
          <w:sz w:val="18"/>
          <w:szCs w:val="18"/>
          <w:color w:val="auto"/>
        </w:rPr>
        <w:t>” shall mean the conduct of research and/or development of Small Molecule Products and (upon expiration of the Option Period under Section 5.3.2) the conduct of research and/or development of Vaccine Products. For avoidance of doubt, the Retained Antibody Field shall include without limitation the right to use Acumen-Owned ADDL Antibodies in the course of conducting such research and/or development of Small Molecule Products and, if applicable, Vaccine Products, for the purposes of (i) quantification of ADDLs; or (ii) stratification or selection of individuals for clinical trials, therapeutic or dosage selection, prediction or monitoring of therapeutic response, or effectiveness or safety of Small Molecule Products and, if applicable, Vaccine Products (including determination of predisposition for adverse reactions to particular therapeutics or dosages).</w:t>
      </w:r>
    </w:p>
    <w:p>
      <w:pPr>
        <w:spacing w:after="0" w:line="81"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1.53 “</w:t>
      </w:r>
      <w:r>
        <w:rPr>
          <w:rFonts w:ascii="Arial" w:cs="Arial" w:eastAsia="Arial" w:hAnsi="Arial"/>
          <w:sz w:val="18"/>
          <w:szCs w:val="18"/>
          <w:b w:val="1"/>
          <w:bCs w:val="1"/>
          <w:u w:val="single" w:color="auto"/>
          <w:color w:val="auto"/>
        </w:rPr>
        <w:t>Small Molecule</w:t>
      </w:r>
      <w:r>
        <w:rPr>
          <w:rFonts w:ascii="Arial" w:cs="Arial" w:eastAsia="Arial" w:hAnsi="Arial"/>
          <w:sz w:val="18"/>
          <w:szCs w:val="18"/>
          <w:color w:val="auto"/>
        </w:rPr>
        <w:t>” shall mean (i) a molecule that has a molecular weight less than or equal to 1500 daltons, or (ii) a conjugation of such a molecule if such molecule having a molecular weight of 1500 daltons or less, absent such a conjugation, would be therapeutically active in the Treatment of ADDL-Related Conditions.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1.54 “</w:t>
      </w:r>
      <w:r>
        <w:rPr>
          <w:rFonts w:ascii="Arial" w:cs="Arial" w:eastAsia="Arial" w:hAnsi="Arial"/>
          <w:sz w:val="18"/>
          <w:szCs w:val="18"/>
          <w:b w:val="1"/>
          <w:bCs w:val="1"/>
          <w:color w:val="auto"/>
        </w:rPr>
        <w:t>Small Molecule Products</w:t>
      </w:r>
      <w:r>
        <w:rPr>
          <w:rFonts w:ascii="Arial" w:cs="Arial" w:eastAsia="Arial" w:hAnsi="Arial"/>
          <w:sz w:val="18"/>
          <w:szCs w:val="18"/>
          <w:color w:val="auto"/>
        </w:rPr>
        <w:t>” shall mean a pharmaceutical product in the Therapeutic Field comprising a Small Molecule.</w:t>
      </w:r>
    </w:p>
    <w:p>
      <w:pPr>
        <w:spacing w:after="0" w:line="117"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color w:val="auto"/>
        </w:rPr>
        <w:t>1.55 “</w:t>
      </w:r>
      <w:r>
        <w:rPr>
          <w:rFonts w:ascii="Arial" w:cs="Arial" w:eastAsia="Arial" w:hAnsi="Arial"/>
          <w:sz w:val="18"/>
          <w:szCs w:val="18"/>
          <w:b w:val="1"/>
          <w:bCs w:val="1"/>
          <w:u w:val="single" w:color="auto"/>
          <w:color w:val="auto"/>
        </w:rPr>
        <w:t>Sublicensee</w:t>
      </w:r>
      <w:r>
        <w:rPr>
          <w:rFonts w:ascii="Arial" w:cs="Arial" w:eastAsia="Arial" w:hAnsi="Arial"/>
          <w:sz w:val="18"/>
          <w:szCs w:val="18"/>
          <w:color w:val="auto"/>
        </w:rPr>
        <w:t>” shall mean, with respect to a particular Product, a Third Party to whom Merck has granted the right to make and/or sell such Product, but shall not include Third Party distributors except as set forth below. [***] For purposes of this Agreement, the grant of the foregoing rights shall be deemed a “sublicense.”</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1.56 “</w:t>
      </w:r>
      <w:r>
        <w:rPr>
          <w:rFonts w:ascii="Arial" w:cs="Arial" w:eastAsia="Arial" w:hAnsi="Arial"/>
          <w:sz w:val="18"/>
          <w:szCs w:val="18"/>
          <w:b w:val="1"/>
          <w:bCs w:val="1"/>
          <w:u w:val="single" w:color="auto"/>
          <w:color w:val="auto"/>
        </w:rPr>
        <w:t>Territory</w:t>
      </w:r>
      <w:r>
        <w:rPr>
          <w:rFonts w:ascii="Arial" w:cs="Arial" w:eastAsia="Arial" w:hAnsi="Arial"/>
          <w:sz w:val="18"/>
          <w:szCs w:val="18"/>
          <w:color w:val="auto"/>
        </w:rPr>
        <w:t>” shall mean all of the countries of the world, and their territories and possessions.</w:t>
      </w:r>
    </w:p>
    <w:p>
      <w:pPr>
        <w:spacing w:after="0" w:line="117" w:lineRule="exact"/>
        <w:rPr>
          <w:sz w:val="20"/>
          <w:szCs w:val="20"/>
          <w:color w:val="auto"/>
        </w:rPr>
      </w:pPr>
    </w:p>
    <w:p>
      <w:pPr>
        <w:ind w:right="280" w:firstLine="440"/>
        <w:spacing w:after="0" w:line="312" w:lineRule="auto"/>
        <w:rPr>
          <w:sz w:val="20"/>
          <w:szCs w:val="20"/>
          <w:color w:val="auto"/>
        </w:rPr>
      </w:pPr>
      <w:r>
        <w:rPr>
          <w:rFonts w:ascii="Arial" w:cs="Arial" w:eastAsia="Arial" w:hAnsi="Arial"/>
          <w:sz w:val="17"/>
          <w:szCs w:val="17"/>
          <w:color w:val="auto"/>
        </w:rPr>
        <w:t>1.57 “</w:t>
      </w:r>
      <w:r>
        <w:rPr>
          <w:rFonts w:ascii="Arial" w:cs="Arial" w:eastAsia="Arial" w:hAnsi="Arial"/>
          <w:sz w:val="17"/>
          <w:szCs w:val="17"/>
          <w:b w:val="1"/>
          <w:bCs w:val="1"/>
          <w:u w:val="single" w:color="auto"/>
          <w:color w:val="auto"/>
        </w:rPr>
        <w:t>Therapeutic Field</w:t>
      </w:r>
      <w:r>
        <w:rPr>
          <w:rFonts w:ascii="Arial" w:cs="Arial" w:eastAsia="Arial" w:hAnsi="Arial"/>
          <w:sz w:val="17"/>
          <w:szCs w:val="17"/>
          <w:color w:val="auto"/>
        </w:rPr>
        <w:t>” shall mean Treatment of any and all human medical conditions or indications, including without limitation ADDL-Related Conditions. It is understood that no portion of the Diagnostic Field shall be considered to be included in the Therapeutic Field.</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1.58 “</w:t>
      </w:r>
      <w:r>
        <w:rPr>
          <w:rFonts w:ascii="Arial" w:cs="Arial" w:eastAsia="Arial" w:hAnsi="Arial"/>
          <w:sz w:val="18"/>
          <w:szCs w:val="18"/>
          <w:b w:val="1"/>
          <w:bCs w:val="1"/>
          <w:u w:val="single" w:color="auto"/>
          <w:color w:val="auto"/>
        </w:rPr>
        <w:t>Third Party</w:t>
      </w:r>
      <w:r>
        <w:rPr>
          <w:rFonts w:ascii="Arial" w:cs="Arial" w:eastAsia="Arial" w:hAnsi="Arial"/>
          <w:sz w:val="18"/>
          <w:szCs w:val="18"/>
          <w:color w:val="auto"/>
        </w:rPr>
        <w:t>” shall mean any person or entity other than Acumen, Merck, and their respective Affiliates.</w:t>
      </w:r>
    </w:p>
    <w:p>
      <w:pPr>
        <w:spacing w:after="0" w:line="117"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1.59 “</w:t>
      </w:r>
      <w:r>
        <w:rPr>
          <w:rFonts w:ascii="Arial" w:cs="Arial" w:eastAsia="Arial" w:hAnsi="Arial"/>
          <w:sz w:val="18"/>
          <w:szCs w:val="18"/>
          <w:b w:val="1"/>
          <w:bCs w:val="1"/>
          <w:u w:val="single" w:color="auto"/>
          <w:color w:val="auto"/>
        </w:rPr>
        <w:t>Treatment</w:t>
      </w:r>
      <w:r>
        <w:rPr>
          <w:rFonts w:ascii="Arial" w:cs="Arial" w:eastAsia="Arial" w:hAnsi="Arial"/>
          <w:sz w:val="18"/>
          <w:szCs w:val="18"/>
          <w:color w:val="auto"/>
        </w:rPr>
        <w:t>” shall mean, with respect to a particular medical condition or indication, the cure, reduction, mitigation, prevention, or slowing or halting the progress of such medical condition or indication or of the symptoms thereof.</w:t>
      </w:r>
    </w:p>
    <w:p>
      <w:pPr>
        <w:spacing w:after="0" w:line="54" w:lineRule="exact"/>
        <w:rPr>
          <w:sz w:val="20"/>
          <w:szCs w:val="20"/>
          <w:color w:val="auto"/>
        </w:rPr>
      </w:pPr>
    </w:p>
    <w:p>
      <w:pPr>
        <w:ind w:right="60" w:firstLine="440"/>
        <w:spacing w:after="0" w:line="347" w:lineRule="auto"/>
        <w:rPr>
          <w:sz w:val="20"/>
          <w:szCs w:val="20"/>
          <w:color w:val="auto"/>
        </w:rPr>
      </w:pPr>
      <w:r>
        <w:rPr>
          <w:rFonts w:ascii="Arial" w:cs="Arial" w:eastAsia="Arial" w:hAnsi="Arial"/>
          <w:sz w:val="16"/>
          <w:szCs w:val="16"/>
          <w:color w:val="auto"/>
        </w:rPr>
        <w:t>1.60 “</w:t>
      </w:r>
      <w:r>
        <w:rPr>
          <w:rFonts w:ascii="Arial" w:cs="Arial" w:eastAsia="Arial" w:hAnsi="Arial"/>
          <w:sz w:val="16"/>
          <w:szCs w:val="16"/>
          <w:b w:val="1"/>
          <w:bCs w:val="1"/>
          <w:u w:val="single" w:color="auto"/>
          <w:color w:val="auto"/>
        </w:rPr>
        <w:t>USC License</w:t>
      </w:r>
      <w:r>
        <w:rPr>
          <w:rFonts w:ascii="Arial" w:cs="Arial" w:eastAsia="Arial" w:hAnsi="Arial"/>
          <w:sz w:val="16"/>
          <w:szCs w:val="16"/>
          <w:color w:val="auto"/>
        </w:rPr>
        <w:t xml:space="preserve">” shall mean that certain license agreement entered into between the University of Southern California and Acumen effective as of December 28, 1999, as amended prior to the Amendment Effective Date; a copy of which is attached to this Agreement as </w:t>
      </w:r>
      <w:r>
        <w:rPr>
          <w:rFonts w:ascii="Arial" w:cs="Arial" w:eastAsia="Arial" w:hAnsi="Arial"/>
          <w:sz w:val="16"/>
          <w:szCs w:val="16"/>
          <w:u w:val="single" w:color="auto"/>
          <w:color w:val="auto"/>
        </w:rPr>
        <w:t>Exhibit 1.57</w:t>
      </w:r>
      <w:r>
        <w:rPr>
          <w:rFonts w:ascii="Arial" w:cs="Arial" w:eastAsia="Arial" w:hAnsi="Arial"/>
          <w:sz w:val="16"/>
          <w:szCs w:val="16"/>
          <w:color w:val="auto"/>
        </w:rPr>
        <w:t>.</w:t>
      </w:r>
    </w:p>
    <w:p>
      <w:pPr>
        <w:spacing w:after="0" w:line="8"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1.61 “</w:t>
      </w:r>
      <w:r>
        <w:rPr>
          <w:rFonts w:ascii="Arial" w:cs="Arial" w:eastAsia="Arial" w:hAnsi="Arial"/>
          <w:sz w:val="18"/>
          <w:szCs w:val="18"/>
          <w:b w:val="1"/>
          <w:bCs w:val="1"/>
          <w:u w:val="single" w:color="auto"/>
          <w:color w:val="auto"/>
        </w:rPr>
        <w:t>Vaccine Product</w:t>
      </w:r>
      <w:r>
        <w:rPr>
          <w:rFonts w:ascii="Arial" w:cs="Arial" w:eastAsia="Arial" w:hAnsi="Arial"/>
          <w:sz w:val="18"/>
          <w:szCs w:val="18"/>
          <w:color w:val="auto"/>
        </w:rPr>
        <w:t>” shall mean a pharmaceutical preparation that produces a cellular and/or humoral immune response in a human using one or more ADDL Antigens and is (i) for administration to human patients in Clinical Trials, or (ii) for sale by prescription, over the counter, or any other method. Notwithstanding the above, a pharmaceutical preparation shall not be considered a Vaccine Product if it is intended for use in the Diagnostic Field or it contains a Small Molecule.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0" w:right="539" w:bottom="1440" w:gutter="0" w:footer="0" w:header="0"/>
        </w:sectPr>
      </w:pPr>
    </w:p>
    <w:bookmarkStart w:id="334" w:name="page335"/>
    <w:bookmarkEnd w:id="334"/>
    <w:p>
      <w:pPr>
        <w:ind w:right="8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1.62 “</w:t>
      </w:r>
      <w:r>
        <w:rPr>
          <w:rFonts w:ascii="Arial" w:cs="Arial" w:eastAsia="Arial" w:hAnsi="Arial"/>
          <w:sz w:val="18"/>
          <w:szCs w:val="18"/>
          <w:b w:val="1"/>
          <w:bCs w:val="1"/>
          <w:u w:val="single" w:color="auto"/>
          <w:color w:val="auto"/>
        </w:rPr>
        <w:t>Valid Patent Claim</w:t>
      </w:r>
      <w:r>
        <w:rPr>
          <w:rFonts w:ascii="Arial" w:cs="Arial" w:eastAsia="Arial" w:hAnsi="Arial"/>
          <w:sz w:val="18"/>
          <w:szCs w:val="18"/>
          <w:color w:val="auto"/>
        </w:rPr>
        <w:t>” shall mean a [***]</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b w:val="1"/>
          <w:bCs w:val="1"/>
          <w:u w:val="single" w:color="auto"/>
          <w:color w:val="auto"/>
        </w:rPr>
        <w:t>Additional Definitions</w:t>
      </w:r>
      <w:r>
        <w:rPr>
          <w:rFonts w:ascii="Arial" w:cs="Arial" w:eastAsia="Arial" w:hAnsi="Arial"/>
          <w:sz w:val="18"/>
          <w:szCs w:val="18"/>
          <w:color w:val="auto"/>
        </w:rPr>
        <w:t>. Each of the following definitions is set forth in the Section of this Agreement indicated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20"/>
                <w:szCs w:val="20"/>
                <w:color w:val="auto"/>
              </w:rPr>
            </w:pPr>
            <w:r>
              <w:rPr>
                <w:rFonts w:ascii="Arial" w:cs="Arial" w:eastAsia="Arial" w:hAnsi="Arial"/>
                <w:sz w:val="14"/>
                <w:szCs w:val="14"/>
                <w:b w:val="1"/>
                <w:bCs w:val="1"/>
                <w:color w:val="auto"/>
              </w:rPr>
              <w:t>Definition</w:t>
            </w:r>
          </w:p>
        </w:tc>
        <w:tc>
          <w:tcPr>
            <w:tcW w:w="1520" w:type="dxa"/>
            <w:vAlign w:val="bottom"/>
          </w:tcPr>
          <w:p>
            <w:pPr>
              <w:jc w:val="right"/>
              <w:ind w:right="31"/>
              <w:spacing w:after="0"/>
              <w:rPr>
                <w:sz w:val="20"/>
                <w:szCs w:val="20"/>
                <w:color w:val="auto"/>
              </w:rPr>
            </w:pPr>
            <w:r>
              <w:rPr>
                <w:rFonts w:ascii="Arial" w:cs="Arial" w:eastAsia="Arial" w:hAnsi="Arial"/>
                <w:sz w:val="14"/>
                <w:szCs w:val="14"/>
                <w:b w:val="1"/>
                <w:bCs w:val="1"/>
                <w:color w:val="auto"/>
              </w:rPr>
              <w:t>Section</w:t>
            </w:r>
          </w:p>
        </w:tc>
        <w:tc>
          <w:tcPr>
            <w:tcW w:w="3680" w:type="dxa"/>
            <w:vAlign w:val="bottom"/>
          </w:tcPr>
          <w:p>
            <w:pPr>
              <w:ind w:left="80"/>
              <w:spacing w:after="0"/>
              <w:rPr>
                <w:sz w:val="20"/>
                <w:szCs w:val="20"/>
                <w:color w:val="auto"/>
              </w:rPr>
            </w:pPr>
            <w:r>
              <w:rPr>
                <w:rFonts w:ascii="Arial" w:cs="Arial" w:eastAsia="Arial" w:hAnsi="Arial"/>
                <w:sz w:val="14"/>
                <w:szCs w:val="14"/>
                <w:b w:val="1"/>
                <w:bCs w:val="1"/>
                <w:color w:val="auto"/>
              </w:rPr>
              <w:t>Definition</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Section</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Active Program</w:t>
            </w:r>
          </w:p>
        </w:tc>
        <w:tc>
          <w:tcPr>
            <w:tcW w:w="1520" w:type="dxa"/>
            <w:vAlign w:val="bottom"/>
          </w:tcPr>
          <w:p>
            <w:pPr>
              <w:jc w:val="right"/>
              <w:spacing w:after="0"/>
              <w:rPr>
                <w:sz w:val="20"/>
                <w:szCs w:val="20"/>
                <w:color w:val="auto"/>
              </w:rPr>
            </w:pPr>
            <w:r>
              <w:rPr>
                <w:rFonts w:ascii="Arial" w:cs="Arial" w:eastAsia="Arial" w:hAnsi="Arial"/>
                <w:sz w:val="18"/>
                <w:szCs w:val="18"/>
                <w:color w:val="auto"/>
              </w:rPr>
              <w:t>8.1</w:t>
            </w:r>
          </w:p>
        </w:tc>
        <w:tc>
          <w:tcPr>
            <w:tcW w:w="3680" w:type="dxa"/>
            <w:vAlign w:val="bottom"/>
          </w:tcPr>
          <w:p>
            <w:pPr>
              <w:ind w:left="80"/>
              <w:spacing w:after="0"/>
              <w:rPr>
                <w:sz w:val="20"/>
                <w:szCs w:val="20"/>
                <w:color w:val="auto"/>
              </w:rPr>
            </w:pPr>
            <w:r>
              <w:rPr>
                <w:rFonts w:ascii="Arial" w:cs="Arial" w:eastAsia="Arial" w:hAnsi="Arial"/>
                <w:sz w:val="18"/>
                <w:szCs w:val="18"/>
                <w:color w:val="auto"/>
              </w:rPr>
              <w:t>Joint Research Committee or JRC</w:t>
            </w:r>
          </w:p>
        </w:tc>
        <w:tc>
          <w:tcPr>
            <w:tcW w:w="164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Acumen Diagnostic Patents</w:t>
            </w:r>
          </w:p>
        </w:tc>
        <w:tc>
          <w:tcPr>
            <w:tcW w:w="1520" w:type="dxa"/>
            <w:vAlign w:val="bottom"/>
          </w:tcPr>
          <w:p>
            <w:pPr>
              <w:jc w:val="right"/>
              <w:spacing w:after="0"/>
              <w:rPr>
                <w:sz w:val="20"/>
                <w:szCs w:val="20"/>
                <w:color w:val="auto"/>
              </w:rPr>
            </w:pPr>
            <w:r>
              <w:rPr>
                <w:rFonts w:ascii="Arial" w:cs="Arial" w:eastAsia="Arial" w:hAnsi="Arial"/>
                <w:sz w:val="18"/>
                <w:szCs w:val="18"/>
                <w:color w:val="auto"/>
              </w:rPr>
              <w:t>9.2.3</w:t>
            </w:r>
          </w:p>
        </w:tc>
        <w:tc>
          <w:tcPr>
            <w:tcW w:w="3680" w:type="dxa"/>
            <w:vAlign w:val="bottom"/>
          </w:tcPr>
          <w:p>
            <w:pPr>
              <w:ind w:left="80"/>
              <w:spacing w:after="0"/>
              <w:rPr>
                <w:sz w:val="20"/>
                <w:szCs w:val="20"/>
                <w:color w:val="auto"/>
              </w:rPr>
            </w:pPr>
            <w:r>
              <w:rPr>
                <w:rFonts w:ascii="Arial" w:cs="Arial" w:eastAsia="Arial" w:hAnsi="Arial"/>
                <w:sz w:val="18"/>
                <w:szCs w:val="18"/>
                <w:color w:val="auto"/>
              </w:rPr>
              <w:t>Late Development Milestone</w:t>
            </w:r>
          </w:p>
        </w:tc>
        <w:tc>
          <w:tcPr>
            <w:tcW w:w="164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Acumen FTE’s</w:t>
            </w:r>
          </w:p>
        </w:tc>
        <w:tc>
          <w:tcPr>
            <w:tcW w:w="1520" w:type="dxa"/>
            <w:vAlign w:val="bottom"/>
          </w:tcPr>
          <w:p>
            <w:pPr>
              <w:jc w:val="right"/>
              <w:spacing w:after="0"/>
              <w:rPr>
                <w:sz w:val="20"/>
                <w:szCs w:val="20"/>
                <w:color w:val="auto"/>
              </w:rPr>
            </w:pPr>
            <w:r>
              <w:rPr>
                <w:rFonts w:ascii="Arial" w:cs="Arial" w:eastAsia="Arial" w:hAnsi="Arial"/>
                <w:sz w:val="18"/>
                <w:szCs w:val="18"/>
                <w:color w:val="auto"/>
              </w:rPr>
              <w:t>2.2.4</w:t>
            </w:r>
          </w:p>
        </w:tc>
        <w:tc>
          <w:tcPr>
            <w:tcW w:w="3680" w:type="dxa"/>
            <w:vAlign w:val="bottom"/>
          </w:tcPr>
          <w:p>
            <w:pPr>
              <w:ind w:left="80"/>
              <w:spacing w:after="0"/>
              <w:rPr>
                <w:sz w:val="20"/>
                <w:szCs w:val="20"/>
                <w:color w:val="auto"/>
              </w:rPr>
            </w:pPr>
            <w:r>
              <w:rPr>
                <w:rFonts w:ascii="Arial" w:cs="Arial" w:eastAsia="Arial" w:hAnsi="Arial"/>
                <w:sz w:val="18"/>
                <w:szCs w:val="18"/>
                <w:color w:val="auto"/>
              </w:rPr>
              <w:t>Liabilities</w:t>
            </w:r>
          </w:p>
        </w:tc>
        <w:tc>
          <w:tcPr>
            <w:tcW w:w="16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Acumen Indemnitees</w:t>
            </w:r>
          </w:p>
        </w:tc>
        <w:tc>
          <w:tcPr>
            <w:tcW w:w="1520" w:type="dxa"/>
            <w:vAlign w:val="bottom"/>
          </w:tcPr>
          <w:p>
            <w:pPr>
              <w:jc w:val="right"/>
              <w:spacing w:after="0"/>
              <w:rPr>
                <w:sz w:val="20"/>
                <w:szCs w:val="20"/>
                <w:color w:val="auto"/>
              </w:rPr>
            </w:pPr>
            <w:r>
              <w:rPr>
                <w:rFonts w:ascii="Arial" w:cs="Arial" w:eastAsia="Arial" w:hAnsi="Arial"/>
                <w:sz w:val="18"/>
                <w:szCs w:val="18"/>
                <w:color w:val="auto"/>
              </w:rPr>
              <w:t>12.1</w:t>
            </w:r>
          </w:p>
        </w:tc>
        <w:tc>
          <w:tcPr>
            <w:tcW w:w="3680" w:type="dxa"/>
            <w:vAlign w:val="bottom"/>
          </w:tcPr>
          <w:p>
            <w:pPr>
              <w:ind w:left="80"/>
              <w:spacing w:after="0"/>
              <w:rPr>
                <w:sz w:val="20"/>
                <w:szCs w:val="20"/>
                <w:color w:val="auto"/>
              </w:rPr>
            </w:pPr>
            <w:r>
              <w:rPr>
                <w:rFonts w:ascii="Arial" w:cs="Arial" w:eastAsia="Arial" w:hAnsi="Arial"/>
                <w:sz w:val="18"/>
                <w:szCs w:val="18"/>
                <w:color w:val="auto"/>
              </w:rPr>
              <w:t>Licensed Party</w:t>
            </w:r>
          </w:p>
        </w:tc>
        <w:tc>
          <w:tcPr>
            <w:tcW w:w="164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Antibody Patent</w:t>
            </w:r>
          </w:p>
        </w:tc>
        <w:tc>
          <w:tcPr>
            <w:tcW w:w="1520" w:type="dxa"/>
            <w:vAlign w:val="bottom"/>
          </w:tcPr>
          <w:p>
            <w:pPr>
              <w:jc w:val="right"/>
              <w:spacing w:after="0"/>
              <w:rPr>
                <w:sz w:val="20"/>
                <w:szCs w:val="20"/>
                <w:color w:val="auto"/>
              </w:rPr>
            </w:pPr>
            <w:r>
              <w:rPr>
                <w:rFonts w:ascii="Arial" w:cs="Arial" w:eastAsia="Arial" w:hAnsi="Arial"/>
                <w:sz w:val="18"/>
                <w:szCs w:val="18"/>
                <w:color w:val="auto"/>
              </w:rPr>
              <w:t>6.7.2</w:t>
            </w:r>
          </w:p>
        </w:tc>
        <w:tc>
          <w:tcPr>
            <w:tcW w:w="3680" w:type="dxa"/>
            <w:vAlign w:val="bottom"/>
          </w:tcPr>
          <w:p>
            <w:pPr>
              <w:ind w:left="80"/>
              <w:spacing w:after="0"/>
              <w:rPr>
                <w:sz w:val="20"/>
                <w:szCs w:val="20"/>
                <w:color w:val="auto"/>
              </w:rPr>
            </w:pPr>
            <w:r>
              <w:rPr>
                <w:rFonts w:ascii="Arial" w:cs="Arial" w:eastAsia="Arial" w:hAnsi="Arial"/>
                <w:sz w:val="18"/>
                <w:szCs w:val="18"/>
                <w:color w:val="auto"/>
              </w:rPr>
              <w:t>Licensing Party</w:t>
            </w:r>
          </w:p>
        </w:tc>
        <w:tc>
          <w:tcPr>
            <w:tcW w:w="164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Bankruptcy Code</w:t>
            </w:r>
          </w:p>
        </w:tc>
        <w:tc>
          <w:tcPr>
            <w:tcW w:w="1520" w:type="dxa"/>
            <w:vAlign w:val="bottom"/>
          </w:tcPr>
          <w:p>
            <w:pPr>
              <w:jc w:val="right"/>
              <w:spacing w:after="0"/>
              <w:rPr>
                <w:sz w:val="20"/>
                <w:szCs w:val="20"/>
                <w:color w:val="auto"/>
              </w:rPr>
            </w:pPr>
            <w:r>
              <w:rPr>
                <w:rFonts w:ascii="Arial" w:cs="Arial" w:eastAsia="Arial" w:hAnsi="Arial"/>
                <w:sz w:val="18"/>
                <w:szCs w:val="18"/>
                <w:color w:val="auto"/>
              </w:rPr>
              <w:t>15.15</w:t>
            </w:r>
          </w:p>
        </w:tc>
        <w:tc>
          <w:tcPr>
            <w:tcW w:w="3680" w:type="dxa"/>
            <w:vAlign w:val="bottom"/>
          </w:tcPr>
          <w:p>
            <w:pPr>
              <w:ind w:left="80"/>
              <w:spacing w:after="0"/>
              <w:rPr>
                <w:sz w:val="20"/>
                <w:szCs w:val="20"/>
                <w:color w:val="auto"/>
              </w:rPr>
            </w:pPr>
            <w:r>
              <w:rPr>
                <w:rFonts w:ascii="Arial" w:cs="Arial" w:eastAsia="Arial" w:hAnsi="Arial"/>
                <w:sz w:val="18"/>
                <w:szCs w:val="18"/>
                <w:color w:val="auto"/>
              </w:rPr>
              <w:t>Merck Diagnostic Patents</w:t>
            </w:r>
          </w:p>
        </w:tc>
        <w:tc>
          <w:tcPr>
            <w:tcW w:w="164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Confidential Information</w:t>
            </w:r>
          </w:p>
        </w:tc>
        <w:tc>
          <w:tcPr>
            <w:tcW w:w="1520" w:type="dxa"/>
            <w:vAlign w:val="bottom"/>
          </w:tcPr>
          <w:p>
            <w:pPr>
              <w:jc w:val="right"/>
              <w:spacing w:after="0"/>
              <w:rPr>
                <w:sz w:val="20"/>
                <w:szCs w:val="20"/>
                <w:color w:val="auto"/>
              </w:rPr>
            </w:pPr>
            <w:r>
              <w:rPr>
                <w:rFonts w:ascii="Arial" w:cs="Arial" w:eastAsia="Arial" w:hAnsi="Arial"/>
                <w:sz w:val="18"/>
                <w:szCs w:val="18"/>
                <w:color w:val="auto"/>
              </w:rPr>
              <w:t>10.1</w:t>
            </w:r>
          </w:p>
        </w:tc>
        <w:tc>
          <w:tcPr>
            <w:tcW w:w="3680" w:type="dxa"/>
            <w:vAlign w:val="bottom"/>
          </w:tcPr>
          <w:p>
            <w:pPr>
              <w:ind w:left="80"/>
              <w:spacing w:after="0"/>
              <w:rPr>
                <w:sz w:val="20"/>
                <w:szCs w:val="20"/>
                <w:color w:val="auto"/>
              </w:rPr>
            </w:pPr>
            <w:r>
              <w:rPr>
                <w:rFonts w:ascii="Arial" w:cs="Arial" w:eastAsia="Arial" w:hAnsi="Arial"/>
                <w:sz w:val="18"/>
                <w:szCs w:val="18"/>
                <w:color w:val="auto"/>
              </w:rPr>
              <w:t>Merck Indemnitees</w:t>
            </w:r>
          </w:p>
        </w:tc>
        <w:tc>
          <w:tcPr>
            <w:tcW w:w="16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Controlling Party</w:t>
            </w:r>
          </w:p>
        </w:tc>
        <w:tc>
          <w:tcPr>
            <w:tcW w:w="1520" w:type="dxa"/>
            <w:vAlign w:val="bottom"/>
          </w:tcPr>
          <w:p>
            <w:pPr>
              <w:jc w:val="right"/>
              <w:spacing w:after="0"/>
              <w:rPr>
                <w:sz w:val="20"/>
                <w:szCs w:val="20"/>
                <w:color w:val="auto"/>
              </w:rPr>
            </w:pPr>
            <w:r>
              <w:rPr>
                <w:rFonts w:ascii="Arial" w:cs="Arial" w:eastAsia="Arial" w:hAnsi="Arial"/>
                <w:sz w:val="18"/>
                <w:szCs w:val="18"/>
                <w:color w:val="auto"/>
              </w:rPr>
              <w:t>9.3.2</w:t>
            </w:r>
          </w:p>
        </w:tc>
        <w:tc>
          <w:tcPr>
            <w:tcW w:w="3680" w:type="dxa"/>
            <w:vAlign w:val="bottom"/>
          </w:tcPr>
          <w:p>
            <w:pPr>
              <w:ind w:left="80"/>
              <w:spacing w:after="0"/>
              <w:rPr>
                <w:sz w:val="20"/>
                <w:szCs w:val="20"/>
                <w:color w:val="auto"/>
              </w:rPr>
            </w:pPr>
            <w:r>
              <w:rPr>
                <w:rFonts w:ascii="Arial" w:cs="Arial" w:eastAsia="Arial" w:hAnsi="Arial"/>
                <w:sz w:val="18"/>
                <w:szCs w:val="18"/>
                <w:color w:val="auto"/>
              </w:rPr>
              <w:t>Necessary Patent</w:t>
            </w:r>
          </w:p>
        </w:tc>
        <w:tc>
          <w:tcPr>
            <w:tcW w:w="164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Cooperating Party</w:t>
            </w:r>
          </w:p>
        </w:tc>
        <w:tc>
          <w:tcPr>
            <w:tcW w:w="1520" w:type="dxa"/>
            <w:vAlign w:val="bottom"/>
          </w:tcPr>
          <w:p>
            <w:pPr>
              <w:jc w:val="right"/>
              <w:spacing w:after="0"/>
              <w:rPr>
                <w:sz w:val="20"/>
                <w:szCs w:val="20"/>
                <w:color w:val="auto"/>
              </w:rPr>
            </w:pPr>
            <w:r>
              <w:rPr>
                <w:rFonts w:ascii="Arial" w:cs="Arial" w:eastAsia="Arial" w:hAnsi="Arial"/>
                <w:sz w:val="18"/>
                <w:szCs w:val="18"/>
                <w:color w:val="auto"/>
              </w:rPr>
              <w:t>9.3.2</w:t>
            </w:r>
          </w:p>
        </w:tc>
        <w:tc>
          <w:tcPr>
            <w:tcW w:w="3680" w:type="dxa"/>
            <w:vAlign w:val="bottom"/>
          </w:tcPr>
          <w:p>
            <w:pPr>
              <w:ind w:left="80"/>
              <w:spacing w:after="0"/>
              <w:rPr>
                <w:sz w:val="20"/>
                <w:szCs w:val="20"/>
                <w:color w:val="auto"/>
              </w:rPr>
            </w:pPr>
            <w:r>
              <w:rPr>
                <w:rFonts w:ascii="Arial" w:cs="Arial" w:eastAsia="Arial" w:hAnsi="Arial"/>
                <w:sz w:val="18"/>
                <w:szCs w:val="18"/>
                <w:color w:val="auto"/>
              </w:rPr>
              <w:t>Option Period</w:t>
            </w:r>
          </w:p>
        </w:tc>
        <w:tc>
          <w:tcPr>
            <w:tcW w:w="164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Development Advisory Committee or DAC</w:t>
            </w:r>
          </w:p>
        </w:tc>
        <w:tc>
          <w:tcPr>
            <w:tcW w:w="1520" w:type="dxa"/>
            <w:vAlign w:val="bottom"/>
          </w:tcPr>
          <w:p>
            <w:pPr>
              <w:jc w:val="right"/>
              <w:spacing w:after="0"/>
              <w:rPr>
                <w:sz w:val="20"/>
                <w:szCs w:val="20"/>
                <w:color w:val="auto"/>
              </w:rPr>
            </w:pPr>
            <w:r>
              <w:rPr>
                <w:rFonts w:ascii="Arial" w:cs="Arial" w:eastAsia="Arial" w:hAnsi="Arial"/>
                <w:sz w:val="18"/>
                <w:szCs w:val="18"/>
                <w:color w:val="auto"/>
              </w:rPr>
              <w:t>4.2.1</w:t>
            </w:r>
          </w:p>
        </w:tc>
        <w:tc>
          <w:tcPr>
            <w:tcW w:w="3680" w:type="dxa"/>
            <w:vAlign w:val="bottom"/>
          </w:tcPr>
          <w:p>
            <w:pPr>
              <w:ind w:left="80"/>
              <w:spacing w:after="0"/>
              <w:rPr>
                <w:sz w:val="20"/>
                <w:szCs w:val="20"/>
                <w:color w:val="auto"/>
              </w:rPr>
            </w:pPr>
            <w:r>
              <w:rPr>
                <w:rFonts w:ascii="Arial" w:cs="Arial" w:eastAsia="Arial" w:hAnsi="Arial"/>
                <w:sz w:val="18"/>
                <w:szCs w:val="18"/>
                <w:color w:val="auto"/>
              </w:rPr>
              <w:t>Outside Date</w:t>
            </w:r>
          </w:p>
        </w:tc>
        <w:tc>
          <w:tcPr>
            <w:tcW w:w="164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Early Development Milestone</w:t>
            </w:r>
          </w:p>
        </w:tc>
        <w:tc>
          <w:tcPr>
            <w:tcW w:w="1520" w:type="dxa"/>
            <w:vAlign w:val="bottom"/>
          </w:tcPr>
          <w:p>
            <w:pPr>
              <w:jc w:val="right"/>
              <w:spacing w:after="0"/>
              <w:rPr>
                <w:sz w:val="20"/>
                <w:szCs w:val="20"/>
                <w:color w:val="auto"/>
              </w:rPr>
            </w:pPr>
            <w:r>
              <w:rPr>
                <w:rFonts w:ascii="Arial" w:cs="Arial" w:eastAsia="Arial" w:hAnsi="Arial"/>
                <w:sz w:val="18"/>
                <w:szCs w:val="18"/>
                <w:color w:val="auto"/>
              </w:rPr>
              <w:t>6.4.2</w:t>
            </w:r>
          </w:p>
        </w:tc>
        <w:tc>
          <w:tcPr>
            <w:tcW w:w="3680" w:type="dxa"/>
            <w:vAlign w:val="bottom"/>
          </w:tcPr>
          <w:p>
            <w:pPr>
              <w:ind w:left="80"/>
              <w:spacing w:after="0"/>
              <w:rPr>
                <w:sz w:val="20"/>
                <w:szCs w:val="20"/>
                <w:color w:val="auto"/>
              </w:rPr>
            </w:pPr>
            <w:r>
              <w:rPr>
                <w:rFonts w:ascii="Arial" w:cs="Arial" w:eastAsia="Arial" w:hAnsi="Arial"/>
                <w:sz w:val="18"/>
                <w:szCs w:val="18"/>
                <w:color w:val="auto"/>
              </w:rPr>
              <w:t>Period</w:t>
            </w:r>
          </w:p>
        </w:tc>
        <w:tc>
          <w:tcPr>
            <w:tcW w:w="164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Excluded Claim</w:t>
            </w:r>
          </w:p>
        </w:tc>
        <w:tc>
          <w:tcPr>
            <w:tcW w:w="1520" w:type="dxa"/>
            <w:vAlign w:val="bottom"/>
          </w:tcPr>
          <w:p>
            <w:pPr>
              <w:jc w:val="right"/>
              <w:spacing w:after="0"/>
              <w:rPr>
                <w:sz w:val="20"/>
                <w:szCs w:val="20"/>
                <w:color w:val="auto"/>
              </w:rPr>
            </w:pPr>
            <w:r>
              <w:rPr>
                <w:rFonts w:ascii="Arial" w:cs="Arial" w:eastAsia="Arial" w:hAnsi="Arial"/>
                <w:sz w:val="18"/>
                <w:szCs w:val="18"/>
                <w:color w:val="auto"/>
              </w:rPr>
              <w:t>14.1.6</w:t>
            </w:r>
          </w:p>
        </w:tc>
        <w:tc>
          <w:tcPr>
            <w:tcW w:w="3680" w:type="dxa"/>
            <w:vAlign w:val="bottom"/>
          </w:tcPr>
          <w:p>
            <w:pPr>
              <w:ind w:left="80"/>
              <w:spacing w:after="0"/>
              <w:rPr>
                <w:sz w:val="20"/>
                <w:szCs w:val="20"/>
                <w:color w:val="auto"/>
              </w:rPr>
            </w:pPr>
            <w:r>
              <w:rPr>
                <w:rFonts w:ascii="Arial" w:cs="Arial" w:eastAsia="Arial" w:hAnsi="Arial"/>
                <w:sz w:val="18"/>
                <w:szCs w:val="18"/>
                <w:color w:val="auto"/>
              </w:rPr>
              <w:t>Project Leader</w:t>
            </w: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Exercise Date</w:t>
            </w:r>
          </w:p>
        </w:tc>
        <w:tc>
          <w:tcPr>
            <w:tcW w:w="1520" w:type="dxa"/>
            <w:vAlign w:val="bottom"/>
          </w:tcPr>
          <w:p>
            <w:pPr>
              <w:jc w:val="right"/>
              <w:spacing w:after="0"/>
              <w:rPr>
                <w:sz w:val="20"/>
                <w:szCs w:val="20"/>
                <w:color w:val="auto"/>
              </w:rPr>
            </w:pPr>
            <w:r>
              <w:rPr>
                <w:rFonts w:ascii="Arial" w:cs="Arial" w:eastAsia="Arial" w:hAnsi="Arial"/>
                <w:sz w:val="18"/>
                <w:szCs w:val="18"/>
                <w:color w:val="auto"/>
              </w:rPr>
              <w:t>5.3.3</w:t>
            </w:r>
          </w:p>
        </w:tc>
        <w:tc>
          <w:tcPr>
            <w:tcW w:w="3680" w:type="dxa"/>
            <w:vAlign w:val="bottom"/>
          </w:tcPr>
          <w:p>
            <w:pPr>
              <w:ind w:left="80"/>
              <w:spacing w:after="0"/>
              <w:rPr>
                <w:sz w:val="20"/>
                <w:szCs w:val="20"/>
                <w:color w:val="auto"/>
              </w:rPr>
            </w:pPr>
            <w:r>
              <w:rPr>
                <w:rFonts w:ascii="Arial" w:cs="Arial" w:eastAsia="Arial" w:hAnsi="Arial"/>
                <w:sz w:val="18"/>
                <w:szCs w:val="18"/>
                <w:color w:val="auto"/>
              </w:rPr>
              <w:t>Prosecution and Maintenance</w:t>
            </w:r>
          </w:p>
        </w:tc>
        <w:tc>
          <w:tcPr>
            <w:tcW w:w="1640" w:type="dxa"/>
            <w:vAlign w:val="bottom"/>
          </w:tcPr>
          <w:p>
            <w:pPr>
              <w:jc w:val="right"/>
              <w:spacing w:after="0"/>
              <w:rPr>
                <w:sz w:val="20"/>
                <w:szCs w:val="20"/>
                <w:color w:val="auto"/>
              </w:rPr>
            </w:pPr>
            <w:r>
              <w:rPr>
                <w:rFonts w:ascii="Arial" w:cs="Arial" w:eastAsia="Arial" w:hAnsi="Arial"/>
                <w:sz w:val="18"/>
                <w:szCs w:val="18"/>
                <w:color w:val="auto"/>
              </w:rPr>
              <w:t>9.2.1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Existing Product</w:t>
            </w:r>
          </w:p>
        </w:tc>
        <w:tc>
          <w:tcPr>
            <w:tcW w:w="1520" w:type="dxa"/>
            <w:vAlign w:val="bottom"/>
          </w:tcPr>
          <w:p>
            <w:pPr>
              <w:jc w:val="right"/>
              <w:spacing w:after="0"/>
              <w:rPr>
                <w:sz w:val="20"/>
                <w:szCs w:val="20"/>
                <w:color w:val="auto"/>
              </w:rPr>
            </w:pPr>
            <w:r>
              <w:rPr>
                <w:rFonts w:ascii="Arial" w:cs="Arial" w:eastAsia="Arial" w:hAnsi="Arial"/>
                <w:sz w:val="18"/>
                <w:szCs w:val="18"/>
                <w:color w:val="auto"/>
              </w:rPr>
              <w:t>13.5.4</w:t>
            </w:r>
          </w:p>
        </w:tc>
        <w:tc>
          <w:tcPr>
            <w:tcW w:w="3680" w:type="dxa"/>
            <w:vAlign w:val="bottom"/>
          </w:tcPr>
          <w:p>
            <w:pPr>
              <w:ind w:left="80"/>
              <w:spacing w:after="0"/>
              <w:rPr>
                <w:sz w:val="20"/>
                <w:szCs w:val="20"/>
                <w:color w:val="auto"/>
              </w:rPr>
            </w:pPr>
            <w:r>
              <w:rPr>
                <w:rFonts w:ascii="Arial" w:cs="Arial" w:eastAsia="Arial" w:hAnsi="Arial"/>
                <w:sz w:val="18"/>
                <w:szCs w:val="18"/>
                <w:color w:val="auto"/>
              </w:rPr>
              <w:t>Providers</w:t>
            </w:r>
          </w:p>
        </w:tc>
        <w:tc>
          <w:tcPr>
            <w:tcW w:w="1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Extension Date</w:t>
            </w:r>
          </w:p>
        </w:tc>
        <w:tc>
          <w:tcPr>
            <w:tcW w:w="1520" w:type="dxa"/>
            <w:vAlign w:val="bottom"/>
          </w:tcPr>
          <w:p>
            <w:pPr>
              <w:jc w:val="right"/>
              <w:spacing w:after="0"/>
              <w:rPr>
                <w:sz w:val="20"/>
                <w:szCs w:val="20"/>
                <w:color w:val="auto"/>
              </w:rPr>
            </w:pPr>
            <w:r>
              <w:rPr>
                <w:rFonts w:ascii="Arial" w:cs="Arial" w:eastAsia="Arial" w:hAnsi="Arial"/>
                <w:sz w:val="18"/>
                <w:szCs w:val="18"/>
                <w:color w:val="auto"/>
              </w:rPr>
              <w:t>8.2.2</w:t>
            </w:r>
          </w:p>
        </w:tc>
        <w:tc>
          <w:tcPr>
            <w:tcW w:w="3680" w:type="dxa"/>
            <w:vAlign w:val="bottom"/>
          </w:tcPr>
          <w:p>
            <w:pPr>
              <w:ind w:left="80"/>
              <w:spacing w:after="0"/>
              <w:rPr>
                <w:sz w:val="20"/>
                <w:szCs w:val="20"/>
                <w:color w:val="auto"/>
              </w:rPr>
            </w:pPr>
            <w:r>
              <w:rPr>
                <w:rFonts w:ascii="Arial" w:cs="Arial" w:eastAsia="Arial" w:hAnsi="Arial"/>
                <w:sz w:val="18"/>
                <w:szCs w:val="18"/>
                <w:color w:val="auto"/>
              </w:rPr>
              <w:t>Research Commencement Date</w:t>
            </w:r>
          </w:p>
        </w:tc>
        <w:tc>
          <w:tcPr>
            <w:tcW w:w="1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First Antibody Approval</w:t>
            </w:r>
          </w:p>
        </w:tc>
        <w:tc>
          <w:tcPr>
            <w:tcW w:w="1520" w:type="dxa"/>
            <w:vAlign w:val="bottom"/>
          </w:tcPr>
          <w:p>
            <w:pPr>
              <w:jc w:val="right"/>
              <w:spacing w:after="0"/>
              <w:rPr>
                <w:sz w:val="20"/>
                <w:szCs w:val="20"/>
                <w:color w:val="auto"/>
              </w:rPr>
            </w:pPr>
            <w:r>
              <w:rPr>
                <w:rFonts w:ascii="Arial" w:cs="Arial" w:eastAsia="Arial" w:hAnsi="Arial"/>
                <w:sz w:val="18"/>
                <w:szCs w:val="18"/>
                <w:color w:val="auto"/>
              </w:rPr>
              <w:t>6.4.2</w:t>
            </w:r>
          </w:p>
        </w:tc>
        <w:tc>
          <w:tcPr>
            <w:tcW w:w="3680" w:type="dxa"/>
            <w:vAlign w:val="bottom"/>
          </w:tcPr>
          <w:p>
            <w:pPr>
              <w:ind w:left="80"/>
              <w:spacing w:after="0"/>
              <w:rPr>
                <w:sz w:val="20"/>
                <w:szCs w:val="20"/>
                <w:color w:val="auto"/>
              </w:rPr>
            </w:pPr>
            <w:r>
              <w:rPr>
                <w:rFonts w:ascii="Arial" w:cs="Arial" w:eastAsia="Arial" w:hAnsi="Arial"/>
                <w:sz w:val="18"/>
                <w:szCs w:val="18"/>
                <w:color w:val="auto"/>
              </w:rPr>
              <w:t>Research Term</w:t>
            </w:r>
          </w:p>
        </w:tc>
        <w:tc>
          <w:tcPr>
            <w:tcW w:w="1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First Vaccine Approval</w:t>
            </w:r>
          </w:p>
        </w:tc>
        <w:tc>
          <w:tcPr>
            <w:tcW w:w="1520" w:type="dxa"/>
            <w:vAlign w:val="bottom"/>
          </w:tcPr>
          <w:p>
            <w:pPr>
              <w:jc w:val="right"/>
              <w:spacing w:after="0"/>
              <w:rPr>
                <w:sz w:val="20"/>
                <w:szCs w:val="20"/>
                <w:color w:val="auto"/>
              </w:rPr>
            </w:pPr>
            <w:r>
              <w:rPr>
                <w:rFonts w:ascii="Arial" w:cs="Arial" w:eastAsia="Arial" w:hAnsi="Arial"/>
                <w:sz w:val="18"/>
                <w:szCs w:val="18"/>
                <w:color w:val="auto"/>
              </w:rPr>
              <w:t>6.4.2</w:t>
            </w:r>
          </w:p>
        </w:tc>
        <w:tc>
          <w:tcPr>
            <w:tcW w:w="3680" w:type="dxa"/>
            <w:vAlign w:val="bottom"/>
          </w:tcPr>
          <w:p>
            <w:pPr>
              <w:ind w:left="80"/>
              <w:spacing w:after="0"/>
              <w:rPr>
                <w:sz w:val="20"/>
                <w:szCs w:val="20"/>
                <w:color w:val="auto"/>
              </w:rPr>
            </w:pPr>
            <w:r>
              <w:rPr>
                <w:rFonts w:ascii="Arial" w:cs="Arial" w:eastAsia="Arial" w:hAnsi="Arial"/>
                <w:sz w:val="18"/>
                <w:szCs w:val="18"/>
                <w:color w:val="auto"/>
              </w:rPr>
              <w:t>Retained Products</w:t>
            </w:r>
          </w:p>
        </w:tc>
        <w:tc>
          <w:tcPr>
            <w:tcW w:w="1640" w:type="dxa"/>
            <w:vAlign w:val="bottom"/>
          </w:tcPr>
          <w:p>
            <w:pPr>
              <w:jc w:val="right"/>
              <w:spacing w:after="0"/>
              <w:rPr>
                <w:sz w:val="20"/>
                <w:szCs w:val="20"/>
                <w:color w:val="auto"/>
              </w:rPr>
            </w:pPr>
            <w:r>
              <w:rPr>
                <w:rFonts w:ascii="Arial" w:cs="Arial" w:eastAsia="Arial" w:hAnsi="Arial"/>
                <w:sz w:val="18"/>
                <w:szCs w:val="18"/>
                <w:color w:val="auto"/>
              </w:rPr>
              <w:t>13.5.4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Grantee</w:t>
            </w:r>
          </w:p>
        </w:tc>
        <w:tc>
          <w:tcPr>
            <w:tcW w:w="1520" w:type="dxa"/>
            <w:vAlign w:val="bottom"/>
          </w:tcPr>
          <w:p>
            <w:pPr>
              <w:jc w:val="right"/>
              <w:spacing w:after="0"/>
              <w:rPr>
                <w:sz w:val="20"/>
                <w:szCs w:val="20"/>
                <w:color w:val="auto"/>
              </w:rPr>
            </w:pPr>
            <w:r>
              <w:rPr>
                <w:rFonts w:ascii="Arial" w:cs="Arial" w:eastAsia="Arial" w:hAnsi="Arial"/>
                <w:sz w:val="18"/>
                <w:szCs w:val="18"/>
                <w:color w:val="auto"/>
              </w:rPr>
              <w:t>9.5.2</w:t>
            </w:r>
          </w:p>
        </w:tc>
        <w:tc>
          <w:tcPr>
            <w:tcW w:w="3680" w:type="dxa"/>
            <w:vAlign w:val="bottom"/>
          </w:tcPr>
          <w:p>
            <w:pPr>
              <w:ind w:left="80"/>
              <w:spacing w:after="0"/>
              <w:rPr>
                <w:sz w:val="20"/>
                <w:szCs w:val="20"/>
                <w:color w:val="auto"/>
              </w:rPr>
            </w:pPr>
            <w:r>
              <w:rPr>
                <w:rFonts w:ascii="Arial" w:cs="Arial" w:eastAsia="Arial" w:hAnsi="Arial"/>
                <w:sz w:val="18"/>
                <w:szCs w:val="18"/>
                <w:color w:val="auto"/>
              </w:rPr>
              <w:t>Reversion Stage</w:t>
            </w:r>
          </w:p>
        </w:tc>
        <w:tc>
          <w:tcPr>
            <w:tcW w:w="1640" w:type="dxa"/>
            <w:vAlign w:val="bottom"/>
          </w:tcPr>
          <w:p>
            <w:pPr>
              <w:jc w:val="right"/>
              <w:spacing w:after="0"/>
              <w:rPr>
                <w:sz w:val="20"/>
                <w:szCs w:val="20"/>
                <w:color w:val="auto"/>
              </w:rPr>
            </w:pPr>
            <w:r>
              <w:rPr>
                <w:rFonts w:ascii="Arial" w:cs="Arial" w:eastAsia="Arial" w:hAnsi="Arial"/>
                <w:sz w:val="18"/>
                <w:szCs w:val="18"/>
                <w:color w:val="auto"/>
              </w:rPr>
              <w:t>13.5.4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Grantor</w:t>
            </w:r>
          </w:p>
        </w:tc>
        <w:tc>
          <w:tcPr>
            <w:tcW w:w="1520" w:type="dxa"/>
            <w:vAlign w:val="bottom"/>
          </w:tcPr>
          <w:p>
            <w:pPr>
              <w:jc w:val="right"/>
              <w:spacing w:after="0"/>
              <w:rPr>
                <w:sz w:val="20"/>
                <w:szCs w:val="20"/>
                <w:color w:val="auto"/>
              </w:rPr>
            </w:pPr>
            <w:r>
              <w:rPr>
                <w:rFonts w:ascii="Arial" w:cs="Arial" w:eastAsia="Arial" w:hAnsi="Arial"/>
                <w:sz w:val="18"/>
                <w:szCs w:val="18"/>
                <w:color w:val="auto"/>
              </w:rPr>
              <w:t>9.5.2</w:t>
            </w:r>
          </w:p>
        </w:tc>
        <w:tc>
          <w:tcPr>
            <w:tcW w:w="3680" w:type="dxa"/>
            <w:vAlign w:val="bottom"/>
          </w:tcPr>
          <w:p>
            <w:pPr>
              <w:ind w:left="80"/>
              <w:spacing w:after="0"/>
              <w:rPr>
                <w:sz w:val="20"/>
                <w:szCs w:val="20"/>
                <w:color w:val="auto"/>
              </w:rPr>
            </w:pPr>
            <w:r>
              <w:rPr>
                <w:rFonts w:ascii="Arial" w:cs="Arial" w:eastAsia="Arial" w:hAnsi="Arial"/>
                <w:sz w:val="18"/>
                <w:szCs w:val="18"/>
                <w:color w:val="auto"/>
              </w:rPr>
              <w:t>Reverted Products</w:t>
            </w:r>
          </w:p>
        </w:tc>
        <w:tc>
          <w:tcPr>
            <w:tcW w:w="1640" w:type="dxa"/>
            <w:vAlign w:val="bottom"/>
          </w:tcPr>
          <w:p>
            <w:pPr>
              <w:jc w:val="right"/>
              <w:spacing w:after="0"/>
              <w:rPr>
                <w:sz w:val="20"/>
                <w:szCs w:val="20"/>
                <w:color w:val="auto"/>
              </w:rPr>
            </w:pPr>
            <w:r>
              <w:rPr>
                <w:rFonts w:ascii="Arial" w:cs="Arial" w:eastAsia="Arial" w:hAnsi="Arial"/>
                <w:sz w:val="18"/>
                <w:szCs w:val="18"/>
                <w:color w:val="auto"/>
              </w:rPr>
              <w:t>13.5.4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Human Materials</w:t>
            </w: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c>
          <w:tcPr>
            <w:tcW w:w="3680" w:type="dxa"/>
            <w:vAlign w:val="bottom"/>
          </w:tcPr>
          <w:p>
            <w:pPr>
              <w:ind w:left="80"/>
              <w:spacing w:after="0"/>
              <w:rPr>
                <w:sz w:val="20"/>
                <w:szCs w:val="20"/>
                <w:color w:val="auto"/>
              </w:rPr>
            </w:pPr>
            <w:r>
              <w:rPr>
                <w:rFonts w:ascii="Arial" w:cs="Arial" w:eastAsia="Arial" w:hAnsi="Arial"/>
                <w:sz w:val="18"/>
                <w:szCs w:val="18"/>
                <w:color w:val="auto"/>
              </w:rPr>
              <w:t>Term</w:t>
            </w:r>
          </w:p>
        </w:tc>
        <w:tc>
          <w:tcPr>
            <w:tcW w:w="16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Infringement</w:t>
            </w:r>
          </w:p>
        </w:tc>
        <w:tc>
          <w:tcPr>
            <w:tcW w:w="1520" w:type="dxa"/>
            <w:vAlign w:val="bottom"/>
          </w:tcPr>
          <w:p>
            <w:pPr>
              <w:jc w:val="right"/>
              <w:spacing w:after="0"/>
              <w:rPr>
                <w:sz w:val="20"/>
                <w:szCs w:val="20"/>
                <w:color w:val="auto"/>
              </w:rPr>
            </w:pPr>
            <w:r>
              <w:rPr>
                <w:rFonts w:ascii="Arial" w:cs="Arial" w:eastAsia="Arial" w:hAnsi="Arial"/>
                <w:sz w:val="18"/>
                <w:szCs w:val="18"/>
                <w:color w:val="auto"/>
              </w:rPr>
              <w:t>9.3.1</w:t>
            </w:r>
          </w:p>
        </w:tc>
        <w:tc>
          <w:tcPr>
            <w:tcW w:w="3680" w:type="dxa"/>
            <w:vAlign w:val="bottom"/>
          </w:tcPr>
          <w:p>
            <w:pPr>
              <w:ind w:left="80"/>
              <w:spacing w:after="0"/>
              <w:rPr>
                <w:sz w:val="20"/>
                <w:szCs w:val="20"/>
                <w:color w:val="auto"/>
              </w:rPr>
            </w:pPr>
            <w:r>
              <w:rPr>
                <w:rFonts w:ascii="Arial" w:cs="Arial" w:eastAsia="Arial" w:hAnsi="Arial"/>
                <w:sz w:val="18"/>
                <w:szCs w:val="18"/>
                <w:color w:val="auto"/>
              </w:rPr>
              <w:t>Third Party Technology</w:t>
            </w:r>
          </w:p>
        </w:tc>
        <w:tc>
          <w:tcPr>
            <w:tcW w:w="1640" w:type="dxa"/>
            <w:vAlign w:val="bottom"/>
          </w:tcPr>
          <w:p>
            <w:pPr>
              <w:jc w:val="right"/>
              <w:spacing w:after="0"/>
              <w:rPr>
                <w:sz w:val="20"/>
                <w:szCs w:val="20"/>
                <w:color w:val="auto"/>
              </w:rPr>
            </w:pPr>
            <w:r>
              <w:rPr>
                <w:rFonts w:ascii="Arial" w:cs="Arial" w:eastAsia="Arial" w:hAnsi="Arial"/>
                <w:sz w:val="18"/>
                <w:szCs w:val="18"/>
                <w:color w:val="auto"/>
              </w:rPr>
              <w:t>9.5.2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Infringement Action</w:t>
            </w:r>
          </w:p>
        </w:tc>
        <w:tc>
          <w:tcPr>
            <w:tcW w:w="1520" w:type="dxa"/>
            <w:vAlign w:val="bottom"/>
          </w:tcPr>
          <w:p>
            <w:pPr>
              <w:jc w:val="right"/>
              <w:spacing w:after="0"/>
              <w:rPr>
                <w:sz w:val="20"/>
                <w:szCs w:val="20"/>
                <w:color w:val="auto"/>
              </w:rPr>
            </w:pPr>
            <w:r>
              <w:rPr>
                <w:rFonts w:ascii="Arial" w:cs="Arial" w:eastAsia="Arial" w:hAnsi="Arial"/>
                <w:sz w:val="18"/>
                <w:szCs w:val="18"/>
                <w:color w:val="auto"/>
              </w:rPr>
              <w:t>9.3.2</w:t>
            </w:r>
          </w:p>
        </w:tc>
        <w:tc>
          <w:tcPr>
            <w:tcW w:w="3680" w:type="dxa"/>
            <w:vAlign w:val="bottom"/>
          </w:tcPr>
          <w:p>
            <w:pPr>
              <w:ind w:left="80"/>
              <w:spacing w:after="0"/>
              <w:rPr>
                <w:sz w:val="20"/>
                <w:szCs w:val="20"/>
                <w:color w:val="auto"/>
              </w:rPr>
            </w:pPr>
            <w:r>
              <w:rPr>
                <w:rFonts w:ascii="Arial" w:cs="Arial" w:eastAsia="Arial" w:hAnsi="Arial"/>
                <w:sz w:val="18"/>
                <w:szCs w:val="18"/>
                <w:color w:val="auto"/>
              </w:rPr>
              <w:t>Vaccine Option</w:t>
            </w:r>
          </w:p>
        </w:tc>
        <w:tc>
          <w:tcPr>
            <w:tcW w:w="164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JAMS</w:t>
            </w:r>
          </w:p>
        </w:tc>
        <w:tc>
          <w:tcPr>
            <w:tcW w:w="1520" w:type="dxa"/>
            <w:vAlign w:val="bottom"/>
          </w:tcPr>
          <w:p>
            <w:pPr>
              <w:jc w:val="right"/>
              <w:spacing w:after="0"/>
              <w:rPr>
                <w:sz w:val="20"/>
                <w:szCs w:val="20"/>
                <w:color w:val="auto"/>
              </w:rPr>
            </w:pPr>
            <w:r>
              <w:rPr>
                <w:rFonts w:ascii="Arial" w:cs="Arial" w:eastAsia="Arial" w:hAnsi="Arial"/>
                <w:sz w:val="18"/>
                <w:szCs w:val="18"/>
                <w:color w:val="auto"/>
              </w:rPr>
              <w:t>14.1</w:t>
            </w:r>
          </w:p>
        </w:tc>
        <w:tc>
          <w:tcPr>
            <w:tcW w:w="368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99"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Project Leaders</w:t>
      </w:r>
      <w:r>
        <w:rPr>
          <w:rFonts w:ascii="Arial" w:cs="Arial" w:eastAsia="Arial" w:hAnsi="Arial"/>
          <w:sz w:val="18"/>
          <w:szCs w:val="18"/>
          <w:color w:val="auto"/>
        </w:rPr>
        <w:t>. Merck and Acumen each shall appoint a person (a “</w:t>
      </w:r>
      <w:r>
        <w:rPr>
          <w:rFonts w:ascii="Arial" w:cs="Arial" w:eastAsia="Arial" w:hAnsi="Arial"/>
          <w:sz w:val="18"/>
          <w:szCs w:val="18"/>
          <w:b w:val="1"/>
          <w:bCs w:val="1"/>
          <w:color w:val="auto"/>
        </w:rPr>
        <w:t>Project Leader</w:t>
      </w:r>
      <w:r>
        <w:rPr>
          <w:rFonts w:ascii="Arial" w:cs="Arial" w:eastAsia="Arial" w:hAnsi="Arial"/>
          <w:sz w:val="18"/>
          <w:szCs w:val="18"/>
          <w:color w:val="auto"/>
        </w:rPr>
        <w:t>”) from the JRC to coordinate its part of the Research Program. The Project Leaders shall be the primary contact between the Parties with respect to the Research Program. Each Party shall notify the other within thirty (30) days of the date of the Agreement of the name and contact information for its Project Leader and shall so notify the other Party in advance of changing its Project Leader.</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Joint Research Committee</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91"/>
        <w:spacing w:after="0" w:line="266"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u w:val="single" w:color="auto"/>
          <w:color w:val="auto"/>
        </w:rPr>
        <w:t>Responsibilities</w:t>
      </w:r>
      <w:r>
        <w:rPr>
          <w:rFonts w:ascii="Arial" w:cs="Arial" w:eastAsia="Arial" w:hAnsi="Arial"/>
          <w:sz w:val="18"/>
          <w:szCs w:val="18"/>
          <w:color w:val="auto"/>
        </w:rPr>
        <w:t>. Merck and Acumen will establish a committee (the “</w:t>
      </w:r>
      <w:r>
        <w:rPr>
          <w:rFonts w:ascii="Arial" w:cs="Arial" w:eastAsia="Arial" w:hAnsi="Arial"/>
          <w:sz w:val="18"/>
          <w:szCs w:val="18"/>
          <w:b w:val="1"/>
          <w:bCs w:val="1"/>
          <w:color w:val="auto"/>
        </w:rPr>
        <w:t>Joint Research Committee</w:t>
      </w:r>
      <w:r>
        <w:rPr>
          <w:rFonts w:ascii="Arial" w:cs="Arial" w:eastAsia="Arial" w:hAnsi="Arial"/>
          <w:sz w:val="18"/>
          <w:szCs w:val="18"/>
          <w:color w:val="auto"/>
        </w:rPr>
        <w:t>” or “</w:t>
      </w:r>
      <w:r>
        <w:rPr>
          <w:rFonts w:ascii="Arial" w:cs="Arial" w:eastAsia="Arial" w:hAnsi="Arial"/>
          <w:sz w:val="18"/>
          <w:szCs w:val="18"/>
          <w:b w:val="1"/>
          <w:bCs w:val="1"/>
          <w:color w:val="auto"/>
        </w:rPr>
        <w:t>JRC”</w:t>
      </w:r>
      <w:r>
        <w:rPr>
          <w:rFonts w:ascii="Arial" w:cs="Arial" w:eastAsia="Arial" w:hAnsi="Arial"/>
          <w:sz w:val="18"/>
          <w:szCs w:val="18"/>
          <w:color w:val="auto"/>
        </w:rPr>
        <w:t>) to oversee, review and recommend direction of the Research Program. The responsibilities of the JRC shall consist of: (i) monitoring and reporting research progress and providing a forum for open and frequent exchange between the Parties regarding</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0" w:right="499" w:bottom="1440" w:gutter="0" w:footer="0" w:header="0"/>
        </w:sectPr>
      </w:pPr>
    </w:p>
    <w:bookmarkStart w:id="335" w:name="page336"/>
    <w:bookmarkEnd w:id="335"/>
    <w:p>
      <w:pPr>
        <w:ind w:right="8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Research Program activities; (ii) reviewing relevant data arising during the course and in the performance of the Research Program; (iii) reviewing and commenting on technical issues and Acumen’s budget relating to the Research Program; (iv) considering issues of priority in performing the Research Program; (v) reviewing and approving annual Research Plans, and (vi) taking such other actions as are specifically provided for the JRC in this Agreement.</w:t>
      </w:r>
    </w:p>
    <w:p>
      <w:pPr>
        <w:spacing w:after="0" w:line="75" w:lineRule="exact"/>
        <w:rPr>
          <w:sz w:val="20"/>
          <w:szCs w:val="20"/>
          <w:color w:val="auto"/>
        </w:rPr>
      </w:pPr>
    </w:p>
    <w:p>
      <w:pPr>
        <w:ind w:firstLine="991"/>
        <w:spacing w:after="0" w:line="292"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b w:val="1"/>
          <w:bCs w:val="1"/>
          <w:u w:val="single" w:color="auto"/>
          <w:color w:val="auto"/>
        </w:rPr>
        <w:t>Membership</w:t>
      </w:r>
      <w:r>
        <w:rPr>
          <w:rFonts w:ascii="Arial" w:cs="Arial" w:eastAsia="Arial" w:hAnsi="Arial"/>
          <w:sz w:val="16"/>
          <w:szCs w:val="16"/>
          <w:color w:val="auto"/>
        </w:rPr>
        <w:t>. The JRC shall consist of four (4) members, with each Party selecting two (2) representatives to serve as members of the JRC by written notice to the other Party. At least one member appointed by each Party shall have appropriate technical credentials, experience and knowledge and ongoing familiarity with the Research Program. Subject to the foregoing, Acumen and Merck may each replace its JRC representatives at any time, upon written notice to the other Party. Each of Merck and Acumen shall identify a lead representative who shall be responsible for communicating the vote of such Party in decisions of the JRC. In addition, the chairperson of the JRC shall be designated by Merck, and the recording secretary shall be designated by Acumen. The chairperson shall be responsible for sending notices of meetings of the JRC, shall chair such meetings and [***] based upon the input of both Parties. The secretary shall be responsible for preparing the minutes of the meetings of the JRC.</w:t>
      </w:r>
    </w:p>
    <w:p>
      <w:pPr>
        <w:spacing w:after="0" w:line="53" w:lineRule="exact"/>
        <w:rPr>
          <w:sz w:val="20"/>
          <w:szCs w:val="20"/>
          <w:color w:val="auto"/>
        </w:rPr>
      </w:pPr>
    </w:p>
    <w:p>
      <w:pPr>
        <w:ind w:firstLine="991"/>
        <w:spacing w:after="0" w:line="274"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b w:val="1"/>
          <w:bCs w:val="1"/>
          <w:u w:val="single" w:color="auto"/>
          <w:color w:val="auto"/>
        </w:rPr>
        <w:t>Meetings</w:t>
      </w:r>
      <w:r>
        <w:rPr>
          <w:rFonts w:ascii="Arial" w:cs="Arial" w:eastAsia="Arial" w:hAnsi="Arial"/>
          <w:sz w:val="17"/>
          <w:szCs w:val="17"/>
          <w:color w:val="auto"/>
        </w:rPr>
        <w:t>. During the Research Term, the JRC shall meet at least quarterly in person or by videoconference (with two of such meetings per year being in person), or more frequently as agreed by the Parties, and will otherwise communicate regularly by telephone, electronic mail, facsimile and/or videoconference. The in-person meetings shall alternate between sites designated by Merck and Acumen, respectively, or such other locations as determined by the JRC. Additional representatives or consultants may from time to time, by mutual consent of the Parties, be invited to attend JRC meetings, subject to such representative’s and consultant’s written agreement to comply with the requirements of Article 10. Such other representatives may attend the in person meetings by telephone and/or videoconference.</w:t>
      </w:r>
    </w:p>
    <w:p>
      <w:pPr>
        <w:spacing w:after="0" w:line="65" w:lineRule="exact"/>
        <w:rPr>
          <w:sz w:val="20"/>
          <w:szCs w:val="20"/>
          <w:color w:val="auto"/>
        </w:rPr>
      </w:pPr>
    </w:p>
    <w:p>
      <w:pPr>
        <w:jc w:val="both"/>
        <w:ind w:right="20" w:firstLine="991"/>
        <w:spacing w:after="0" w:line="256"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b w:val="1"/>
          <w:bCs w:val="1"/>
          <w:u w:val="single" w:color="auto"/>
          <w:color w:val="auto"/>
        </w:rPr>
        <w:t>Decision Making</w:t>
      </w:r>
      <w:r>
        <w:rPr>
          <w:rFonts w:ascii="Arial" w:cs="Arial" w:eastAsia="Arial" w:hAnsi="Arial"/>
          <w:sz w:val="18"/>
          <w:szCs w:val="18"/>
          <w:color w:val="auto"/>
        </w:rPr>
        <w:t>. With respect to decisions taken on matters placed by either Party before the JRC, each Party shall have one vote. Decisions of the JRC shall be made by unanimous approval of the JRC members present and voting on the matter. At least one member from each Party must be so present and voting for a decision to be reached. In the event the JRC is unable to reach consensus on a particular decision expressly provided in this Agreement to be made by the JRC, such decision will be referred to the CEO of Acumen and a [***] of [***] Merck [***] for resolution. If such representatives fail to resolve such a dispute, the final decision will be made by [***]; [***] the number of FTE’s of Acumen (“</w:t>
      </w:r>
      <w:r>
        <w:rPr>
          <w:rFonts w:ascii="Arial" w:cs="Arial" w:eastAsia="Arial" w:hAnsi="Arial"/>
          <w:sz w:val="18"/>
          <w:szCs w:val="18"/>
          <w:b w:val="1"/>
          <w:bCs w:val="1"/>
          <w:color w:val="auto"/>
        </w:rPr>
        <w:t>Acumen FTE’s</w:t>
      </w:r>
      <w:r>
        <w:rPr>
          <w:rFonts w:ascii="Arial" w:cs="Arial" w:eastAsia="Arial" w:hAnsi="Arial"/>
          <w:sz w:val="18"/>
          <w:szCs w:val="18"/>
          <w:color w:val="auto"/>
        </w:rPr>
        <w:t>”) under the Research Plan in accordance with Section 6.1,[***]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RESEARCH PROGRAM</w:t>
      </w:r>
    </w:p>
    <w:p>
      <w:pPr>
        <w:spacing w:after="0" w:line="99"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Conduct of Research Program</w:t>
      </w:r>
      <w:r>
        <w:rPr>
          <w:rFonts w:ascii="Arial" w:cs="Arial" w:eastAsia="Arial" w:hAnsi="Arial"/>
          <w:sz w:val="18"/>
          <w:szCs w:val="18"/>
          <w:color w:val="auto"/>
        </w:rPr>
        <w:t>. Subject to the terms and conditions set forth in this Agreement, the Parties agree to conduct a research program relating to the discovery and research of Product by collaboratively and diligently performing its responsibilities during the Research Term in accordance with the then-current Research Plan. Such responsibilities will be performed in a good scientific manner and in compliance in all material respects with all requirements of applicable laws,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336" w:name="page337"/>
    <w:bookmarkEnd w:id="336"/>
    <w:p>
      <w:pPr>
        <w:ind w:right="9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rules and regulations. Without limiting any other obligations in this Agreement, each Party shall allocate sufficient time, effort, equipment and facilities, and shall use personnel with sufficient skills and experience, as are required to accomplish the Research Program in accordance with the terms of this Agreement, including the Research Plan.</w:t>
      </w:r>
    </w:p>
    <w:p>
      <w:pPr>
        <w:spacing w:after="0" w:line="72"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u w:val="single" w:color="auto"/>
          <w:color w:val="auto"/>
        </w:rPr>
        <w:t>Research Plan</w:t>
      </w:r>
      <w:r>
        <w:rPr>
          <w:rFonts w:ascii="Arial" w:cs="Arial" w:eastAsia="Arial" w:hAnsi="Arial"/>
          <w:sz w:val="16"/>
          <w:szCs w:val="16"/>
          <w:color w:val="auto"/>
        </w:rPr>
        <w:t xml:space="preserve">. The Research Plan shall establish, in detail: (i) the scope of the research activities to be performed by each Party under the Research Program, using the outline set forth in </w:t>
      </w:r>
      <w:r>
        <w:rPr>
          <w:rFonts w:ascii="Arial" w:cs="Arial" w:eastAsia="Arial" w:hAnsi="Arial"/>
          <w:sz w:val="16"/>
          <w:szCs w:val="16"/>
          <w:u w:val="single" w:color="auto"/>
          <w:color w:val="auto"/>
        </w:rPr>
        <w:t>Exhibit 3.2</w:t>
      </w:r>
      <w:r>
        <w:rPr>
          <w:rFonts w:ascii="Arial" w:cs="Arial" w:eastAsia="Arial" w:hAnsi="Arial"/>
          <w:sz w:val="16"/>
          <w:szCs w:val="16"/>
          <w:color w:val="auto"/>
        </w:rPr>
        <w:t xml:space="preserve"> as a starting point, provided that Exhibit 3.2 shall not supersede or modify the terms of this Agreement; (ii) the research objectives, work plan activities, and schedules of the Research Program; and (iii) the respective obligations of each Party under the Research Program. As soon as possible after the Effective Date, but no later than [***] days thereafter, and subject to Sections 2.2.4 and 6.1, the Parties shall jointly establish the first Research Plan. Thereafter, subject to Sections 2.2.4 and 6.1, the Parties shall establish annual Research Plans by no later than October 1 of each year during the Research Term. The Parties shall submit to the JRC for approval the proposed Research Plan required under this Section 3.2 for the following Calendar Year. The JRC shall promptly review and approve each such proposal or propose modifications thereto. Unless otherwise agreed by Acumen and Merck, the Research Plan shall at all times provide for at least five (5) Acumen FTE’s.</w:t>
      </w:r>
    </w:p>
    <w:p>
      <w:pPr>
        <w:spacing w:after="0" w:line="5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u w:val="single" w:color="auto"/>
          <w:color w:val="auto"/>
        </w:rPr>
        <w:t>Exchange of Information</w:t>
      </w:r>
      <w:r>
        <w:rPr>
          <w:rFonts w:ascii="Arial" w:cs="Arial" w:eastAsia="Arial" w:hAnsi="Arial"/>
          <w:sz w:val="17"/>
          <w:szCs w:val="17"/>
          <w:color w:val="auto"/>
        </w:rPr>
        <w:t xml:space="preserve">. Each Party shall keep the JRC reasonably informed on a timely basis as to the material progress, results and activities in connection with the Research Program. During the Research Term, Acumen agrees to cooperate with Merck to provide for reasonable and prompt disclosure to Merck of the Acumen Know-How. During the Research Term, Merck agrees to provide Acumen with the information reasonably necessary for Acumen to perform its obligations under the Research Plan. Notwithstanding the foregoing, the information described in </w:t>
      </w:r>
      <w:r>
        <w:rPr>
          <w:rFonts w:ascii="Arial" w:cs="Arial" w:eastAsia="Arial" w:hAnsi="Arial"/>
          <w:sz w:val="17"/>
          <w:szCs w:val="17"/>
          <w:u w:val="single" w:color="auto"/>
          <w:color w:val="auto"/>
        </w:rPr>
        <w:t>Exhibit 3.3</w:t>
      </w:r>
      <w:r>
        <w:rPr>
          <w:rFonts w:ascii="Arial" w:cs="Arial" w:eastAsia="Arial" w:hAnsi="Arial"/>
          <w:sz w:val="17"/>
          <w:szCs w:val="17"/>
          <w:color w:val="auto"/>
        </w:rPr>
        <w:t xml:space="preserve"> shall be deemed to be reasonably necessary for Acumen to perform its obligations under the Research Plan.</w:t>
      </w:r>
    </w:p>
    <w:p>
      <w:pPr>
        <w:spacing w:after="0" w:line="60"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u w:val="single" w:color="auto"/>
          <w:color w:val="auto"/>
        </w:rPr>
        <w:t>Access to Technical Personnel</w:t>
      </w:r>
      <w:r>
        <w:rPr>
          <w:rFonts w:ascii="Arial" w:cs="Arial" w:eastAsia="Arial" w:hAnsi="Arial"/>
          <w:sz w:val="18"/>
          <w:szCs w:val="18"/>
          <w:color w:val="auto"/>
        </w:rPr>
        <w:t>. During the Research Term and without limiting Sections 3.1 and 3.3, Acumen agrees that it will make its technical personnel and consultants reasonably available to the Merck’s employees and/or consultants to discuss the Research Program work, and the results of such work, in detail, which may include having Merck’s employees and/or consultants visit its offices and laboratories, and/or those of its Third Party contractors, during normal business hours.</w:t>
      </w:r>
    </w:p>
    <w:p>
      <w:pPr>
        <w:spacing w:after="0" w:line="72"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u w:val="single" w:color="auto"/>
          <w:color w:val="auto"/>
        </w:rPr>
        <w:t>Term of the Research Program</w:t>
      </w:r>
      <w:r>
        <w:rPr>
          <w:rFonts w:ascii="Arial" w:cs="Arial" w:eastAsia="Arial" w:hAnsi="Arial"/>
          <w:sz w:val="17"/>
          <w:szCs w:val="17"/>
          <w:color w:val="auto"/>
        </w:rPr>
        <w:t>. The term of the Research Program (the “</w:t>
      </w:r>
      <w:r>
        <w:rPr>
          <w:rFonts w:ascii="Arial" w:cs="Arial" w:eastAsia="Arial" w:hAnsi="Arial"/>
          <w:sz w:val="17"/>
          <w:szCs w:val="17"/>
          <w:b w:val="1"/>
          <w:bCs w:val="1"/>
          <w:color w:val="auto"/>
        </w:rPr>
        <w:t>Research Term</w:t>
      </w:r>
      <w:r>
        <w:rPr>
          <w:rFonts w:ascii="Arial" w:cs="Arial" w:eastAsia="Arial" w:hAnsi="Arial"/>
          <w:sz w:val="17"/>
          <w:szCs w:val="17"/>
          <w:color w:val="auto"/>
        </w:rPr>
        <w:t>”) shall commence upon the earlier of (i) [***] days after the Effective Date or (ii) the date of approval of the initial Research Plan by the JRC (“</w:t>
      </w:r>
      <w:r>
        <w:rPr>
          <w:rFonts w:ascii="Arial" w:cs="Arial" w:eastAsia="Arial" w:hAnsi="Arial"/>
          <w:sz w:val="17"/>
          <w:szCs w:val="17"/>
          <w:b w:val="1"/>
          <w:bCs w:val="1"/>
          <w:color w:val="auto"/>
        </w:rPr>
        <w:t>Research Commencement Date</w:t>
      </w:r>
      <w:r>
        <w:rPr>
          <w:rFonts w:ascii="Arial" w:cs="Arial" w:eastAsia="Arial" w:hAnsi="Arial"/>
          <w:sz w:val="17"/>
          <w:szCs w:val="17"/>
          <w:color w:val="auto"/>
        </w:rPr>
        <w:t>”), and shall continue thereafter for an initial period of three (3) years. The Research Term shall expire on the third anniversary of the Research Commencement Date, unless extended by mutual written agreement of the Parties or earlier terminated in accordance with this Agreement.</w:t>
      </w:r>
    </w:p>
    <w:p>
      <w:pPr>
        <w:spacing w:after="0" w:line="57" w:lineRule="exact"/>
        <w:rPr>
          <w:sz w:val="20"/>
          <w:szCs w:val="20"/>
          <w:color w:val="auto"/>
        </w:rPr>
      </w:pPr>
    </w:p>
    <w:p>
      <w:pPr>
        <w:jc w:val="both"/>
        <w:ind w:right="80" w:firstLine="440"/>
        <w:spacing w:after="0" w:line="266"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u w:val="single" w:color="auto"/>
          <w:color w:val="auto"/>
        </w:rPr>
        <w:t>Principal Scientist</w:t>
      </w:r>
      <w:r>
        <w:rPr>
          <w:rFonts w:ascii="Arial" w:cs="Arial" w:eastAsia="Arial" w:hAnsi="Arial"/>
          <w:sz w:val="18"/>
          <w:szCs w:val="18"/>
          <w:color w:val="auto"/>
        </w:rPr>
        <w:t>. The Principal Scientist shall actively participate on Acumen’s behalf in performing Acumen’s responsibilities pursuant to the Research Program, and shall be one of the Acumen participants on the JRC. In the event that the Principal Scientist leaves the employ of Acumen or is otherwise unwilling or unable to actively participate on Acumen’s behalf regarding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337" w:name="page338"/>
    <w:bookmarkEnd w:id="337"/>
    <w:p>
      <w:pPr>
        <w:ind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Research Program during the Research Term: (i) Merck shall be consulted by Acumen regarding the replacement of the Principal Scientist, and shall have the right to approve or disapprove such replacement; and (ii) Acumen shall cooperate reasonably with Merck in an effort to enable Merck to cause the Principal Scientist to be made available to Merck on a consulting basis, and in the event that Merck is required to compensate the Principal Scientist in order to obtain such consulting services, such payment when made shall be credited against the amount payable thereafter to Acumen pursuant to Article 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credit [***] from Acumen at the end of the Principal Scientist’s employment with Acumen.</w:t>
      </w:r>
    </w:p>
    <w:p>
      <w:pPr>
        <w:spacing w:after="0" w:line="49"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u w:val="single" w:color="auto"/>
          <w:color w:val="auto"/>
        </w:rPr>
        <w:t>Compliance</w:t>
      </w:r>
      <w:r>
        <w:rPr>
          <w:rFonts w:ascii="Arial" w:cs="Arial" w:eastAsia="Arial" w:hAnsi="Arial"/>
          <w:sz w:val="17"/>
          <w:szCs w:val="17"/>
          <w:color w:val="auto"/>
        </w:rPr>
        <w:t>. Without limiting Section 3.1, if animals are used in research or development hereunder, the Party using such animals will comply with the Animal Welfare Act or any other applicable local, state, national and international laws or regulations relating to the care and use of laboratory animals. Each Party encourages the other to use the highest standards, such as those set forth in the Guide for the Care and Use of Laboratory Animals (NRC, 1996), for the humane handling, care and treatment of such research animals. Any animals which are used in the course of the Research Program, or Products derived from those animals, such as eggs or milk, will not be used for food purposes, nor will these animals be used for commercial breeding purposes. Each Party hereby certifies that it will not and has not employed or otherwise used in any capacity the services of any person debarred under Section 21 U.S.C. 335a in performing any services hereunder.</w:t>
      </w:r>
    </w:p>
    <w:p>
      <w:pPr>
        <w:spacing w:after="0" w:line="6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b w:val="1"/>
          <w:bCs w:val="1"/>
          <w:u w:val="single" w:color="auto"/>
          <w:color w:val="auto"/>
        </w:rPr>
        <w:t>Use of Human Materials</w:t>
      </w:r>
      <w:r>
        <w:rPr>
          <w:rFonts w:ascii="Arial" w:cs="Arial" w:eastAsia="Arial" w:hAnsi="Arial"/>
          <w:sz w:val="18"/>
          <w:szCs w:val="18"/>
          <w:color w:val="auto"/>
        </w:rPr>
        <w:t>. Without limiting Section 3.1, if any human cell lines, tissue, human clinical isolates or similar human-derived materials (“</w:t>
      </w:r>
      <w:r>
        <w:rPr>
          <w:rFonts w:ascii="Arial" w:cs="Arial" w:eastAsia="Arial" w:hAnsi="Arial"/>
          <w:sz w:val="18"/>
          <w:szCs w:val="18"/>
          <w:b w:val="1"/>
          <w:bCs w:val="1"/>
          <w:color w:val="auto"/>
        </w:rPr>
        <w:t>Human Materials</w:t>
      </w:r>
      <w:r>
        <w:rPr>
          <w:rFonts w:ascii="Arial" w:cs="Arial" w:eastAsia="Arial" w:hAnsi="Arial"/>
          <w:sz w:val="18"/>
          <w:szCs w:val="18"/>
          <w:color w:val="auto"/>
        </w:rPr>
        <w:t>”) have been or are to be collected and/or used in the Research Program, the Party using such Human Materials represents and warrants (i) that it has complied, and shall comply, with all applicable laws, guidelines and regulations relating to the collection and/or use of the Human Materials and (ii) that it has obtained, and shall obtain, all necessary approvals and appropriate informed consents, in writing, for the collection and/or use of such Human Materials. Each Party shall provide documentation of such approvals and consents to the other Party upon such other Party’s request. Each Party further represents and warrants that such Human Materials may be used as contemplated in this Agreement without any obligations to the individuals or entities (“</w:t>
      </w:r>
      <w:r>
        <w:rPr>
          <w:rFonts w:ascii="Arial" w:cs="Arial" w:eastAsia="Arial" w:hAnsi="Arial"/>
          <w:sz w:val="18"/>
          <w:szCs w:val="18"/>
          <w:b w:val="1"/>
          <w:bCs w:val="1"/>
          <w:color w:val="auto"/>
        </w:rPr>
        <w:t>Providers</w:t>
      </w:r>
      <w:r>
        <w:rPr>
          <w:rFonts w:ascii="Arial" w:cs="Arial" w:eastAsia="Arial" w:hAnsi="Arial"/>
          <w:sz w:val="18"/>
          <w:szCs w:val="18"/>
          <w:color w:val="auto"/>
        </w:rPr>
        <w:t>”) who contributed the Human Materials, including, without limitation, any obligations of compensation to such Providers.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u w:val="single" w:color="auto"/>
          <w:color w:val="auto"/>
        </w:rPr>
        <w:t>Records; Inspection</w:t>
      </w:r>
    </w:p>
    <w:p>
      <w:pPr>
        <w:spacing w:after="0" w:line="117" w:lineRule="exact"/>
        <w:rPr>
          <w:sz w:val="20"/>
          <w:szCs w:val="20"/>
          <w:color w:val="auto"/>
        </w:rPr>
      </w:pPr>
    </w:p>
    <w:p>
      <w:pPr>
        <w:ind w:right="480" w:firstLine="991"/>
        <w:spacing w:after="0" w:line="266" w:lineRule="auto"/>
        <w:rPr>
          <w:sz w:val="20"/>
          <w:szCs w:val="20"/>
          <w:color w:val="auto"/>
        </w:rPr>
      </w:pPr>
      <w:r>
        <w:rPr>
          <w:rFonts w:ascii="Arial" w:cs="Arial" w:eastAsia="Arial" w:hAnsi="Arial"/>
          <w:sz w:val="18"/>
          <w:szCs w:val="18"/>
          <w:color w:val="auto"/>
        </w:rPr>
        <w:t xml:space="preserve">3.9.1 </w:t>
      </w:r>
      <w:r>
        <w:rPr>
          <w:rFonts w:ascii="Arial" w:cs="Arial" w:eastAsia="Arial" w:hAnsi="Arial"/>
          <w:sz w:val="18"/>
          <w:szCs w:val="18"/>
          <w:b w:val="1"/>
          <w:bCs w:val="1"/>
          <w:u w:val="single" w:color="auto"/>
          <w:color w:val="auto"/>
        </w:rPr>
        <w:t>Records</w:t>
      </w:r>
      <w:r>
        <w:rPr>
          <w:rFonts w:ascii="Arial" w:cs="Arial" w:eastAsia="Arial" w:hAnsi="Arial"/>
          <w:sz w:val="18"/>
          <w:szCs w:val="18"/>
          <w:color w:val="auto"/>
        </w:rPr>
        <w:t>. Acumen and Merck shall maintain records of the Research Program (or cause such records to be maintained), as applicable, in sufficient detail and in a good scientific manner as will properly reflect all work done and results achieved in the performance of the Research Program.</w:t>
      </w:r>
    </w:p>
    <w:p>
      <w:pPr>
        <w:spacing w:after="0" w:line="68" w:lineRule="exact"/>
        <w:rPr>
          <w:sz w:val="20"/>
          <w:szCs w:val="20"/>
          <w:color w:val="auto"/>
        </w:rPr>
      </w:pPr>
    </w:p>
    <w:p>
      <w:pPr>
        <w:ind w:right="120" w:firstLine="991"/>
        <w:spacing w:after="0" w:line="312" w:lineRule="auto"/>
        <w:rPr>
          <w:sz w:val="20"/>
          <w:szCs w:val="20"/>
          <w:color w:val="auto"/>
        </w:rPr>
      </w:pPr>
      <w:r>
        <w:rPr>
          <w:rFonts w:ascii="Arial" w:cs="Arial" w:eastAsia="Arial" w:hAnsi="Arial"/>
          <w:sz w:val="17"/>
          <w:szCs w:val="17"/>
          <w:color w:val="auto"/>
        </w:rPr>
        <w:t xml:space="preserve">3.9.2 </w:t>
      </w:r>
      <w:r>
        <w:rPr>
          <w:rFonts w:ascii="Arial" w:cs="Arial" w:eastAsia="Arial" w:hAnsi="Arial"/>
          <w:sz w:val="17"/>
          <w:szCs w:val="17"/>
          <w:b w:val="1"/>
          <w:bCs w:val="1"/>
          <w:u w:val="single" w:color="auto"/>
          <w:color w:val="auto"/>
        </w:rPr>
        <w:t>Inspection</w:t>
      </w:r>
      <w:r>
        <w:rPr>
          <w:rFonts w:ascii="Arial" w:cs="Arial" w:eastAsia="Arial" w:hAnsi="Arial"/>
          <w:sz w:val="17"/>
          <w:szCs w:val="17"/>
          <w:color w:val="auto"/>
        </w:rPr>
        <w:t>. Merck shall have the right, during normal business hours during the Research Term and within [***] after the Research Term and upon reasonable notice to Acumen, to inspect and copy all such records of the Acumen referred to in Section 3.9.1.</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338" w:name="page339"/>
    <w:bookmarkEnd w:id="338"/>
    <w:p>
      <w:pPr>
        <w:ind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 PROGRAM</w:t>
      </w:r>
    </w:p>
    <w:p>
      <w:pPr>
        <w:spacing w:after="0" w:line="99"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Development</w:t>
      </w:r>
      <w:r>
        <w:rPr>
          <w:rFonts w:ascii="Arial" w:cs="Arial" w:eastAsia="Arial" w:hAnsi="Arial"/>
          <w:sz w:val="18"/>
          <w:szCs w:val="18"/>
          <w:color w:val="auto"/>
        </w:rPr>
        <w:t>. For each Product to which Merck retains rights under this Agreement, Merck shall be responsible, at its sole expense, for conducting all pre-clinical and clinical development of such Products and all commercialization of such Products, as set forth in the other provisions of this Agreement.</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Development-Advisory Committee</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b w:val="1"/>
          <w:bCs w:val="1"/>
          <w:u w:val="single" w:color="auto"/>
          <w:color w:val="auto"/>
        </w:rPr>
        <w:t>Responsibilities</w:t>
      </w:r>
      <w:r>
        <w:rPr>
          <w:rFonts w:ascii="Arial" w:cs="Arial" w:eastAsia="Arial" w:hAnsi="Arial"/>
          <w:sz w:val="17"/>
          <w:szCs w:val="17"/>
          <w:color w:val="auto"/>
        </w:rPr>
        <w:t>. Promptly following the first occurrence of milestone number 1 under Section 6.4.1 below, Merck and Acumen will establish a committee (the “</w:t>
      </w:r>
      <w:r>
        <w:rPr>
          <w:rFonts w:ascii="Arial" w:cs="Arial" w:eastAsia="Arial" w:hAnsi="Arial"/>
          <w:sz w:val="17"/>
          <w:szCs w:val="17"/>
          <w:b w:val="1"/>
          <w:bCs w:val="1"/>
          <w:color w:val="auto"/>
        </w:rPr>
        <w:t>Development-Advisory Committee</w:t>
      </w:r>
      <w:r>
        <w:rPr>
          <w:rFonts w:ascii="Arial" w:cs="Arial" w:eastAsia="Arial" w:hAnsi="Arial"/>
          <w:sz w:val="17"/>
          <w:szCs w:val="17"/>
          <w:color w:val="auto"/>
        </w:rPr>
        <w:t>” or “</w:t>
      </w:r>
      <w:r>
        <w:rPr>
          <w:rFonts w:ascii="Arial" w:cs="Arial" w:eastAsia="Arial" w:hAnsi="Arial"/>
          <w:sz w:val="17"/>
          <w:szCs w:val="17"/>
          <w:b w:val="1"/>
          <w:bCs w:val="1"/>
          <w:color w:val="auto"/>
        </w:rPr>
        <w:t>DAC</w:t>
      </w:r>
      <w:r>
        <w:rPr>
          <w:rFonts w:ascii="Arial" w:cs="Arial" w:eastAsia="Arial" w:hAnsi="Arial"/>
          <w:sz w:val="17"/>
          <w:szCs w:val="17"/>
          <w:color w:val="auto"/>
        </w:rPr>
        <w:t>”) as a forum for Acumen to provide scientific input regarding the development of the Products and for Merck to keep Acumen apprised of, and to enable the Parties to review and discuss, the progress of, and planned activities related to, development of the Products. In order to enable such discussion and review, information will be exchanged as described in Section 4.2.2 below. No approval of the DAC shall be required for any development activities, it being acknowledged that the DAC is solely for information and advisory purposes. Nonetheless, Merck shall consider in good faith the comments of the DAC with respect to the development activities related to Product; it being understood that Merck shall not be required to adopt or implement any such comments.</w:t>
      </w:r>
    </w:p>
    <w:p>
      <w:pPr>
        <w:spacing w:after="0" w:line="64"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b w:val="1"/>
          <w:bCs w:val="1"/>
          <w:u w:val="single" w:color="auto"/>
          <w:color w:val="auto"/>
        </w:rPr>
        <w:t>Information Exchange</w:t>
      </w:r>
      <w:r>
        <w:rPr>
          <w:rFonts w:ascii="Arial" w:cs="Arial" w:eastAsia="Arial" w:hAnsi="Arial"/>
          <w:sz w:val="18"/>
          <w:szCs w:val="18"/>
          <w:color w:val="auto"/>
        </w:rPr>
        <w:t>. Merck shall provide to all members of the DAC, for each Product, a description of the activities undertaken, and planned to be undertaken, by or under authority of Merck (as well as the results of such activities) related to pre-clinical or clinical testing of the Products or regulatory filings relating thereto. Such information shall be provided to Acumen in reasonable detail reasonably in advance of each DAC meeting, setting forth the nature, scope and timing of such activities, including the projected timelines to obtain Marketing Authorizations and a summary of the status and results of the communications with Regulatory Authorities.</w:t>
      </w:r>
    </w:p>
    <w:p>
      <w:pPr>
        <w:spacing w:after="0" w:line="75" w:lineRule="exact"/>
        <w:rPr>
          <w:sz w:val="20"/>
          <w:szCs w:val="20"/>
          <w:color w:val="auto"/>
        </w:rPr>
      </w:pPr>
    </w:p>
    <w:p>
      <w:pPr>
        <w:ind w:right="160" w:firstLine="991"/>
        <w:spacing w:after="0" w:line="258"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b w:val="1"/>
          <w:bCs w:val="1"/>
          <w:u w:val="single" w:color="auto"/>
          <w:color w:val="auto"/>
        </w:rPr>
        <w:t>Membership</w:t>
      </w:r>
      <w:r>
        <w:rPr>
          <w:rFonts w:ascii="Arial" w:cs="Arial" w:eastAsia="Arial" w:hAnsi="Arial"/>
          <w:sz w:val="18"/>
          <w:szCs w:val="18"/>
          <w:color w:val="auto"/>
        </w:rPr>
        <w:t>. The DAC shall consist of [***] members, with Merck selecting [***] representatives, and Acumen selecting [***] representative, each by written notice to the other Party. Members appointed by each Party shall have appropriate technical credentials, experience and knowledge and, in the case of Merck’s representatives, ongoing familiarity with the development and commercialization activities described in Section 4.2.2. Subject to the foregoing, Acumen and Merck may each replace its DAC representative(s) at any time upon written notice to the other Party.</w:t>
      </w:r>
    </w:p>
    <w:p>
      <w:pPr>
        <w:spacing w:after="0" w:line="75" w:lineRule="exact"/>
        <w:rPr>
          <w:sz w:val="20"/>
          <w:szCs w:val="20"/>
          <w:color w:val="auto"/>
        </w:rPr>
      </w:pPr>
    </w:p>
    <w:p>
      <w:pPr>
        <w:ind w:right="80" w:firstLine="991"/>
        <w:spacing w:after="0" w:line="281" w:lineRule="auto"/>
        <w:rPr>
          <w:sz w:val="20"/>
          <w:szCs w:val="20"/>
          <w:color w:val="auto"/>
        </w:rPr>
      </w:pPr>
      <w:r>
        <w:rPr>
          <w:rFonts w:ascii="Arial" w:cs="Arial" w:eastAsia="Arial" w:hAnsi="Arial"/>
          <w:sz w:val="17"/>
          <w:szCs w:val="17"/>
          <w:color w:val="auto"/>
        </w:rPr>
        <w:t xml:space="preserve">4.2.4 </w:t>
      </w:r>
      <w:r>
        <w:rPr>
          <w:rFonts w:ascii="Arial" w:cs="Arial" w:eastAsia="Arial" w:hAnsi="Arial"/>
          <w:sz w:val="17"/>
          <w:szCs w:val="17"/>
          <w:b w:val="1"/>
          <w:bCs w:val="1"/>
          <w:u w:val="single" w:color="auto"/>
          <w:color w:val="auto"/>
        </w:rPr>
        <w:t>Meetings</w:t>
      </w:r>
      <w:r>
        <w:rPr>
          <w:rFonts w:ascii="Arial" w:cs="Arial" w:eastAsia="Arial" w:hAnsi="Arial"/>
          <w:sz w:val="17"/>
          <w:szCs w:val="17"/>
          <w:color w:val="auto"/>
        </w:rPr>
        <w:t>. After the Research Term and until [***], the DAC shall meet every [***] months, with at least one meeting each year being in-person. The location of the meetings shall be designated by Merck. Additional employee representatives may attend DAC meetings, by mutual consent of the Parties for additional employee representatives [***], subject to such representative’s written agreement to comply with the requirements of Article 10. Such other representatives may attend the in-person meetings by telephone and/or videoconference.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339" w:name="page340"/>
    <w:bookmarkEnd w:id="339"/>
    <w:p>
      <w:pPr>
        <w:ind w:left="4"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left="5024"/>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ind w:left="5064"/>
        <w:spacing w:after="0"/>
        <w:rPr>
          <w:sz w:val="20"/>
          <w:szCs w:val="20"/>
          <w:color w:val="auto"/>
        </w:rPr>
      </w:pPr>
      <w:r>
        <w:rPr>
          <w:rFonts w:ascii="Arial" w:cs="Arial" w:eastAsia="Arial" w:hAnsi="Arial"/>
          <w:sz w:val="18"/>
          <w:szCs w:val="18"/>
          <w:b w:val="1"/>
          <w:bCs w:val="1"/>
          <w:color w:val="auto"/>
        </w:rPr>
        <w:t>LICENSES</w:t>
      </w:r>
    </w:p>
    <w:p>
      <w:pPr>
        <w:spacing w:after="0" w:line="9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Licenses</w:t>
      </w:r>
      <w:r>
        <w:rPr>
          <w:rFonts w:ascii="Arial" w:cs="Arial" w:eastAsia="Arial" w:hAnsi="Arial"/>
          <w:sz w:val="18"/>
          <w:szCs w:val="18"/>
          <w:color w:val="auto"/>
        </w:rPr>
        <w:t>.</w:t>
      </w:r>
    </w:p>
    <w:p>
      <w:pPr>
        <w:spacing w:after="0" w:line="117" w:lineRule="exact"/>
        <w:rPr>
          <w:sz w:val="20"/>
          <w:szCs w:val="20"/>
          <w:color w:val="auto"/>
        </w:rPr>
      </w:pPr>
    </w:p>
    <w:p>
      <w:pPr>
        <w:ind w:left="4" w:firstLine="991"/>
        <w:spacing w:after="0" w:line="258"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u w:val="single" w:color="auto"/>
          <w:color w:val="auto"/>
        </w:rPr>
        <w:t>Antibody Product License</w:t>
      </w:r>
      <w:r>
        <w:rPr>
          <w:rFonts w:ascii="Arial" w:cs="Arial" w:eastAsia="Arial" w:hAnsi="Arial"/>
          <w:sz w:val="18"/>
          <w:szCs w:val="18"/>
          <w:color w:val="auto"/>
        </w:rPr>
        <w:t>. Subject to the terms and conditions of this Agreement, Acumen hereby grants to Merck a worldwide, royalty-bearing license under the Acumen Technology to make, have made, use, import, offer for sale, sell, and have sold Antibody Products (in finished or unfinished form) within the Therapeutic Field and Territory. Such license shall be exclusive even as to Acumen within the Therapeutic Field and Territory, except that Acumen retains the right to practice the Acumen Technology (itself and through its Affiliates and Third Parties) for the performance of the Research Program in accordance with the Research Plan.</w:t>
      </w:r>
    </w:p>
    <w:p>
      <w:pPr>
        <w:spacing w:after="0" w:line="75" w:lineRule="exact"/>
        <w:rPr>
          <w:sz w:val="20"/>
          <w:szCs w:val="20"/>
          <w:color w:val="auto"/>
        </w:rPr>
      </w:pPr>
    </w:p>
    <w:p>
      <w:pPr>
        <w:ind w:left="4" w:right="40" w:firstLine="991"/>
        <w:spacing w:after="0" w:line="272"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b w:val="1"/>
          <w:bCs w:val="1"/>
          <w:u w:val="single" w:color="auto"/>
          <w:color w:val="auto"/>
        </w:rPr>
        <w:t>Vaccine Product License</w:t>
      </w:r>
      <w:r>
        <w:rPr>
          <w:rFonts w:ascii="Arial" w:cs="Arial" w:eastAsia="Arial" w:hAnsi="Arial"/>
          <w:sz w:val="17"/>
          <w:szCs w:val="17"/>
          <w:color w:val="auto"/>
        </w:rPr>
        <w:t>. Upon exercise of the Vaccine Option, and subject to the terms and conditions of this Agreement, Acumen hereby grants to Merck a worldwide, royalty-bearing license under the Acumen Technology to make, have made, use, import, offer for sale, sell, and have sold Vaccine Products (in finished or unfinished form) within the Therapeutic Field and Territory. Such license shall be exclusive even as to Acumen within the Therapeutic Field and Territory, except that Acumen retains the right to practice the Acumen Technology (itself and through its Affiliates and Third Parties) for the performance of the Research Program in accordance with the Research Plan. Notwithstanding the above or Section 5.2 below, no rights or licenses under this Section 5.1.2 shall be exercised by or under authority of Merck in any manner prior to the Exercise Date and the licenses and exclusivity in this Section 5.1.2 shall terminate, and have no further force or effect, if Merck fails to exercise the Vaccine Option in accordance with Section 5.3 during the Option Period.</w:t>
      </w:r>
    </w:p>
    <w:p>
      <w:pPr>
        <w:spacing w:after="0" w:line="6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Sublicenses</w:t>
      </w:r>
      <w:r>
        <w:rPr>
          <w:rFonts w:ascii="Arial" w:cs="Arial" w:eastAsia="Arial" w:hAnsi="Arial"/>
          <w:sz w:val="18"/>
          <w:szCs w:val="18"/>
          <w:color w:val="auto"/>
        </w:rPr>
        <w:t>.</w:t>
      </w:r>
    </w:p>
    <w:p>
      <w:pPr>
        <w:spacing w:after="0" w:line="117" w:lineRule="exact"/>
        <w:rPr>
          <w:sz w:val="20"/>
          <w:szCs w:val="20"/>
          <w:color w:val="auto"/>
        </w:rPr>
      </w:pPr>
    </w:p>
    <w:p>
      <w:pPr>
        <w:ind w:left="4" w:right="80" w:firstLine="1983"/>
        <w:spacing w:after="0" w:line="289" w:lineRule="auto"/>
        <w:rPr>
          <w:sz w:val="20"/>
          <w:szCs w:val="20"/>
          <w:color w:val="auto"/>
        </w:rPr>
      </w:pPr>
      <w:r>
        <w:rPr>
          <w:rFonts w:ascii="Arial" w:cs="Arial" w:eastAsia="Arial" w:hAnsi="Arial"/>
          <w:sz w:val="16"/>
          <w:szCs w:val="16"/>
          <w:color w:val="auto"/>
        </w:rPr>
        <w:t xml:space="preserve">5.2.1 </w:t>
      </w:r>
      <w:r>
        <w:rPr>
          <w:rFonts w:ascii="Arial" w:cs="Arial" w:eastAsia="Arial" w:hAnsi="Arial"/>
          <w:sz w:val="16"/>
          <w:szCs w:val="16"/>
          <w:b w:val="1"/>
          <w:bCs w:val="1"/>
          <w:u w:val="single" w:color="auto"/>
          <w:color w:val="auto"/>
        </w:rPr>
        <w:t>Generally</w:t>
      </w:r>
      <w:r>
        <w:rPr>
          <w:rFonts w:ascii="Arial" w:cs="Arial" w:eastAsia="Arial" w:hAnsi="Arial"/>
          <w:sz w:val="16"/>
          <w:szCs w:val="16"/>
          <w:color w:val="auto"/>
        </w:rPr>
        <w:t>. (a) Except as set forth in Section 5.2.1(c) below, Merck and its Controlled Affiliates shall remain primarily responsible for conducting the development of the Products directly in each Major Market other than [***], it being understood that, subject to the foregoing and other terms and conditions of this Agreement, Merck shall have the right to sublicense its rights under Section 5.1 above to Third Parties</w:t>
      </w:r>
    </w:p>
    <w:p>
      <w:pPr>
        <w:spacing w:after="0" w:line="2" w:lineRule="exact"/>
        <w:rPr>
          <w:sz w:val="20"/>
          <w:szCs w:val="20"/>
          <w:color w:val="auto"/>
        </w:rPr>
      </w:pPr>
    </w:p>
    <w:p>
      <w:pPr>
        <w:ind w:left="4" w:right="220" w:hanging="4"/>
        <w:spacing w:after="0" w:line="260" w:lineRule="auto"/>
        <w:tabs>
          <w:tab w:leader="none" w:pos="21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develop Products in [***] and countries other than [***], and (ii) for the purpose of conducting research to develop Product for and on behalf of Merck.</w:t>
      </w:r>
    </w:p>
    <w:p>
      <w:pPr>
        <w:spacing w:after="0" w:line="77" w:lineRule="exact"/>
        <w:rPr>
          <w:rFonts w:ascii="Arial" w:cs="Arial" w:eastAsia="Arial" w:hAnsi="Arial"/>
          <w:sz w:val="18"/>
          <w:szCs w:val="18"/>
          <w:color w:val="auto"/>
        </w:rPr>
      </w:pPr>
    </w:p>
    <w:p>
      <w:pPr>
        <w:ind w:left="4" w:right="100" w:firstLine="1428"/>
        <w:spacing w:after="0" w:line="255" w:lineRule="auto"/>
        <w:tabs>
          <w:tab w:leader="none" w:pos="1691"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Also subject to the terms and conditions of this Agreement, including the provisions of Section 5.2.1(a), Merck may sublicense its rights to make (but not develop), use (but not develop), sell, offer to sell and import Products under Section 5.1 (i) to its Affiliates anywhere in the Territory for any purpose; (ii) to Third Parties in [***] and any country outside of [***] for any purpose; and (iii) to Third Parties in [***] for the purpose of co-promotion and co-marketing arrangements, and with Acumen’s consent not to be unreasonably withheld other similar arrangements; provided in the case of subparagraph (iii) hereof that Merck or its Affiliate itself continues to market, sell and promote the Products in such [***] at the level described in Section 8.1.</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0" w:right="459" w:bottom="1440" w:gutter="0" w:footer="0" w:header="0"/>
        </w:sectPr>
      </w:pPr>
    </w:p>
    <w:bookmarkStart w:id="340" w:name="page341"/>
    <w:bookmarkEnd w:id="340"/>
    <w:p>
      <w:pPr>
        <w:ind w:right="8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ind w:right="40" w:firstLine="1432"/>
        <w:spacing w:after="0" w:line="263" w:lineRule="auto"/>
        <w:rPr>
          <w:sz w:val="20"/>
          <w:szCs w:val="20"/>
          <w:color w:val="auto"/>
        </w:rPr>
      </w:pPr>
      <w:r>
        <w:rPr>
          <w:rFonts w:ascii="Arial" w:cs="Arial" w:eastAsia="Arial" w:hAnsi="Arial"/>
          <w:sz w:val="18"/>
          <w:szCs w:val="18"/>
          <w:color w:val="auto"/>
        </w:rPr>
        <w:t>(c) Also subject to the terms and conditions of this Agreement, after Merck has achieved and paid the milestone set forth in Section 6.4.1(8), Merck may sublicense its rights to make, use, sell, offer to sell and import Products under Section 5.1 to Third Parties for any purpose, subject to Acumen’s rights set forth in Section 5.2.3.</w:t>
      </w:r>
    </w:p>
    <w:p>
      <w:pPr>
        <w:spacing w:after="0" w:line="72" w:lineRule="exact"/>
        <w:rPr>
          <w:sz w:val="20"/>
          <w:szCs w:val="20"/>
          <w:color w:val="auto"/>
        </w:rPr>
      </w:pPr>
    </w:p>
    <w:p>
      <w:pPr>
        <w:ind w:right="60" w:firstLine="991"/>
        <w:spacing w:after="0" w:line="303" w:lineRule="auto"/>
        <w:rPr>
          <w:sz w:val="20"/>
          <w:szCs w:val="20"/>
          <w:color w:val="auto"/>
        </w:rPr>
      </w:pPr>
      <w:r>
        <w:rPr>
          <w:rFonts w:ascii="Arial" w:cs="Arial" w:eastAsia="Arial" w:hAnsi="Arial"/>
          <w:sz w:val="16"/>
          <w:szCs w:val="16"/>
          <w:color w:val="auto"/>
        </w:rPr>
        <w:t xml:space="preserve">5.2.2 </w:t>
      </w:r>
      <w:r>
        <w:rPr>
          <w:rFonts w:ascii="Arial" w:cs="Arial" w:eastAsia="Arial" w:hAnsi="Arial"/>
          <w:sz w:val="16"/>
          <w:szCs w:val="16"/>
          <w:b w:val="1"/>
          <w:bCs w:val="1"/>
          <w:u w:val="single" w:color="auto"/>
          <w:color w:val="auto"/>
        </w:rPr>
        <w:t>Sublicense Requirements</w:t>
      </w:r>
      <w:r>
        <w:rPr>
          <w:rFonts w:ascii="Arial" w:cs="Arial" w:eastAsia="Arial" w:hAnsi="Arial"/>
          <w:sz w:val="16"/>
          <w:szCs w:val="16"/>
          <w:color w:val="auto"/>
        </w:rPr>
        <w:t>. Each sublicense granted by or under authority of Merck, and partnering arrangement, shall be consistent with all terms and conditions of this Agreement, and subordinate thereto, and Merck shall be responsible to Acumen for the compliance by each Sublicensee with the financial and other obligations under this Agreement. Except as expressly authorized under this Section 5.2, Merck shall not sublicense its rights, or appoint a Sublicensee, with respect to any Product unless otherwise agreed by Merck and Acumen in writing.</w:t>
      </w:r>
    </w:p>
    <w:p>
      <w:pPr>
        <w:spacing w:after="0" w:line="43"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b w:val="1"/>
          <w:bCs w:val="1"/>
          <w:u w:val="single" w:color="auto"/>
          <w:color w:val="auto"/>
        </w:rPr>
        <w:t>Right of First Negotiation</w:t>
      </w:r>
      <w:r>
        <w:rPr>
          <w:rFonts w:ascii="Arial" w:cs="Arial" w:eastAsia="Arial" w:hAnsi="Arial"/>
          <w:sz w:val="18"/>
          <w:szCs w:val="18"/>
          <w:color w:val="auto"/>
        </w:rPr>
        <w:t>. In the event that Merck, at any time during the Term after achieving and payment of the milestone set forth in Section 6.4.1(8), desires to grant a sublicense to a Third Party pursuant to Section 5.2.1(c) to use, sell, offer to sell and/or import a Product in one or more countries in the Territory, Merck shall so notify Acumen in writing. Acumen shall have [***] in which to respond to such notice indicating Acumen’s interest in obtaining such a license. If Acumen does not respond within such [***] period, or if Acumen notifies Merck in writing that Acumen is not interested in obtaining such a license, Merck may proceed to pursue negotiation and grant of such license to a Third Party without further obligation to offer such license to Acumen. If Acumen notifies Merck of its interest in obtaining such a license, the parties shall promptly commence good faith negotiations of such a license on commercially reasonable terms. If after [***] of good faith, diligent negotiations the parties are unable to reach a mutual agreement on commercial terms for such license, Merck may proceed to enter into discussions with a Third Party for the grant of such a license.</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Vaccine Option</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b w:val="1"/>
          <w:bCs w:val="1"/>
          <w:u w:val="single" w:color="auto"/>
          <w:color w:val="auto"/>
        </w:rPr>
        <w:t>Grant</w:t>
      </w:r>
      <w:r>
        <w:rPr>
          <w:rFonts w:ascii="Arial" w:cs="Arial" w:eastAsia="Arial" w:hAnsi="Arial"/>
          <w:sz w:val="18"/>
          <w:szCs w:val="18"/>
          <w:color w:val="auto"/>
        </w:rPr>
        <w:t>. Subject to the terms and conditions of this Agreement, Acumen hereby grants to Merck an exclusive option to obtain the worldwide, royalty-bearing license under the Acumen Technology set forth in Section 5.1.2 (the “</w:t>
      </w:r>
      <w:r>
        <w:rPr>
          <w:rFonts w:ascii="Arial" w:cs="Arial" w:eastAsia="Arial" w:hAnsi="Arial"/>
          <w:sz w:val="18"/>
          <w:szCs w:val="18"/>
          <w:b w:val="1"/>
          <w:bCs w:val="1"/>
          <w:color w:val="auto"/>
        </w:rPr>
        <w:t>Vaccine Option</w:t>
      </w:r>
      <w:r>
        <w:rPr>
          <w:rFonts w:ascii="Arial" w:cs="Arial" w:eastAsia="Arial" w:hAnsi="Arial"/>
          <w:sz w:val="18"/>
          <w:szCs w:val="18"/>
          <w:color w:val="auto"/>
        </w:rPr>
        <w:t>”). Upon the exercise of the Vaccine Option, such license shall be exclusive even as to Acumen within the Therapeutic Field and Territory, except that Acumen retains the right to practice the Acumen Technology (itself or through its Affiliates and Third Parties) for the performance of the Research Program in accordance with the Research Plan.</w:t>
      </w:r>
    </w:p>
    <w:p>
      <w:pPr>
        <w:spacing w:after="0" w:line="75"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b w:val="1"/>
          <w:bCs w:val="1"/>
          <w:u w:val="single" w:color="auto"/>
          <w:color w:val="auto"/>
        </w:rPr>
        <w:t>Option Period</w:t>
      </w:r>
      <w:r>
        <w:rPr>
          <w:rFonts w:ascii="Arial" w:cs="Arial" w:eastAsia="Arial" w:hAnsi="Arial"/>
          <w:sz w:val="18"/>
          <w:szCs w:val="18"/>
          <w:color w:val="auto"/>
        </w:rPr>
        <w:t>. Merck may exercise the Vaccine Option at any time during the Option Period. The “</w:t>
      </w:r>
      <w:r>
        <w:rPr>
          <w:rFonts w:ascii="Arial" w:cs="Arial" w:eastAsia="Arial" w:hAnsi="Arial"/>
          <w:sz w:val="18"/>
          <w:szCs w:val="18"/>
          <w:b w:val="1"/>
          <w:bCs w:val="1"/>
          <w:color w:val="auto"/>
        </w:rPr>
        <w:t>Option Period</w:t>
      </w:r>
      <w:r>
        <w:rPr>
          <w:rFonts w:ascii="Arial" w:cs="Arial" w:eastAsia="Arial" w:hAnsi="Arial"/>
          <w:sz w:val="18"/>
          <w:szCs w:val="18"/>
          <w:color w:val="auto"/>
        </w:rPr>
        <w:t>” shall mean the period beginning on the Effective Date and ending on February 15, 2007.</w:t>
      </w:r>
    </w:p>
    <w:p>
      <w:pPr>
        <w:spacing w:after="0" w:line="54"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color w:val="auto"/>
        </w:rPr>
        <w:t xml:space="preserve">5.3.3 </w:t>
      </w:r>
      <w:r>
        <w:rPr>
          <w:rFonts w:ascii="Arial" w:cs="Arial" w:eastAsia="Arial" w:hAnsi="Arial"/>
          <w:sz w:val="18"/>
          <w:szCs w:val="18"/>
          <w:b w:val="1"/>
          <w:bCs w:val="1"/>
          <w:u w:val="single" w:color="auto"/>
          <w:color w:val="auto"/>
        </w:rPr>
        <w:t>Exercise</w:t>
      </w:r>
      <w:r>
        <w:rPr>
          <w:rFonts w:ascii="Arial" w:cs="Arial" w:eastAsia="Arial" w:hAnsi="Arial"/>
          <w:sz w:val="18"/>
          <w:szCs w:val="18"/>
          <w:color w:val="auto"/>
        </w:rPr>
        <w:t>. Merck may exercise its Vaccine Option by providing to Acumen prior to the end of the Option Period: (i) written notice of Merck’s exercise of the Vaccine Option, and (ii) within [***] days of such written notice, payment of [***]. Upon the date by which Acumen has received both written notice during the Option Period of Merck’s exercise of the Vaccine Option and such payment (the “</w:t>
      </w:r>
      <w:r>
        <w:rPr>
          <w:rFonts w:ascii="Arial" w:cs="Arial" w:eastAsia="Arial" w:hAnsi="Arial"/>
          <w:sz w:val="18"/>
          <w:szCs w:val="18"/>
          <w:b w:val="1"/>
          <w:bCs w:val="1"/>
          <w:color w:val="auto"/>
        </w:rPr>
        <w:t>Exercise Date</w:t>
      </w:r>
      <w:r>
        <w:rPr>
          <w:rFonts w:ascii="Arial" w:cs="Arial" w:eastAsia="Arial" w:hAnsi="Arial"/>
          <w:sz w:val="18"/>
          <w:szCs w:val="18"/>
          <w:color w:val="auto"/>
        </w:rPr>
        <w:t>”), the definition of Products shall be deemed to include Vaccine Products.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341" w:name="page342"/>
    <w:bookmarkEnd w:id="341"/>
    <w:p>
      <w:pPr>
        <w:ind w:right="8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Diagnostic Product License.</w:t>
      </w:r>
    </w:p>
    <w:p>
      <w:pPr>
        <w:spacing w:after="0" w:line="117" w:lineRule="exact"/>
        <w:rPr>
          <w:sz w:val="20"/>
          <w:szCs w:val="20"/>
          <w:color w:val="auto"/>
        </w:rPr>
      </w:pPr>
    </w:p>
    <w:p>
      <w:pPr>
        <w:ind w:right="140" w:firstLine="991"/>
        <w:spacing w:after="0" w:line="266" w:lineRule="auto"/>
        <w:rPr>
          <w:sz w:val="20"/>
          <w:szCs w:val="20"/>
          <w:color w:val="auto"/>
        </w:rPr>
      </w:pPr>
      <w:r>
        <w:rPr>
          <w:rFonts w:ascii="Arial" w:cs="Arial" w:eastAsia="Arial" w:hAnsi="Arial"/>
          <w:sz w:val="18"/>
          <w:szCs w:val="18"/>
          <w:color w:val="auto"/>
        </w:rPr>
        <w:t xml:space="preserve">5.4.1 </w:t>
      </w:r>
      <w:r>
        <w:rPr>
          <w:rFonts w:ascii="Arial" w:cs="Arial" w:eastAsia="Arial" w:hAnsi="Arial"/>
          <w:sz w:val="18"/>
          <w:szCs w:val="18"/>
          <w:b w:val="1"/>
          <w:bCs w:val="1"/>
          <w:u w:val="single" w:color="auto"/>
          <w:color w:val="auto"/>
        </w:rPr>
        <w:t>License Grant</w:t>
      </w:r>
      <w:r>
        <w:rPr>
          <w:rFonts w:ascii="Arial" w:cs="Arial" w:eastAsia="Arial" w:hAnsi="Arial"/>
          <w:sz w:val="18"/>
          <w:szCs w:val="18"/>
          <w:color w:val="auto"/>
        </w:rPr>
        <w:t>. Subject to the terms and conditions of this Agreement, including the provisions of Section 5.4.2, Acumen hereby grants to Merck an exclusive (even as to Acumen, except as set forth in Section 5.4.2), worldwide, sublicensable license under the Acumen Diagnostic IP to research, develop, make, have made, use, sell, offer to sell and import Diagnostic Products</w:t>
      </w:r>
      <w:r>
        <w:rPr>
          <w:rFonts w:ascii="Arial" w:cs="Arial" w:eastAsia="Arial" w:hAnsi="Arial"/>
          <w:sz w:val="18"/>
          <w:szCs w:val="18"/>
          <w:b w:val="1"/>
          <w:bCs w:val="1"/>
          <w:color w:val="auto"/>
        </w:rPr>
        <w:t>.</w:t>
      </w:r>
    </w:p>
    <w:p>
      <w:pPr>
        <w:spacing w:after="0" w:line="68"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 xml:space="preserve">5.4.2 </w:t>
      </w:r>
      <w:r>
        <w:rPr>
          <w:rFonts w:ascii="Arial" w:cs="Arial" w:eastAsia="Arial" w:hAnsi="Arial"/>
          <w:sz w:val="17"/>
          <w:szCs w:val="17"/>
          <w:b w:val="1"/>
          <w:bCs w:val="1"/>
          <w:u w:val="single" w:color="auto"/>
          <w:color w:val="auto"/>
        </w:rPr>
        <w:t>Rights Retained by Acumen</w:t>
      </w:r>
      <w:r>
        <w:rPr>
          <w:rFonts w:ascii="Arial" w:cs="Arial" w:eastAsia="Arial" w:hAnsi="Arial"/>
          <w:sz w:val="17"/>
          <w:szCs w:val="17"/>
          <w:color w:val="auto"/>
        </w:rPr>
        <w:t xml:space="preserve">. Without modifying Section 5.8, Acumen shall retain non-exclusive rights under Patent Rights and Know-How Controlled by Acumen (not including Merck Patent Rights or Merck Diagnostic IP) : (i) to use molecules that are not ADDL Antibodies for any and all uses (subject to the Vaccine Option set forth in Section 5.3) either by itself or with third parties; and (ii) to use Acumen-owned ADDL Antibodies solely for use in the Retained Antibody Field either by itself or with third parties performing research on behalf of Acumen; </w:t>
      </w:r>
      <w:r>
        <w:rPr>
          <w:rFonts w:ascii="Arial" w:cs="Arial" w:eastAsia="Arial" w:hAnsi="Arial"/>
          <w:sz w:val="17"/>
          <w:szCs w:val="17"/>
          <w:b w:val="1"/>
          <w:b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however</w:t>
      </w:r>
      <w:r>
        <w:rPr>
          <w:rFonts w:ascii="Arial" w:cs="Arial" w:eastAsia="Arial" w:hAnsi="Arial"/>
          <w:sz w:val="17"/>
          <w:szCs w:val="17"/>
          <w:color w:val="auto"/>
        </w:rPr>
        <w:t>, that in no circumstances shall Acumen have the right to use or transfer any ADDL Antibody or Product which Merck has identified as a</w:t>
      </w:r>
      <w:r>
        <w:rPr>
          <w:rFonts w:ascii="Arial" w:cs="Arial" w:eastAsia="Arial" w:hAnsi="Arial"/>
          <w:sz w:val="17"/>
          <w:szCs w:val="17"/>
          <w:b w:val="1"/>
          <w:bCs w:val="1"/>
          <w:color w:val="auto"/>
        </w:rPr>
        <w:t xml:space="preserve"> </w:t>
      </w:r>
      <w:r>
        <w:rPr>
          <w:rFonts w:ascii="Arial" w:cs="Arial" w:eastAsia="Arial" w:hAnsi="Arial"/>
          <w:sz w:val="17"/>
          <w:szCs w:val="17"/>
          <w:color w:val="auto"/>
        </w:rPr>
        <w:t>Pre-Clinical Candidate or regarding which Merck has otherwise notified Acumen that it is engaged in Clinical Trials. For the avoidance of doubt, commencing upon the Amendment Effective Date, Acumen shall have no right to use Merck Diagnostic Know-How (including but not limited to any ADDL Antibodies provided by Merck to Acumen), and shall have no right to commercialize a Diagnostic Product.</w:t>
      </w:r>
    </w:p>
    <w:p>
      <w:pPr>
        <w:spacing w:after="0" w:line="64"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Acumen’s Performance of the Research Program</w:t>
      </w:r>
      <w:r>
        <w:rPr>
          <w:rFonts w:ascii="Arial" w:cs="Arial" w:eastAsia="Arial" w:hAnsi="Arial"/>
          <w:sz w:val="18"/>
          <w:szCs w:val="18"/>
          <w:color w:val="auto"/>
        </w:rPr>
        <w:t>. Subject to the terms and conditions of this Agreement, Merck hereby grants to Acumen a non-exclusive license to the extent necessary for Acumen to perform its obligations pursuant to the Research Program in accordance with the Research Plan.</w:t>
      </w:r>
    </w:p>
    <w:p>
      <w:pPr>
        <w:spacing w:after="0" w:line="68"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b w:val="1"/>
          <w:bCs w:val="1"/>
          <w:u w:val="single" w:color="auto"/>
          <w:color w:val="auto"/>
        </w:rPr>
        <w:t>Derivative Patent License</w:t>
      </w:r>
      <w:r>
        <w:rPr>
          <w:rFonts w:ascii="Arial" w:cs="Arial" w:eastAsia="Arial" w:hAnsi="Arial"/>
          <w:sz w:val="17"/>
          <w:szCs w:val="17"/>
          <w:color w:val="auto"/>
        </w:rPr>
        <w:t>. Subject to the terms and conditions of this Agreement, Merck hereby grants to Acumen a worldwide, royalty-free, fully paid up, non-exclusive right and license under the Derivative Patents, with the right to grant and authorize sublicenses, (i) to perform the Research Program in accordance with the Research Plan, and (ii) to make, have made, use, sell, offer to sell, import, and otherwise exploit the subject matter of such Derivative Patents, for the making, sale, offer for sale, use, and/or importation of products containing a Small Molecule for the Treatment of ADDL-Related Conditions in the Therapeutic Field in the Territory.</w:t>
      </w:r>
    </w:p>
    <w:p>
      <w:pPr>
        <w:spacing w:after="0" w:line="60"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u w:val="single" w:color="auto"/>
          <w:color w:val="auto"/>
        </w:rPr>
        <w:t>Limitation Regarding Small Molecules</w:t>
      </w:r>
      <w:r>
        <w:rPr>
          <w:rFonts w:ascii="Arial" w:cs="Arial" w:eastAsia="Arial" w:hAnsi="Arial"/>
          <w:sz w:val="18"/>
          <w:szCs w:val="18"/>
          <w:color w:val="auto"/>
        </w:rPr>
        <w:t>. It is understood and agreed that no product or other subject matter using or comprising a Small Molecule as, or as part of, an antigen or other active ingredient is licensed to Merck under this Agreement.</w:t>
      </w:r>
    </w:p>
    <w:p>
      <w:pPr>
        <w:spacing w:after="0" w:line="54" w:lineRule="exact"/>
        <w:rPr>
          <w:sz w:val="20"/>
          <w:szCs w:val="20"/>
          <w:color w:val="auto"/>
        </w:rPr>
      </w:pPr>
    </w:p>
    <w:p>
      <w:pPr>
        <w:ind w:right="60" w:firstLine="440"/>
        <w:spacing w:after="0" w:line="294"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b w:val="1"/>
          <w:bCs w:val="1"/>
          <w:u w:val="single" w:color="auto"/>
          <w:color w:val="auto"/>
        </w:rPr>
        <w:t>No Implied Rights</w:t>
      </w:r>
      <w:r>
        <w:rPr>
          <w:rFonts w:ascii="Arial" w:cs="Arial" w:eastAsia="Arial" w:hAnsi="Arial"/>
          <w:sz w:val="16"/>
          <w:szCs w:val="16"/>
          <w:color w:val="auto"/>
        </w:rPr>
        <w:t>. Only the licenses granted in or pursuant to the express terms of this Agreement shall be of any legal force or effect. No other license rights shall be created by implication, estoppel or otherwise. Notwithstanding anything to the contrary, no license is granted under this Agreement with respect to any active ingredient contained in a Product, other than an ADDL Antibody or, in the event of the exercise of the Vaccine Option, an ADDL Antigen. In addition, all of Acumen’s rights to Acumen Technology not specifically licensed to Merck under this Agreement shall be retained by Acumen, including, but not limited to, all products and applications other than (i) Diagnostic Products in the Diagnostic Field in the Territory, and (ii) Products in the Therapeutic Field in the Territory. Without limiting the foregoing, it is understood that Section 5.1</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0" w:right="479" w:bottom="1440" w:gutter="0" w:footer="0" w:header="0"/>
        </w:sectPr>
      </w:pPr>
    </w:p>
    <w:bookmarkStart w:id="342" w:name="page343"/>
    <w:bookmarkEnd w:id="342"/>
    <w:p>
      <w:pPr>
        <w:ind w:left="4"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does not preclude Acumen, or others under authority of Acumen, from exploiting ADDL Antibodies or ADDL Antigens in connection with the research, development, or manufacture of products or other subject matter not involving the Treatment of a patient with a Product.</w:t>
      </w:r>
    </w:p>
    <w:p>
      <w:pPr>
        <w:spacing w:after="0" w:line="166" w:lineRule="exact"/>
        <w:rPr>
          <w:sz w:val="20"/>
          <w:szCs w:val="20"/>
          <w:color w:val="auto"/>
        </w:rPr>
      </w:pPr>
    </w:p>
    <w:p>
      <w:pPr>
        <w:ind w:left="4" w:right="140" w:firstLine="440"/>
        <w:spacing w:after="0" w:line="261"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u w:val="single" w:color="auto"/>
          <w:color w:val="auto"/>
        </w:rPr>
        <w:t>Exclusive Rights under Northwestern License and USC License</w:t>
      </w:r>
      <w:r>
        <w:rPr>
          <w:rFonts w:ascii="Arial" w:cs="Arial" w:eastAsia="Arial" w:hAnsi="Arial"/>
          <w:sz w:val="18"/>
          <w:szCs w:val="18"/>
          <w:color w:val="auto"/>
        </w:rPr>
        <w:t>. Notwithstanding the provisions of Section 2.5 of the Northwestern License and Section 3(c) of the USC License, Acumen agrees that it shall not during the Term exercise its rights under Section 2.5 of the Northwestern License or Section 3(c) of the USC License in a manner that causes any loss of exclusivity under the licenses granted to Merck in Section 5.1 of this Agreement.</w:t>
      </w:r>
    </w:p>
    <w:p>
      <w:pPr>
        <w:spacing w:after="0" w:line="396" w:lineRule="exact"/>
        <w:rPr>
          <w:sz w:val="20"/>
          <w:szCs w:val="20"/>
          <w:color w:val="auto"/>
        </w:rPr>
      </w:pPr>
    </w:p>
    <w:p>
      <w:pPr>
        <w:ind w:left="5024"/>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ind w:left="5024"/>
        <w:spacing w:after="0"/>
        <w:rPr>
          <w:sz w:val="20"/>
          <w:szCs w:val="20"/>
          <w:color w:val="auto"/>
        </w:rPr>
      </w:pPr>
      <w:r>
        <w:rPr>
          <w:rFonts w:ascii="Arial" w:cs="Arial" w:eastAsia="Arial" w:hAnsi="Arial"/>
          <w:sz w:val="18"/>
          <w:szCs w:val="18"/>
          <w:b w:val="1"/>
          <w:bCs w:val="1"/>
          <w:color w:val="auto"/>
        </w:rPr>
        <w:t>PAYMENTS</w:t>
      </w:r>
    </w:p>
    <w:p>
      <w:pPr>
        <w:spacing w:after="0" w:line="99"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u w:val="single" w:color="auto"/>
          <w:color w:val="auto"/>
        </w:rPr>
        <w:t>Research Program Funding</w:t>
      </w:r>
      <w:r>
        <w:rPr>
          <w:rFonts w:ascii="Arial" w:cs="Arial" w:eastAsia="Arial" w:hAnsi="Arial"/>
          <w:sz w:val="16"/>
          <w:szCs w:val="16"/>
          <w:color w:val="auto"/>
        </w:rPr>
        <w:t xml:space="preserve">. For each Calendar Quarter or portion thereof during the Research Term, Merck shall pay to Acumen research funding in an amount equal to the number of Acumen FTEs specified in the Research Plan for that Calendar Quarter multiplied by the rate of [***] per FTE per year. The Research Plan shall provide for no less than five (5) Acumen FTEs during each year of the Research Term (including the first and last Calendar Quarters described below), it being acknowledged that the Parties may mutually agree to increase the number of FTEs during any year through their authorized representatives. Each payment under this Section 6.1 shall be made to Acumen quarterly within the [***] days after the beginning of the Calendar Quarter to which Acumen’s work under the Research Program relates,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first such payment shall be made within</w:t>
      </w:r>
    </w:p>
    <w:p>
      <w:pPr>
        <w:spacing w:after="0" w:line="3" w:lineRule="exact"/>
        <w:rPr>
          <w:sz w:val="20"/>
          <w:szCs w:val="20"/>
          <w:color w:val="auto"/>
        </w:rPr>
      </w:pPr>
    </w:p>
    <w:p>
      <w:pPr>
        <w:ind w:left="4" w:hanging="4"/>
        <w:spacing w:after="0" w:line="287" w:lineRule="auto"/>
        <w:tabs>
          <w:tab w:leader="none" w:pos="439"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days of the Research Commencement Date, and shall be pro-rated based on the number of days remaining in the then-current Calendar Quarter, and the last such payment shall be pro-rated based on the number of days of Research Term remaining in the Calendar Quarter in which the Research Term ends. [***] Acumen agrees to apply funding received under this Section 6.1 to the Research Program;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the JRC has failed to establish a Research Plan, Acumen will apply such funding towards the discovery and/or development of Antibody Products in the Therapeutic Field as reasonably directed by Merck (or as reasonably determined by Acumen to the extent not so directed by Merck). In the event that Acumen has not succeeded in applying five (5) FTEs to performance of the Research Plan (i) in aggregate during the first four (4) Calendar Quarters, or (ii) in aggregate during any Calendar Quarter, after the first four Calendar Quarters; each during the Research Term, Merck shall be entitled to take a credit against the payment due under this Section 6.1 in the Calendar Quarter after which such shortfall is discovered by Merck, to the full extent of such shortfall.</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Technology Access Fee</w:t>
      </w:r>
      <w:r>
        <w:rPr>
          <w:rFonts w:ascii="Arial" w:cs="Arial" w:eastAsia="Arial" w:hAnsi="Arial"/>
          <w:sz w:val="18"/>
          <w:szCs w:val="18"/>
          <w:color w:val="auto"/>
        </w:rPr>
        <w:t>.</w:t>
      </w:r>
    </w:p>
    <w:p>
      <w:pPr>
        <w:spacing w:after="0" w:line="121" w:lineRule="exact"/>
        <w:rPr>
          <w:sz w:val="20"/>
          <w:szCs w:val="20"/>
          <w:color w:val="auto"/>
        </w:rPr>
      </w:pPr>
    </w:p>
    <w:p>
      <w:pPr>
        <w:ind w:left="4" w:right="160" w:firstLine="1983"/>
        <w:spacing w:after="0" w:line="255" w:lineRule="auto"/>
        <w:rPr>
          <w:sz w:val="20"/>
          <w:szCs w:val="20"/>
          <w:color w:val="auto"/>
        </w:rPr>
      </w:pPr>
      <w:r>
        <w:rPr>
          <w:rFonts w:ascii="Arial" w:cs="Arial" w:eastAsia="Arial" w:hAnsi="Arial"/>
          <w:sz w:val="18"/>
          <w:szCs w:val="18"/>
          <w:color w:val="auto"/>
        </w:rPr>
        <w:t>6.2.1 Merck shall pay to Acumen [***] within [***] days of the Effective Date, and [***] on the later of [***] days of the Effective Date or [***]. Notwithstanding the foregoing, if, by the time payment is due in accordance with this Section 6.2 above, the Northwestern License has not been amended to contain a provision that allows Merck to avoid termination of its rights under the Northwestern License, as described in Section 11.2.2, then no such payment under this Section 6.2 shall be payable until the earlier of (i) such amendment of the Northwestern License described in Section 11.2.2 below, or (ii) [***]; (whichever date is earlier, the “Delayed Payment Date”) in each case unless Merck has terminated the Agreement under this Section 6.2 prior to the Delayed</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0" w:right="459" w:bottom="1440" w:gutter="0" w:footer="0" w:header="0"/>
        </w:sectPr>
      </w:pPr>
    </w:p>
    <w:bookmarkStart w:id="343" w:name="page344"/>
    <w:bookmarkEnd w:id="343"/>
    <w:p>
      <w:pPr>
        <w:ind w:left="4" w:right="9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ind w:left="4" w:right="180"/>
        <w:spacing w:after="0" w:line="279" w:lineRule="auto"/>
        <w:rPr>
          <w:sz w:val="20"/>
          <w:szCs w:val="20"/>
          <w:color w:val="auto"/>
        </w:rPr>
      </w:pPr>
      <w:r>
        <w:rPr>
          <w:rFonts w:ascii="Arial" w:cs="Arial" w:eastAsia="Arial" w:hAnsi="Arial"/>
          <w:sz w:val="17"/>
          <w:szCs w:val="17"/>
          <w:color w:val="auto"/>
        </w:rPr>
        <w:t>Payment Date. Merck shall have the right to terminate this Agreement under this Section 6.2 by providing Acumen with written notice of termination, which termination shall be effective immediately upon notice. The effects of such termination shall be as set forth in Section 13.5.2(b). If this Agreement has not been terminated by Merck in accordance with this Section 6.2 prior to the Delayed Payment Date, then Merck shall pay to Acumen the [***]) described in this Section 6.2 above upon the earlier of [***], or [***] days after the Delayed Payment Date.</w:t>
      </w:r>
    </w:p>
    <w:p>
      <w:pPr>
        <w:spacing w:after="0" w:line="63" w:lineRule="exact"/>
        <w:rPr>
          <w:sz w:val="20"/>
          <w:szCs w:val="20"/>
          <w:color w:val="auto"/>
        </w:rPr>
      </w:pPr>
    </w:p>
    <w:p>
      <w:pPr>
        <w:ind w:left="4" w:right="520" w:firstLine="991"/>
        <w:spacing w:after="0" w:line="277" w:lineRule="auto"/>
        <w:rPr>
          <w:sz w:val="20"/>
          <w:szCs w:val="20"/>
          <w:color w:val="auto"/>
        </w:rPr>
      </w:pPr>
      <w:r>
        <w:rPr>
          <w:rFonts w:ascii="Arial" w:cs="Arial" w:eastAsia="Arial" w:hAnsi="Arial"/>
          <w:sz w:val="18"/>
          <w:szCs w:val="18"/>
          <w:color w:val="auto"/>
        </w:rPr>
        <w:t>6.2.2 Merck shall make a one-time upfront payment of [***] within [***] days of the Amendment Effective Date, with [***] of this amount only creditable against the Development Milestone [***] defined in Section 6.4.1(2).</w:t>
      </w:r>
    </w:p>
    <w:p>
      <w:pPr>
        <w:spacing w:after="0" w:line="62" w:lineRule="exact"/>
        <w:rPr>
          <w:sz w:val="20"/>
          <w:szCs w:val="20"/>
          <w:color w:val="auto"/>
        </w:rPr>
      </w:pPr>
    </w:p>
    <w:p>
      <w:pPr>
        <w:ind w:left="4" w:right="420" w:firstLine="991"/>
        <w:spacing w:after="0" w:line="277" w:lineRule="auto"/>
        <w:rPr>
          <w:sz w:val="20"/>
          <w:szCs w:val="20"/>
          <w:color w:val="auto"/>
        </w:rPr>
      </w:pPr>
      <w:r>
        <w:rPr>
          <w:rFonts w:ascii="Arial" w:cs="Arial" w:eastAsia="Arial" w:hAnsi="Arial"/>
          <w:sz w:val="18"/>
          <w:szCs w:val="18"/>
          <w:color w:val="auto"/>
        </w:rPr>
        <w:t>6.2.3 Merck shall pay to Acumen a one-time payment of [***] within [***] days of the Amendment Effective Date in order to enable Acumen to purchase [***] with such [***] to be used pursuant to the Research Program.</w:t>
      </w:r>
    </w:p>
    <w:p>
      <w:pPr>
        <w:spacing w:after="0" w:line="58" w:lineRule="exact"/>
        <w:rPr>
          <w:sz w:val="20"/>
          <w:szCs w:val="20"/>
          <w:color w:val="auto"/>
        </w:rPr>
      </w:pPr>
    </w:p>
    <w:p>
      <w:pPr>
        <w:ind w:left="4" w:right="660" w:firstLine="440"/>
        <w:spacing w:after="0" w:line="28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First Anniversary Fee</w:t>
      </w:r>
      <w:r>
        <w:rPr>
          <w:rFonts w:ascii="Arial" w:cs="Arial" w:eastAsia="Arial" w:hAnsi="Arial"/>
          <w:sz w:val="18"/>
          <w:szCs w:val="18"/>
          <w:color w:val="auto"/>
        </w:rPr>
        <w:t>. In addition to the other amounts specified in this Article 6, Merck shall pay [***] to Acumen on the first (1</w:t>
      </w:r>
      <w:r>
        <w:rPr>
          <w:rFonts w:ascii="Arial" w:cs="Arial" w:eastAsia="Arial" w:hAnsi="Arial"/>
          <w:sz w:val="15"/>
          <w:szCs w:val="15"/>
          <w:color w:val="auto"/>
        </w:rPr>
        <w:t>st</w:t>
      </w:r>
      <w:r>
        <w:rPr>
          <w:rFonts w:ascii="Arial" w:cs="Arial" w:eastAsia="Arial" w:hAnsi="Arial"/>
          <w:sz w:val="18"/>
          <w:szCs w:val="18"/>
          <w:color w:val="auto"/>
        </w:rPr>
        <w:t>) anniversary of the Effective Date.</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Development Milestones Payments</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6.4.1 </w:t>
      </w:r>
      <w:r>
        <w:rPr>
          <w:rFonts w:ascii="Arial" w:cs="Arial" w:eastAsia="Arial" w:hAnsi="Arial"/>
          <w:sz w:val="17"/>
          <w:szCs w:val="17"/>
          <w:b w:val="1"/>
          <w:bCs w:val="1"/>
          <w:u w:val="single" w:color="auto"/>
          <w:color w:val="auto"/>
        </w:rPr>
        <w:t>Initial Products</w:t>
      </w:r>
      <w:r>
        <w:rPr>
          <w:rFonts w:ascii="Arial" w:cs="Arial" w:eastAsia="Arial" w:hAnsi="Arial"/>
          <w:sz w:val="17"/>
          <w:szCs w:val="17"/>
          <w:color w:val="auto"/>
        </w:rPr>
        <w:t>. Merck shall pay to Acumen the milestone payments identified in this Section 6.4.1 below, each within thirty</w:t>
      </w:r>
    </w:p>
    <w:p>
      <w:pPr>
        <w:spacing w:after="0" w:line="39" w:lineRule="exact"/>
        <w:rPr>
          <w:sz w:val="20"/>
          <w:szCs w:val="20"/>
          <w:color w:val="auto"/>
        </w:rPr>
      </w:pPr>
    </w:p>
    <w:p>
      <w:pPr>
        <w:ind w:left="4" w:right="60" w:hanging="4"/>
        <w:spacing w:after="0" w:line="260" w:lineRule="auto"/>
        <w:tabs>
          <w:tab w:leader="none" w:pos="34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days after the first occurrence of the corresponding milestone, for the first Antibody Product and, if the Vaccine Option has been exercised, the first Vaccine Product to reach such milestone:</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5740" w:type="dxa"/>
            <w:vAlign w:val="bottom"/>
            <w:gridSpan w:val="4"/>
          </w:tcPr>
          <w:p>
            <w:pPr>
              <w:spacing w:after="0"/>
              <w:rPr>
                <w:sz w:val="20"/>
                <w:szCs w:val="20"/>
                <w:color w:val="auto"/>
              </w:rPr>
            </w:pPr>
            <w:r>
              <w:rPr>
                <w:rFonts w:ascii="Arial" w:cs="Arial" w:eastAsia="Arial" w:hAnsi="Arial"/>
                <w:sz w:val="14"/>
                <w:szCs w:val="14"/>
                <w:b w:val="1"/>
                <w:bCs w:val="1"/>
                <w:color w:val="auto"/>
              </w:rPr>
              <w:t>Development Milestones</w:t>
            </w: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3"/>
              </w:rPr>
              <w:t>Payment Amount</w:t>
            </w:r>
          </w:p>
        </w:tc>
      </w:tr>
      <w:tr>
        <w:trPr>
          <w:trHeight w:val="189"/>
        </w:trPr>
        <w:tc>
          <w:tcPr>
            <w:tcW w:w="14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2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83"/>
        </w:trPr>
        <w:tc>
          <w:tcPr>
            <w:tcW w:w="5740" w:type="dxa"/>
            <w:vAlign w:val="bottom"/>
            <w:gridSpan w:val="4"/>
          </w:tcPr>
          <w:p>
            <w:pPr>
              <w:ind w:left="980"/>
              <w:spacing w:after="0"/>
              <w:rPr>
                <w:sz w:val="20"/>
                <w:szCs w:val="20"/>
                <w:color w:val="auto"/>
              </w:rPr>
            </w:pPr>
            <w:r>
              <w:rPr>
                <w:rFonts w:ascii="Arial" w:cs="Arial" w:eastAsia="Arial" w:hAnsi="Arial"/>
                <w:sz w:val="18"/>
                <w:szCs w:val="18"/>
                <w:color w:val="auto"/>
              </w:rPr>
              <w:t xml:space="preserve">6.4.2 </w:t>
            </w:r>
            <w:r>
              <w:rPr>
                <w:rFonts w:ascii="Arial" w:cs="Arial" w:eastAsia="Arial" w:hAnsi="Arial"/>
                <w:sz w:val="18"/>
                <w:szCs w:val="18"/>
                <w:b w:val="1"/>
                <w:bCs w:val="1"/>
                <w:color w:val="auto"/>
              </w:rPr>
              <w:t>Subsequent Products</w:t>
            </w:r>
            <w:r>
              <w:rPr>
                <w:rFonts w:ascii="Arial" w:cs="Arial" w:eastAsia="Arial" w:hAnsi="Arial"/>
                <w:sz w:val="18"/>
                <w:szCs w:val="18"/>
                <w:color w:val="auto"/>
              </w:rPr>
              <w:t>.</w:t>
            </w:r>
          </w:p>
        </w:tc>
        <w:tc>
          <w:tcPr>
            <w:tcW w:w="5280" w:type="dxa"/>
            <w:vAlign w:val="bottom"/>
          </w:tcPr>
          <w:p>
            <w:pPr>
              <w:spacing w:after="0"/>
              <w:rPr>
                <w:sz w:val="24"/>
                <w:szCs w:val="24"/>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bl>
    <w:p>
      <w:pPr>
        <w:spacing w:after="0" w:line="121" w:lineRule="exact"/>
        <w:rPr>
          <w:sz w:val="20"/>
          <w:szCs w:val="20"/>
          <w:color w:val="auto"/>
        </w:rPr>
      </w:pPr>
    </w:p>
    <w:p>
      <w:pPr>
        <w:ind w:left="4" w:right="160" w:firstLine="1432"/>
        <w:spacing w:after="0" w:line="293" w:lineRule="auto"/>
        <w:rPr>
          <w:sz w:val="20"/>
          <w:szCs w:val="20"/>
          <w:color w:val="auto"/>
        </w:rPr>
      </w:pPr>
      <w:r>
        <w:rPr>
          <w:rFonts w:ascii="Arial" w:cs="Arial" w:eastAsia="Arial" w:hAnsi="Arial"/>
          <w:sz w:val="16"/>
          <w:szCs w:val="16"/>
          <w:color w:val="auto"/>
        </w:rPr>
        <w:t>(a) To the extent that a milestone payment has been made to Acumen pursuant to Section 6.4.1(1), (2) or (3) (each hereinafter an “</w:t>
      </w:r>
      <w:r>
        <w:rPr>
          <w:rFonts w:ascii="Arial" w:cs="Arial" w:eastAsia="Arial" w:hAnsi="Arial"/>
          <w:sz w:val="16"/>
          <w:szCs w:val="16"/>
          <w:b w:val="1"/>
          <w:bCs w:val="1"/>
          <w:color w:val="auto"/>
        </w:rPr>
        <w:t>Early Development Milestone</w:t>
      </w:r>
      <w:r>
        <w:rPr>
          <w:rFonts w:ascii="Arial" w:cs="Arial" w:eastAsia="Arial" w:hAnsi="Arial"/>
          <w:sz w:val="16"/>
          <w:szCs w:val="16"/>
          <w:color w:val="auto"/>
        </w:rPr>
        <w:t>”) as a result of any Antibody Product achieving such Early Development Milestone, no further payment for the Early Development Milestone that has been achieved shall be due or payable to Acumen as a result of subsequent Antibody Products achieving such Early Development Milestone. Similarly, to the extent that an Early Development Milestone payment has been made to Acumen as a result of any Vaccine Product achieving such Early Development Milestone, no further payment for the Early Development Milestone that has been achieved shall be due or payable to Acumen as a result of a subsequent Vaccine Product achieving such Early Development Milestone.</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0" w:right="439" w:bottom="1440" w:gutter="0" w:footer="0" w:header="0"/>
        </w:sectPr>
      </w:pPr>
    </w:p>
    <w:bookmarkStart w:id="344" w:name="page345"/>
    <w:bookmarkEnd w:id="344"/>
    <w:p>
      <w:pPr>
        <w:ind w:right="9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right="80" w:firstLine="1428"/>
        <w:spacing w:after="0" w:line="254" w:lineRule="auto"/>
        <w:tabs>
          <w:tab w:leader="none" w:pos="168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With respect to each of the milestones set forth in Section 6.4.1(4), (5), (6), (7) and (8) (each hereinafter a “</w:t>
      </w:r>
      <w:r>
        <w:rPr>
          <w:rFonts w:ascii="Arial" w:cs="Arial" w:eastAsia="Arial" w:hAnsi="Arial"/>
          <w:sz w:val="18"/>
          <w:szCs w:val="18"/>
          <w:b w:val="1"/>
          <w:bCs w:val="1"/>
          <w:color w:val="auto"/>
        </w:rPr>
        <w:t>Late Development</w:t>
      </w:r>
      <w:r>
        <w:rPr>
          <w:rFonts w:ascii="Arial" w:cs="Arial" w:eastAsia="Arial" w:hAnsi="Arial"/>
          <w:sz w:val="18"/>
          <w:szCs w:val="18"/>
          <w:color w:val="auto"/>
        </w:rPr>
        <w:t xml:space="preserve"> </w:t>
      </w:r>
      <w:r>
        <w:rPr>
          <w:rFonts w:ascii="Arial" w:cs="Arial" w:eastAsia="Arial" w:hAnsi="Arial"/>
          <w:sz w:val="18"/>
          <w:szCs w:val="18"/>
          <w:b w:val="1"/>
          <w:bCs w:val="1"/>
          <w:color w:val="auto"/>
        </w:rPr>
        <w:t>Milestone</w:t>
      </w:r>
      <w:r>
        <w:rPr>
          <w:rFonts w:ascii="Arial" w:cs="Arial" w:eastAsia="Arial" w:hAnsi="Arial"/>
          <w:sz w:val="18"/>
          <w:szCs w:val="18"/>
          <w:color w:val="auto"/>
        </w:rPr>
        <w:t>”), a milestone payment in the amount set forth for such Late Development Milestone shall be made by Merck to Acumen for each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that achieves such Late Development Milestone after it was previously achieved by one or more other Antibody Product(s), only if the following conditions have been or are thereafter met: (i) a Marketing Authorization is obtained in a Major Market for an Antibody Product (i.e. the first Antibody Product to achieve Marketing Approval in a Major Market) under this Agreement (whether before or after the Late Development Milestone is achieved) (“</w:t>
      </w:r>
      <w:r>
        <w:rPr>
          <w:rFonts w:ascii="Arial" w:cs="Arial" w:eastAsia="Arial" w:hAnsi="Arial"/>
          <w:sz w:val="18"/>
          <w:szCs w:val="18"/>
          <w:b w:val="1"/>
          <w:bCs w:val="1"/>
          <w:color w:val="auto"/>
        </w:rPr>
        <w:t>First Antibody Approval</w:t>
      </w:r>
      <w:r>
        <w:rPr>
          <w:rFonts w:ascii="Arial" w:cs="Arial" w:eastAsia="Arial" w:hAnsi="Arial"/>
          <w:sz w:val="18"/>
          <w:szCs w:val="18"/>
          <w:color w:val="auto"/>
        </w:rPr>
        <w:t>”), and (ii) at the time of the First Antibody Approval or thereafter, Merck is actively developing another Antibody Product that has achieved, or that subsequently achieves, one or more Late Development Milestone(s). Milestone payments under this Section 6.4.2(b) for Late Development Milestones achieved prior to such conditions being met shall become payable only if and at the time such conditions are thereafter met.</w:t>
      </w:r>
    </w:p>
    <w:p>
      <w:pPr>
        <w:spacing w:after="0" w:line="84" w:lineRule="exact"/>
        <w:rPr>
          <w:rFonts w:ascii="Arial" w:cs="Arial" w:eastAsia="Arial" w:hAnsi="Arial"/>
          <w:sz w:val="18"/>
          <w:szCs w:val="18"/>
          <w:color w:val="auto"/>
        </w:rPr>
      </w:pPr>
    </w:p>
    <w:p>
      <w:pPr>
        <w:ind w:right="20" w:firstLine="1428"/>
        <w:spacing w:after="0" w:line="291" w:lineRule="auto"/>
        <w:tabs>
          <w:tab w:leader="none" w:pos="167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Similarly, a milestone payment in the amount set forth for such Late Development Milestone shall be made by Merck to Acumen for each Vaccine Product that achieves such Late Development Milestone after it was previously achieved by one or more other Vaccine Product(s), only if the following conditions have been or are thereafter met: (i) a Marketing Authorization is obtained in a Major Market for a Vaccine Product (i.e. the first Vaccine Product to achieve Marketing Approval) under this Agreement (whether before or after the Late Development Milestone is achieved) (“</w:t>
      </w:r>
      <w:r>
        <w:rPr>
          <w:rFonts w:ascii="Arial" w:cs="Arial" w:eastAsia="Arial" w:hAnsi="Arial"/>
          <w:sz w:val="16"/>
          <w:szCs w:val="16"/>
          <w:b w:val="1"/>
          <w:bCs w:val="1"/>
          <w:color w:val="auto"/>
        </w:rPr>
        <w:t>First Vaccine Approval</w:t>
      </w:r>
      <w:r>
        <w:rPr>
          <w:rFonts w:ascii="Arial" w:cs="Arial" w:eastAsia="Arial" w:hAnsi="Arial"/>
          <w:sz w:val="16"/>
          <w:szCs w:val="16"/>
          <w:color w:val="auto"/>
        </w:rPr>
        <w:t>”), and (ii) at the time of the First Vaccine Approval or thereafter, Merck is actively developing another Vaccine Product that has achieved, or that subsequently achieves, one or more Late Development Milestone(s). Milestone payments under this Section 6.4.2(c) for Late Development Milestones achieved prior to such conditions being met shall become payable only if and at the time such conditions are thereafter met.</w:t>
      </w:r>
    </w:p>
    <w:p>
      <w:pPr>
        <w:spacing w:after="0" w:line="58" w:lineRule="exact"/>
        <w:rPr>
          <w:sz w:val="20"/>
          <w:szCs w:val="20"/>
          <w:color w:val="auto"/>
        </w:rPr>
      </w:pPr>
    </w:p>
    <w:p>
      <w:pPr>
        <w:jc w:val="both"/>
        <w:ind w:right="380" w:firstLine="991"/>
        <w:spacing w:after="0" w:line="263" w:lineRule="auto"/>
        <w:rPr>
          <w:sz w:val="20"/>
          <w:szCs w:val="20"/>
          <w:color w:val="auto"/>
        </w:rPr>
      </w:pPr>
      <w:r>
        <w:rPr>
          <w:rFonts w:ascii="Arial" w:cs="Arial" w:eastAsia="Arial" w:hAnsi="Arial"/>
          <w:sz w:val="18"/>
          <w:szCs w:val="18"/>
          <w:color w:val="auto"/>
        </w:rPr>
        <w:t>6.4.3 Merck will make a one-time payment of [***] upon receipt of notice of Regulatory Authority approval in the United States of a filing made under Section 510(k) of the Food, Drug and Cosmetics Act for the sale of a Diagnostic Product by Merck, its Affiliates or a sublicensee thereof.</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u w:val="single" w:color="auto"/>
          <w:color w:val="auto"/>
        </w:rPr>
        <w:t>Sales Threshold Milestones</w:t>
      </w:r>
      <w:r>
        <w:rPr>
          <w:rFonts w:ascii="Arial" w:cs="Arial" w:eastAsia="Arial" w:hAnsi="Arial"/>
          <w:sz w:val="18"/>
          <w:szCs w:val="18"/>
          <w:color w:val="auto"/>
        </w:rPr>
        <w:t>.</w:t>
      </w:r>
    </w:p>
    <w:p>
      <w:pPr>
        <w:spacing w:after="0" w:line="117" w:lineRule="exact"/>
        <w:rPr>
          <w:sz w:val="20"/>
          <w:szCs w:val="20"/>
          <w:color w:val="auto"/>
        </w:rPr>
      </w:pPr>
    </w:p>
    <w:p>
      <w:pPr>
        <w:ind w:right="160" w:firstLine="1983"/>
        <w:spacing w:after="0" w:line="266" w:lineRule="auto"/>
        <w:rPr>
          <w:sz w:val="20"/>
          <w:szCs w:val="20"/>
          <w:color w:val="auto"/>
        </w:rPr>
      </w:pPr>
      <w:r>
        <w:rPr>
          <w:rFonts w:ascii="Arial" w:cs="Arial" w:eastAsia="Arial" w:hAnsi="Arial"/>
          <w:sz w:val="18"/>
          <w:szCs w:val="18"/>
          <w:color w:val="auto"/>
        </w:rPr>
        <w:t xml:space="preserve">6.5.1 </w:t>
      </w: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Merck shall pay to Acumen the milestone payments identified in this Section 6.5 below, each within [***] days after the first occurrence of the corresponding milestone set forth in this Section 6.5.1 for an Antibody Product and additionally within [***] days after the first occurrence of the corresponding milestone for a Vaccine Product: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Sales Threshold Milestone</w:t>
            </w:r>
          </w:p>
        </w:tc>
        <w:tc>
          <w:tcPr>
            <w:tcW w:w="412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Payment Amount</w:t>
            </w:r>
          </w:p>
        </w:tc>
      </w:tr>
      <w:tr>
        <w:trPr>
          <w:trHeight w:val="189"/>
        </w:trPr>
        <w:tc>
          <w:tcPr>
            <w:tcW w:w="162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4120" w:type="dxa"/>
            <w:vAlign w:val="bottom"/>
          </w:tcPr>
          <w:p>
            <w:pPr>
              <w:spacing w:after="0"/>
              <w:rPr>
                <w:sz w:val="16"/>
                <w:szCs w:val="16"/>
                <w:color w:val="auto"/>
              </w:rPr>
            </w:pPr>
          </w:p>
        </w:tc>
        <w:tc>
          <w:tcPr>
            <w:tcW w:w="5280" w:type="dxa"/>
            <w:vAlign w:val="bottom"/>
          </w:tcPr>
          <w:p>
            <w:pPr>
              <w:jc w:val="center"/>
              <w:spacing w:after="0" w:line="189" w:lineRule="exact"/>
              <w:rPr>
                <w:sz w:val="20"/>
                <w:szCs w:val="20"/>
                <w:color w:val="auto"/>
              </w:rPr>
            </w:pPr>
            <w:r>
              <w:rPr>
                <w:rFonts w:ascii="Arial" w:cs="Arial" w:eastAsia="Arial" w:hAnsi="Arial"/>
                <w:sz w:val="18"/>
                <w:szCs w:val="18"/>
                <w:color w:val="auto"/>
              </w:rPr>
              <w:t>[***]</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w:t>
            </w:r>
          </w:p>
        </w:tc>
        <w:tc>
          <w:tcPr>
            <w:tcW w:w="9400" w:type="dxa"/>
            <w:vAlign w:val="bottom"/>
            <w:gridSpan w:val="2"/>
          </w:tcPr>
          <w:p>
            <w:pPr>
              <w:jc w:val="center"/>
              <w:ind w:left="4010"/>
              <w:spacing w:after="0"/>
              <w:rPr>
                <w:sz w:val="20"/>
                <w:szCs w:val="20"/>
                <w:color w:val="auto"/>
              </w:rPr>
            </w:pPr>
            <w:r>
              <w:rPr>
                <w:rFonts w:ascii="Arial" w:cs="Arial" w:eastAsia="Arial" w:hAnsi="Arial"/>
                <w:sz w:val="18"/>
                <w:szCs w:val="18"/>
                <w:color w:val="auto"/>
              </w:rPr>
              <w:t>[***]</w:t>
            </w:r>
          </w:p>
        </w:tc>
      </w:tr>
      <w:tr>
        <w:trPr>
          <w:trHeight w:val="364"/>
        </w:trPr>
        <w:tc>
          <w:tcPr>
            <w:tcW w:w="1620" w:type="dxa"/>
            <w:vAlign w:val="bottom"/>
          </w:tcPr>
          <w:p>
            <w:pPr>
              <w:spacing w:after="0"/>
              <w:rPr>
                <w:sz w:val="24"/>
                <w:szCs w:val="24"/>
                <w:color w:val="auto"/>
              </w:rPr>
            </w:pPr>
          </w:p>
        </w:tc>
        <w:tc>
          <w:tcPr>
            <w:tcW w:w="4120" w:type="dxa"/>
            <w:vAlign w:val="bottom"/>
          </w:tcPr>
          <w:p>
            <w:pPr>
              <w:jc w:val="right"/>
              <w:spacing w:after="0"/>
              <w:rPr>
                <w:sz w:val="20"/>
                <w:szCs w:val="20"/>
                <w:color w:val="auto"/>
              </w:rPr>
            </w:pPr>
            <w:r>
              <w:rPr>
                <w:rFonts w:ascii="Arial" w:cs="Arial" w:eastAsia="Arial" w:hAnsi="Arial"/>
                <w:sz w:val="18"/>
                <w:szCs w:val="18"/>
                <w:color w:val="auto"/>
              </w:rPr>
              <w:t>-20-</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45" w:name="page346"/>
    <w:bookmarkEnd w:id="345"/>
    <w:p>
      <w:pPr>
        <w:ind w:right="9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right="280" w:firstLine="991"/>
        <w:spacing w:after="0" w:line="314" w:lineRule="auto"/>
        <w:rPr>
          <w:sz w:val="20"/>
          <w:szCs w:val="20"/>
          <w:color w:val="auto"/>
        </w:rPr>
      </w:pPr>
      <w:r>
        <w:rPr>
          <w:rFonts w:ascii="Arial" w:cs="Arial" w:eastAsia="Arial" w:hAnsi="Arial"/>
          <w:sz w:val="16"/>
          <w:szCs w:val="16"/>
          <w:color w:val="auto"/>
        </w:rPr>
        <w:t xml:space="preserve">6.5.2 </w:t>
      </w:r>
      <w:r>
        <w:rPr>
          <w:rFonts w:ascii="Arial" w:cs="Arial" w:eastAsia="Arial" w:hAnsi="Arial"/>
          <w:sz w:val="16"/>
          <w:szCs w:val="16"/>
          <w:b w:val="1"/>
          <w:bCs w:val="1"/>
          <w:u w:val="single" w:color="auto"/>
          <w:color w:val="auto"/>
        </w:rPr>
        <w:t>Subsequent Products</w:t>
      </w:r>
      <w:r>
        <w:rPr>
          <w:rFonts w:ascii="Arial" w:cs="Arial" w:eastAsia="Arial" w:hAnsi="Arial"/>
          <w:sz w:val="16"/>
          <w:szCs w:val="16"/>
          <w:color w:val="auto"/>
        </w:rPr>
        <w:t>. The milestone payments in this Section 6.5 shall be payable for the first Antibody Product to achieve such sales threshold milestone and, if applicable, for the first Vaccine Product to achieve such sales threshold milestone, and no such sales threshold milestone shall be payable for subsequent achievements of such sales threshold milestone by subsequent Antibody Products or Vaccine Products.</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u w:val="single" w:color="auto"/>
          <w:color w:val="auto"/>
        </w:rPr>
        <w:t>Certain Additional Terms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91"/>
        <w:spacing w:after="0" w:line="266" w:lineRule="auto"/>
        <w:rPr>
          <w:sz w:val="20"/>
          <w:szCs w:val="20"/>
          <w:color w:val="auto"/>
        </w:rPr>
      </w:pPr>
      <w:r>
        <w:rPr>
          <w:rFonts w:ascii="Arial" w:cs="Arial" w:eastAsia="Arial" w:hAnsi="Arial"/>
          <w:sz w:val="18"/>
          <w:szCs w:val="18"/>
          <w:color w:val="auto"/>
        </w:rPr>
        <w:t xml:space="preserve">6.6.1 </w:t>
      </w:r>
      <w:r>
        <w:rPr>
          <w:rFonts w:ascii="Arial" w:cs="Arial" w:eastAsia="Arial" w:hAnsi="Arial"/>
          <w:sz w:val="18"/>
          <w:szCs w:val="18"/>
          <w:b w:val="1"/>
          <w:bCs w:val="1"/>
          <w:u w:val="single" w:color="auto"/>
          <w:color w:val="auto"/>
        </w:rPr>
        <w:t>One Payment Per Product</w:t>
      </w:r>
      <w:r>
        <w:rPr>
          <w:rFonts w:ascii="Arial" w:cs="Arial" w:eastAsia="Arial" w:hAnsi="Arial"/>
          <w:sz w:val="18"/>
          <w:szCs w:val="18"/>
          <w:color w:val="auto"/>
        </w:rPr>
        <w:t>. It is understood that once a particular milestone payment under Section 6.4 has been paid with respect to a particular Product, such milestone payment shall not be due again with respect to the same Product, and shall only be paid for subsequent Products pursuant to Section 6.4.2(b) or (c).</w:t>
      </w:r>
    </w:p>
    <w:p>
      <w:pPr>
        <w:spacing w:after="0" w:line="68" w:lineRule="exact"/>
        <w:rPr>
          <w:sz w:val="20"/>
          <w:szCs w:val="20"/>
          <w:color w:val="auto"/>
        </w:rPr>
      </w:pPr>
    </w:p>
    <w:p>
      <w:pPr>
        <w:ind w:right="100" w:firstLine="991"/>
        <w:spacing w:after="0" w:line="281" w:lineRule="auto"/>
        <w:rPr>
          <w:sz w:val="20"/>
          <w:szCs w:val="20"/>
          <w:color w:val="auto"/>
        </w:rPr>
      </w:pPr>
      <w:r>
        <w:rPr>
          <w:rFonts w:ascii="Arial" w:cs="Arial" w:eastAsia="Arial" w:hAnsi="Arial"/>
          <w:sz w:val="17"/>
          <w:szCs w:val="17"/>
          <w:color w:val="auto"/>
        </w:rPr>
        <w:t xml:space="preserve">6.6.2 </w:t>
      </w:r>
      <w:r>
        <w:rPr>
          <w:rFonts w:ascii="Arial" w:cs="Arial" w:eastAsia="Arial" w:hAnsi="Arial"/>
          <w:sz w:val="17"/>
          <w:szCs w:val="17"/>
          <w:b w:val="1"/>
          <w:bCs w:val="1"/>
          <w:u w:val="single" w:color="auto"/>
          <w:color w:val="auto"/>
        </w:rPr>
        <w:t>Accrued Milestones</w:t>
      </w:r>
      <w:r>
        <w:rPr>
          <w:rFonts w:ascii="Arial" w:cs="Arial" w:eastAsia="Arial" w:hAnsi="Arial"/>
          <w:sz w:val="17"/>
          <w:szCs w:val="17"/>
          <w:color w:val="auto"/>
        </w:rPr>
        <w:t>. If a subsequent milestone under Section 6.4 or 6.5 above is achieved for a Product before a prior milestone under Section 6.4 or 6.5 for such Product, then payment for such prior milestone(s), when applicable in accordance with Section 6.4 or 6.5, shall be due at the time of the payment for such subsequent milestone with respect to such Product. For the purposes of this Section 6.6.2, “subsequent” and “prior” milestones shall refer to the numerical order of the milestones, as indicated next to such milestone in Section 6.4 above.</w:t>
      </w:r>
    </w:p>
    <w:p>
      <w:pPr>
        <w:spacing w:after="0" w:line="57" w:lineRule="exact"/>
        <w:rPr>
          <w:sz w:val="20"/>
          <w:szCs w:val="20"/>
          <w:color w:val="auto"/>
        </w:rPr>
      </w:pPr>
    </w:p>
    <w:p>
      <w:pPr>
        <w:ind w:right="180" w:firstLine="991"/>
        <w:spacing w:after="0" w:line="261" w:lineRule="auto"/>
        <w:rPr>
          <w:sz w:val="20"/>
          <w:szCs w:val="20"/>
          <w:color w:val="auto"/>
        </w:rPr>
      </w:pPr>
      <w:r>
        <w:rPr>
          <w:rFonts w:ascii="Arial" w:cs="Arial" w:eastAsia="Arial" w:hAnsi="Arial"/>
          <w:sz w:val="18"/>
          <w:szCs w:val="18"/>
          <w:color w:val="auto"/>
        </w:rPr>
        <w:t xml:space="preserve">6.6.3 </w:t>
      </w:r>
      <w:r>
        <w:rPr>
          <w:rFonts w:ascii="Arial" w:cs="Arial" w:eastAsia="Arial" w:hAnsi="Arial"/>
          <w:sz w:val="18"/>
          <w:szCs w:val="18"/>
          <w:b w:val="1"/>
          <w:bCs w:val="1"/>
          <w:u w:val="single" w:color="auto"/>
          <w:color w:val="auto"/>
        </w:rPr>
        <w:t>Reports</w:t>
      </w:r>
      <w:r>
        <w:rPr>
          <w:rFonts w:ascii="Arial" w:cs="Arial" w:eastAsia="Arial" w:hAnsi="Arial"/>
          <w:sz w:val="18"/>
          <w:szCs w:val="18"/>
          <w:color w:val="auto"/>
        </w:rPr>
        <w:t>. Within [***] days of the occurrence of any event that would trigger a milestone payment according to Section 6.4 or 6.5, Merck shall notify Acumen of such occurrence in writing. The payment associated with such milestone shall be paid within [***] days of the achievement of such milestone, except payments under Section 6.4.2(b) or (c), which shall be paid within [***] days of the time at which they become payable pursuant to Section 6.4.2.</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u w:val="single" w:color="auto"/>
          <w:color w:val="auto"/>
        </w:rPr>
        <w:t>Royalties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6.7.1 </w:t>
      </w:r>
      <w:r>
        <w:rPr>
          <w:rFonts w:ascii="Arial" w:cs="Arial" w:eastAsia="Arial" w:hAnsi="Arial"/>
          <w:sz w:val="18"/>
          <w:szCs w:val="18"/>
          <w:b w:val="1"/>
          <w:bCs w:val="1"/>
          <w:u w:val="single" w:color="auto"/>
          <w:color w:val="auto"/>
        </w:rPr>
        <w:t>Royalty Tiers</w:t>
      </w:r>
      <w:r>
        <w:rPr>
          <w:rFonts w:ascii="Arial" w:cs="Arial" w:eastAsia="Arial" w:hAnsi="Arial"/>
          <w:sz w:val="18"/>
          <w:szCs w:val="18"/>
          <w:color w:val="auto"/>
        </w:rPr>
        <w:t>.</w:t>
      </w:r>
    </w:p>
    <w:p>
      <w:pPr>
        <w:spacing w:after="0" w:line="117" w:lineRule="exact"/>
        <w:rPr>
          <w:sz w:val="20"/>
          <w:szCs w:val="20"/>
          <w:color w:val="auto"/>
        </w:rPr>
      </w:pPr>
    </w:p>
    <w:p>
      <w:pPr>
        <w:ind w:right="120" w:firstLine="1428"/>
        <w:spacing w:after="0" w:line="314" w:lineRule="auto"/>
        <w:tabs>
          <w:tab w:leader="none" w:pos="1677" w:val="left"/>
        </w:tabs>
        <w:numPr>
          <w:ilvl w:val="0"/>
          <w:numId w:val="229"/>
        </w:numPr>
        <w:rPr>
          <w:rFonts w:ascii="Arial" w:cs="Arial" w:eastAsia="Arial" w:hAnsi="Arial"/>
          <w:sz w:val="16"/>
          <w:szCs w:val="16"/>
          <w:color w:val="auto"/>
        </w:rPr>
      </w:pPr>
      <w:r>
        <w:rPr>
          <w:rFonts w:ascii="Arial" w:cs="Arial" w:eastAsia="Arial" w:hAnsi="Arial"/>
          <w:sz w:val="16"/>
          <w:szCs w:val="16"/>
          <w:b w:val="1"/>
          <w:bCs w:val="1"/>
          <w:u w:val="single" w:color="auto"/>
          <w:color w:val="auto"/>
        </w:rPr>
        <w:t>For Antibody Products and Vaccine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of the rights and licenses granted to Merck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Merck shall pay to Acumen as royalties the following percentages of Net Sales from the sale of each Antibody Product (and Vaccine Products upon exercise by Merck of the Vaccine Option in accordance with Section 5.3) by Merck, its Affiliates, and Sublicensees during a Calendar Quarter:</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4"/>
              </w:rPr>
              <w:t>Royalty Rate</w:t>
            </w:r>
          </w:p>
        </w:tc>
        <w:tc>
          <w:tcPr>
            <w:tcW w:w="0" w:type="dxa"/>
            <w:vAlign w:val="bottom"/>
          </w:tcPr>
          <w:p>
            <w:pPr>
              <w:spacing w:after="0"/>
              <w:rPr>
                <w:sz w:val="1"/>
                <w:szCs w:val="1"/>
                <w:color w:val="auto"/>
              </w:rPr>
            </w:pPr>
          </w:p>
        </w:tc>
      </w:tr>
      <w:tr>
        <w:trPr>
          <w:trHeight w:val="148"/>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1"/>
              </w:rPr>
              <w:t>Annual Net Sales by Product</w:t>
            </w:r>
          </w:p>
        </w:tc>
        <w:tc>
          <w:tcPr>
            <w:tcW w:w="3960" w:type="dxa"/>
            <w:vAlign w:val="bottom"/>
          </w:tcPr>
          <w:p>
            <w:pPr>
              <w:spacing w:after="0"/>
              <w:rPr>
                <w:sz w:val="12"/>
                <w:szCs w:val="12"/>
                <w:color w:val="auto"/>
              </w:rPr>
            </w:pPr>
          </w:p>
        </w:tc>
        <w:tc>
          <w:tcPr>
            <w:tcW w:w="5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on Incremental Net</w:t>
            </w:r>
          </w:p>
        </w:tc>
        <w:tc>
          <w:tcPr>
            <w:tcW w:w="0" w:type="dxa"/>
            <w:vAlign w:val="bottom"/>
          </w:tcPr>
          <w:p>
            <w:pPr>
              <w:spacing w:after="0"/>
              <w:rPr>
                <w:sz w:val="1"/>
                <w:szCs w:val="1"/>
                <w:color w:val="auto"/>
              </w:rPr>
            </w:pPr>
          </w:p>
        </w:tc>
      </w:tr>
      <w:tr>
        <w:trPr>
          <w:trHeight w:val="191"/>
        </w:trPr>
        <w:tc>
          <w:tcPr>
            <w:tcW w:w="1780" w:type="dxa"/>
            <w:vAlign w:val="bottom"/>
            <w:tcBorders>
              <w:bottom w:val="single" w:sz="8" w:color="auto"/>
            </w:tcBorders>
            <w:vMerge w:val="continue"/>
          </w:tcPr>
          <w:p>
            <w:pPr>
              <w:spacing w:after="0"/>
              <w:rPr>
                <w:sz w:val="16"/>
                <w:szCs w:val="16"/>
                <w:color w:val="auto"/>
              </w:rPr>
            </w:pPr>
          </w:p>
        </w:tc>
        <w:tc>
          <w:tcPr>
            <w:tcW w:w="396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Sales</w:t>
            </w:r>
          </w:p>
        </w:tc>
        <w:tc>
          <w:tcPr>
            <w:tcW w:w="0" w:type="dxa"/>
            <w:vAlign w:val="bottom"/>
          </w:tcPr>
          <w:p>
            <w:pPr>
              <w:spacing w:after="0"/>
              <w:rPr>
                <w:sz w:val="1"/>
                <w:szCs w:val="1"/>
                <w:color w:val="auto"/>
              </w:rPr>
            </w:pPr>
          </w:p>
        </w:tc>
      </w:tr>
      <w:tr>
        <w:trPr>
          <w:trHeight w:val="189"/>
        </w:trPr>
        <w:tc>
          <w:tcPr>
            <w:tcW w:w="178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3960" w:type="dxa"/>
            <w:vAlign w:val="bottom"/>
          </w:tcPr>
          <w:p>
            <w:pPr>
              <w:spacing w:after="0"/>
              <w:rPr>
                <w:sz w:val="16"/>
                <w:szCs w:val="16"/>
                <w:color w:val="auto"/>
              </w:rPr>
            </w:pPr>
          </w:p>
        </w:tc>
        <w:tc>
          <w:tcPr>
            <w:tcW w:w="5280" w:type="dxa"/>
            <w:vAlign w:val="bottom"/>
          </w:tcPr>
          <w:p>
            <w:pPr>
              <w:jc w:val="cente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w:t>
            </w:r>
          </w:p>
        </w:tc>
        <w:tc>
          <w:tcPr>
            <w:tcW w:w="9240" w:type="dxa"/>
            <w:vAlign w:val="bottom"/>
            <w:gridSpan w:val="2"/>
          </w:tcPr>
          <w:p>
            <w:pPr>
              <w:jc w:val="center"/>
              <w:ind w:left="38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w:t>
            </w:r>
          </w:p>
        </w:tc>
        <w:tc>
          <w:tcPr>
            <w:tcW w:w="9240" w:type="dxa"/>
            <w:vAlign w:val="bottom"/>
            <w:gridSpan w:val="2"/>
          </w:tcPr>
          <w:p>
            <w:pPr>
              <w:jc w:val="center"/>
              <w:ind w:left="38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w:t>
            </w:r>
          </w:p>
        </w:tc>
        <w:tc>
          <w:tcPr>
            <w:tcW w:w="9240" w:type="dxa"/>
            <w:vAlign w:val="bottom"/>
            <w:gridSpan w:val="2"/>
          </w:tcPr>
          <w:p>
            <w:pPr>
              <w:jc w:val="center"/>
              <w:ind w:left="38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1780" w:type="dxa"/>
            <w:vAlign w:val="bottom"/>
          </w:tcPr>
          <w:p>
            <w:pPr>
              <w:spacing w:after="0"/>
              <w:rPr>
                <w:sz w:val="24"/>
                <w:szCs w:val="24"/>
                <w:color w:val="auto"/>
              </w:rPr>
            </w:pPr>
          </w:p>
        </w:tc>
        <w:tc>
          <w:tcPr>
            <w:tcW w:w="3960" w:type="dxa"/>
            <w:vAlign w:val="bottom"/>
          </w:tcPr>
          <w:p>
            <w:pPr>
              <w:jc w:val="right"/>
              <w:spacing w:after="0"/>
              <w:rPr>
                <w:sz w:val="20"/>
                <w:szCs w:val="20"/>
                <w:color w:val="auto"/>
              </w:rPr>
            </w:pPr>
            <w:r>
              <w:rPr>
                <w:rFonts w:ascii="Arial" w:cs="Arial" w:eastAsia="Arial" w:hAnsi="Arial"/>
                <w:sz w:val="18"/>
                <w:szCs w:val="18"/>
                <w:color w:val="auto"/>
              </w:rPr>
              <w:t>-21-</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46" w:name="page347"/>
    <w:bookmarkEnd w:id="346"/>
    <w:p>
      <w:pPr>
        <w:ind w:right="9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right="380" w:firstLine="1428"/>
        <w:spacing w:after="0" w:line="282" w:lineRule="auto"/>
        <w:tabs>
          <w:tab w:leader="none" w:pos="1687" w:val="left"/>
        </w:tabs>
        <w:numPr>
          <w:ilvl w:val="0"/>
          <w:numId w:val="230"/>
        </w:numPr>
        <w:rPr>
          <w:rFonts w:ascii="Arial" w:cs="Arial" w:eastAsia="Arial" w:hAnsi="Arial"/>
          <w:sz w:val="18"/>
          <w:szCs w:val="18"/>
          <w:color w:val="auto"/>
        </w:rPr>
      </w:pPr>
      <w:r>
        <w:rPr>
          <w:rFonts w:ascii="Arial" w:cs="Arial" w:eastAsia="Arial" w:hAnsi="Arial"/>
          <w:sz w:val="18"/>
          <w:szCs w:val="18"/>
          <w:b w:val="1"/>
          <w:bCs w:val="1"/>
          <w:u w:val="single" w:color="auto"/>
          <w:color w:val="auto"/>
        </w:rPr>
        <w:t>For Diagnostic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rights and licenses granted to Merck regarding Diagnostic Products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Merck shall pay to Acumen the following royalties:</w:t>
      </w:r>
    </w:p>
    <w:p>
      <w:pPr>
        <w:spacing w:after="0" w:line="57" w:lineRule="exact"/>
        <w:rPr>
          <w:rFonts w:ascii="Arial" w:cs="Arial" w:eastAsia="Arial" w:hAnsi="Arial"/>
          <w:sz w:val="18"/>
          <w:szCs w:val="18"/>
          <w:color w:val="auto"/>
        </w:rPr>
      </w:pPr>
    </w:p>
    <w:p>
      <w:pPr>
        <w:ind w:left="2240" w:hanging="261"/>
        <w:spacing w:after="0"/>
        <w:tabs>
          <w:tab w:leader="none" w:pos="224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For those Diagnostic Products sold by Merck or its Affiliates to a Third Party, the royalty rate shall be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4"/>
              </w:rPr>
              <w:t>Royalty Rate</w:t>
            </w:r>
          </w:p>
        </w:tc>
        <w:tc>
          <w:tcPr>
            <w:tcW w:w="0" w:type="dxa"/>
            <w:vAlign w:val="bottom"/>
          </w:tcPr>
          <w:p>
            <w:pPr>
              <w:spacing w:after="0"/>
              <w:rPr>
                <w:sz w:val="1"/>
                <w:szCs w:val="1"/>
                <w:color w:val="auto"/>
              </w:rPr>
            </w:pPr>
          </w:p>
        </w:tc>
      </w:tr>
      <w:tr>
        <w:trPr>
          <w:trHeight w:val="149"/>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w w:val="91"/>
              </w:rPr>
              <w:t>Annual Net Sales by Diagnostic Product</w:t>
            </w:r>
          </w:p>
        </w:tc>
        <w:tc>
          <w:tcPr>
            <w:tcW w:w="3280" w:type="dxa"/>
            <w:vAlign w:val="bottom"/>
          </w:tcPr>
          <w:p>
            <w:pPr>
              <w:spacing w:after="0"/>
              <w:rPr>
                <w:sz w:val="12"/>
                <w:szCs w:val="12"/>
                <w:color w:val="auto"/>
              </w:rPr>
            </w:pPr>
          </w:p>
        </w:tc>
        <w:tc>
          <w:tcPr>
            <w:tcW w:w="5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on Incremental Net</w:t>
            </w:r>
          </w:p>
        </w:tc>
        <w:tc>
          <w:tcPr>
            <w:tcW w:w="0" w:type="dxa"/>
            <w:vAlign w:val="bottom"/>
          </w:tcPr>
          <w:p>
            <w:pPr>
              <w:spacing w:after="0"/>
              <w:rPr>
                <w:sz w:val="1"/>
                <w:szCs w:val="1"/>
                <w:color w:val="auto"/>
              </w:rPr>
            </w:pPr>
          </w:p>
        </w:tc>
      </w:tr>
      <w:tr>
        <w:trPr>
          <w:trHeight w:val="191"/>
        </w:trPr>
        <w:tc>
          <w:tcPr>
            <w:tcW w:w="2460" w:type="dxa"/>
            <w:vAlign w:val="bottom"/>
            <w:tcBorders>
              <w:bottom w:val="single" w:sz="8" w:color="auto"/>
            </w:tcBorders>
            <w:vMerge w:val="continue"/>
          </w:tcPr>
          <w:p>
            <w:pPr>
              <w:spacing w:after="0"/>
              <w:rPr>
                <w:sz w:val="16"/>
                <w:szCs w:val="16"/>
                <w:color w:val="auto"/>
              </w:rPr>
            </w:pPr>
          </w:p>
        </w:tc>
        <w:tc>
          <w:tcPr>
            <w:tcW w:w="328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Sales</w:t>
            </w:r>
          </w:p>
        </w:tc>
        <w:tc>
          <w:tcPr>
            <w:tcW w:w="0" w:type="dxa"/>
            <w:vAlign w:val="bottom"/>
          </w:tcPr>
          <w:p>
            <w:pPr>
              <w:spacing w:after="0"/>
              <w:rPr>
                <w:sz w:val="1"/>
                <w:szCs w:val="1"/>
                <w:color w:val="auto"/>
              </w:rPr>
            </w:pPr>
          </w:p>
        </w:tc>
      </w:tr>
      <w:tr>
        <w:trPr>
          <w:trHeight w:val="189"/>
        </w:trPr>
        <w:tc>
          <w:tcPr>
            <w:tcW w:w="246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3280" w:type="dxa"/>
            <w:vAlign w:val="bottom"/>
          </w:tcPr>
          <w:p>
            <w:pPr>
              <w:spacing w:after="0"/>
              <w:rPr>
                <w:sz w:val="16"/>
                <w:szCs w:val="16"/>
                <w:color w:val="auto"/>
              </w:rPr>
            </w:pPr>
          </w:p>
        </w:tc>
        <w:tc>
          <w:tcPr>
            <w:tcW w:w="5280" w:type="dxa"/>
            <w:vAlign w:val="bottom"/>
          </w:tcPr>
          <w:p>
            <w:pPr>
              <w:jc w:val="cente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w:t>
            </w:r>
          </w:p>
        </w:tc>
        <w:tc>
          <w:tcPr>
            <w:tcW w:w="8560" w:type="dxa"/>
            <w:vAlign w:val="bottom"/>
            <w:gridSpan w:val="2"/>
          </w:tcPr>
          <w:p>
            <w:pPr>
              <w:jc w:val="center"/>
              <w:ind w:left="3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w:t>
            </w:r>
          </w:p>
        </w:tc>
        <w:tc>
          <w:tcPr>
            <w:tcW w:w="8560" w:type="dxa"/>
            <w:vAlign w:val="bottom"/>
            <w:gridSpan w:val="2"/>
          </w:tcPr>
          <w:p>
            <w:pPr>
              <w:jc w:val="center"/>
              <w:ind w:left="3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980" w:right="40" w:hanging="1"/>
        <w:spacing w:after="0" w:line="277" w:lineRule="auto"/>
        <w:tabs>
          <w:tab w:leader="none" w:pos="223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 those Diagnostic Products for which Merck or its Affiliates receive Diagnostic Received Revenue from a Third Party, the royalty rate shall be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2"/>
              </w:rPr>
              <w:t>Royalty Rate on</w:t>
            </w:r>
          </w:p>
        </w:tc>
        <w:tc>
          <w:tcPr>
            <w:tcW w:w="0" w:type="dxa"/>
            <w:vAlign w:val="bottom"/>
          </w:tcPr>
          <w:p>
            <w:pPr>
              <w:spacing w:after="0"/>
              <w:rPr>
                <w:sz w:val="1"/>
                <w:szCs w:val="1"/>
                <w:color w:val="auto"/>
              </w:rPr>
            </w:pPr>
          </w:p>
        </w:tc>
      </w:tr>
      <w:tr>
        <w:trPr>
          <w:trHeight w:val="148"/>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Diagnostic Received Revenue by Diagnostic Product</w:t>
            </w:r>
          </w:p>
        </w:tc>
        <w:tc>
          <w:tcPr>
            <w:tcW w:w="2540" w:type="dxa"/>
            <w:vAlign w:val="bottom"/>
          </w:tcPr>
          <w:p>
            <w:pPr>
              <w:spacing w:after="0"/>
              <w:rPr>
                <w:sz w:val="12"/>
                <w:szCs w:val="12"/>
                <w:color w:val="auto"/>
              </w:rPr>
            </w:pPr>
          </w:p>
        </w:tc>
        <w:tc>
          <w:tcPr>
            <w:tcW w:w="5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Diagnostic Received</w:t>
            </w:r>
          </w:p>
        </w:tc>
        <w:tc>
          <w:tcPr>
            <w:tcW w:w="0" w:type="dxa"/>
            <w:vAlign w:val="bottom"/>
          </w:tcPr>
          <w:p>
            <w:pPr>
              <w:spacing w:after="0"/>
              <w:rPr>
                <w:sz w:val="1"/>
                <w:szCs w:val="1"/>
                <w:color w:val="auto"/>
              </w:rPr>
            </w:pPr>
          </w:p>
        </w:tc>
      </w:tr>
      <w:tr>
        <w:trPr>
          <w:trHeight w:val="191"/>
        </w:trPr>
        <w:tc>
          <w:tcPr>
            <w:tcW w:w="3200" w:type="dxa"/>
            <w:vAlign w:val="bottom"/>
            <w:tcBorders>
              <w:bottom w:val="single" w:sz="8" w:color="auto"/>
            </w:tcBorders>
            <w:gridSpan w:val="3"/>
            <w:vMerge w:val="continue"/>
          </w:tcPr>
          <w:p>
            <w:pPr>
              <w:spacing w:after="0"/>
              <w:rPr>
                <w:sz w:val="16"/>
                <w:szCs w:val="16"/>
                <w:color w:val="auto"/>
              </w:rPr>
            </w:pPr>
          </w:p>
        </w:tc>
        <w:tc>
          <w:tcPr>
            <w:tcW w:w="254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189"/>
        </w:trPr>
        <w:tc>
          <w:tcPr>
            <w:tcW w:w="140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80" w:type="dxa"/>
            <w:vAlign w:val="bottom"/>
          </w:tcPr>
          <w:p>
            <w:pPr>
              <w:jc w:val="cente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20" w:type="dxa"/>
            <w:vAlign w:val="bottom"/>
            <w:gridSpan w:val="2"/>
          </w:tcPr>
          <w:p>
            <w:pPr>
              <w:jc w:val="center"/>
              <w:ind w:left="2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20" w:type="dxa"/>
            <w:vAlign w:val="bottom"/>
            <w:gridSpan w:val="2"/>
          </w:tcPr>
          <w:p>
            <w:pPr>
              <w:jc w:val="center"/>
              <w:ind w:left="24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3200" w:type="dxa"/>
            <w:vAlign w:val="bottom"/>
            <w:gridSpan w:val="3"/>
          </w:tcPr>
          <w:p>
            <w:pPr>
              <w:ind w:left="980"/>
              <w:spacing w:after="0"/>
              <w:rPr>
                <w:sz w:val="20"/>
                <w:szCs w:val="20"/>
                <w:color w:val="auto"/>
              </w:rPr>
            </w:pPr>
            <w:r>
              <w:rPr>
                <w:rFonts w:ascii="Arial" w:cs="Arial" w:eastAsia="Arial" w:hAnsi="Arial"/>
                <w:sz w:val="18"/>
                <w:szCs w:val="18"/>
                <w:color w:val="auto"/>
                <w:w w:val="95"/>
              </w:rPr>
              <w:t xml:space="preserve">6.7.2 </w:t>
            </w:r>
            <w:r>
              <w:rPr>
                <w:rFonts w:ascii="Arial" w:cs="Arial" w:eastAsia="Arial" w:hAnsi="Arial"/>
                <w:sz w:val="18"/>
                <w:szCs w:val="18"/>
                <w:b w:val="1"/>
                <w:bCs w:val="1"/>
                <w:color w:val="auto"/>
                <w:w w:val="95"/>
              </w:rPr>
              <w:t>Third Party Royalties</w:t>
            </w:r>
            <w:r>
              <w:rPr>
                <w:rFonts w:ascii="Arial" w:cs="Arial" w:eastAsia="Arial" w:hAnsi="Arial"/>
                <w:sz w:val="18"/>
                <w:szCs w:val="18"/>
                <w:color w:val="auto"/>
                <w:w w:val="95"/>
              </w:rPr>
              <w:t>.</w:t>
            </w:r>
          </w:p>
        </w:tc>
        <w:tc>
          <w:tcPr>
            <w:tcW w:w="25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180" w:firstLine="1428"/>
        <w:spacing w:after="0" w:line="258" w:lineRule="auto"/>
        <w:tabs>
          <w:tab w:leader="none" w:pos="1677" w:val="left"/>
        </w:tabs>
        <w:numPr>
          <w:ilvl w:val="1"/>
          <w:numId w:val="232"/>
        </w:numPr>
        <w:rPr>
          <w:rFonts w:ascii="Arial" w:cs="Arial" w:eastAsia="Arial" w:hAnsi="Arial"/>
          <w:sz w:val="18"/>
          <w:szCs w:val="18"/>
          <w:color w:val="auto"/>
        </w:rPr>
      </w:pPr>
      <w:r>
        <w:rPr>
          <w:rFonts w:ascii="Arial" w:cs="Arial" w:eastAsia="Arial" w:hAnsi="Arial"/>
          <w:sz w:val="18"/>
          <w:szCs w:val="18"/>
          <w:b w:val="1"/>
          <w:bCs w:val="1"/>
          <w:u w:val="single" w:color="auto"/>
          <w:color w:val="auto"/>
        </w:rPr>
        <w:t>Credit</w:t>
      </w:r>
      <w:r>
        <w:rPr>
          <w:rFonts w:ascii="Arial" w:cs="Arial" w:eastAsia="Arial" w:hAnsi="Arial"/>
          <w:sz w:val="18"/>
          <w:szCs w:val="18"/>
          <w:color w:val="auto"/>
        </w:rPr>
        <w:t>. If Merck pays a running royalty to an unrelated Third Party for a license from the Third Party to make, have made, use,</w:t>
      </w:r>
      <w:r>
        <w:rPr>
          <w:rFonts w:ascii="Arial" w:cs="Arial" w:eastAsia="Arial" w:hAnsi="Arial"/>
          <w:sz w:val="18"/>
          <w:szCs w:val="18"/>
          <w:b w:val="1"/>
          <w:bCs w:val="1"/>
          <w:color w:val="auto"/>
        </w:rPr>
        <w:t xml:space="preserve"> </w:t>
      </w:r>
      <w:r>
        <w:rPr>
          <w:rFonts w:ascii="Arial" w:cs="Arial" w:eastAsia="Arial" w:hAnsi="Arial"/>
          <w:sz w:val="18"/>
          <w:szCs w:val="18"/>
          <w:color w:val="auto"/>
        </w:rPr>
        <w:t>sell, or import a Product under a Necessary Patent or an Antibody Patent, then Merck shall have the right to credit such royalty against the royalty payable by Merck under Section 6.7.1 above, but only to the extent set forth in this Section 6.7.2 below. All such credits shall be applied, on a country-by-country and Product-by-Product basis, only against the royalty hereunder for the sale of the particular Product for which the Third Party royalty was paid.</w:t>
      </w:r>
    </w:p>
    <w:p>
      <w:pPr>
        <w:spacing w:after="0" w:line="79" w:lineRule="exact"/>
        <w:rPr>
          <w:rFonts w:ascii="Arial" w:cs="Arial" w:eastAsia="Arial" w:hAnsi="Arial"/>
          <w:sz w:val="18"/>
          <w:szCs w:val="18"/>
          <w:color w:val="auto"/>
        </w:rPr>
      </w:pPr>
    </w:p>
    <w:p>
      <w:pPr>
        <w:ind w:right="180" w:firstLine="987"/>
        <w:spacing w:after="0" w:line="277" w:lineRule="auto"/>
        <w:tabs>
          <w:tab w:leader="none" w:pos="124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amount of such credits for licenses under the Necessary Patents shall equal [***] of the running royalties actually paid by Merck for the sale of the applicable Product under such a license.</w:t>
      </w:r>
    </w:p>
    <w:p>
      <w:pPr>
        <w:spacing w:after="0" w:line="62" w:lineRule="exact"/>
        <w:rPr>
          <w:rFonts w:ascii="Arial" w:cs="Arial" w:eastAsia="Arial" w:hAnsi="Arial"/>
          <w:sz w:val="18"/>
          <w:szCs w:val="18"/>
          <w:color w:val="auto"/>
        </w:rPr>
      </w:pPr>
    </w:p>
    <w:p>
      <w:pPr>
        <w:ind w:right="500" w:firstLine="987"/>
        <w:spacing w:after="0" w:line="277" w:lineRule="auto"/>
        <w:tabs>
          <w:tab w:leader="none" w:pos="124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amount of such credits for licenses under the Antibody Patents shall equal [***] of the running royalties actually paid by the Merck for the sale of the applicable Product under such a license, but in no event greater than [***].</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0" w:right="439" w:bottom="1440" w:gutter="0" w:footer="0" w:header="0"/>
        </w:sectPr>
      </w:pPr>
    </w:p>
    <w:bookmarkStart w:id="347" w:name="page348"/>
    <w:bookmarkEnd w:id="347"/>
    <w:p>
      <w:pPr>
        <w:ind w:right="8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ind w:right="300" w:firstLine="1979"/>
        <w:spacing w:after="0" w:line="263" w:lineRule="auto"/>
        <w:tabs>
          <w:tab w:leader="none" w:pos="223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under no circumstances shall any credit under this Section 6.7.2 reduce [***]; in each case regardless of the number of Third Party licenses, Necessary Patents, Antibody Patents and running royalties paid to Third Parties with respect thereto.</w:t>
      </w:r>
    </w:p>
    <w:p>
      <w:pPr>
        <w:spacing w:after="0" w:line="75" w:lineRule="exact"/>
        <w:rPr>
          <w:rFonts w:ascii="Arial" w:cs="Arial" w:eastAsia="Arial" w:hAnsi="Arial"/>
          <w:sz w:val="18"/>
          <w:szCs w:val="18"/>
          <w:color w:val="auto"/>
        </w:rPr>
      </w:pPr>
    </w:p>
    <w:p>
      <w:pPr>
        <w:ind w:right="760" w:firstLine="1979"/>
        <w:spacing w:after="0" w:line="308" w:lineRule="auto"/>
        <w:tabs>
          <w:tab w:leader="none" w:pos="2238" w:val="left"/>
        </w:tabs>
        <w:numPr>
          <w:ilvl w:val="1"/>
          <w:numId w:val="234"/>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under no circumstances shall any credit under this Section 6.7.2 reduce the royalty payable under Section 6.7.1(b) by more than [***] of the royalty otherwise due Acumen.</w:t>
      </w:r>
    </w:p>
    <w:p>
      <w:pPr>
        <w:spacing w:after="0" w:line="38" w:lineRule="exact"/>
        <w:rPr>
          <w:rFonts w:ascii="Arial" w:cs="Arial" w:eastAsia="Arial" w:hAnsi="Arial"/>
          <w:sz w:val="17"/>
          <w:szCs w:val="17"/>
          <w:color w:val="auto"/>
        </w:rPr>
      </w:pPr>
    </w:p>
    <w:p>
      <w:pPr>
        <w:ind w:firstLine="1979"/>
        <w:spacing w:after="0" w:line="254" w:lineRule="auto"/>
        <w:tabs>
          <w:tab w:leader="none" w:pos="223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For clarity, it is understood that running royalties with respect to any Necessary Patent or Antibody Patent shall not include any license issuance fees (such as up front or other lump sum payments), cost sharing or reimbursement, milestone payments, service or consulting fees, purchases, non-cash consideration, amounts paid for equity or securities, dividends, profit distributions, amounts paid for facilities or equipment, or any other payment or consideration which is not expressly identified in the written agreement between Merck and the Third Party licensor as a running royalty in respect of a license under the applicable Necessary Patent or Antibody Patent for the sale of the particular Product in the particular country. All running royalties credited pursuant to this Section 6.7.2 shall be net of all applicable taxes and other amounts credited or deducted against the royalties actually paid for the license.</w:t>
      </w:r>
    </w:p>
    <w:p>
      <w:pPr>
        <w:spacing w:after="0" w:line="82" w:lineRule="exact"/>
        <w:rPr>
          <w:rFonts w:ascii="Arial" w:cs="Arial" w:eastAsia="Arial" w:hAnsi="Arial"/>
          <w:sz w:val="18"/>
          <w:szCs w:val="18"/>
          <w:color w:val="auto"/>
        </w:rPr>
      </w:pPr>
    </w:p>
    <w:p>
      <w:pPr>
        <w:ind w:right="20" w:firstLine="1428"/>
        <w:spacing w:after="0" w:line="292" w:lineRule="auto"/>
        <w:tabs>
          <w:tab w:leader="none" w:pos="1687" w:val="left"/>
        </w:tabs>
        <w:numPr>
          <w:ilvl w:val="0"/>
          <w:numId w:val="235"/>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For purposes of this Section 6.7.2, (i) “</w:t>
      </w:r>
      <w:r>
        <w:rPr>
          <w:rFonts w:ascii="Arial" w:cs="Arial" w:eastAsia="Arial" w:hAnsi="Arial"/>
          <w:sz w:val="16"/>
          <w:szCs w:val="16"/>
          <w:b w:val="1"/>
          <w:bCs w:val="1"/>
          <w:color w:val="auto"/>
        </w:rPr>
        <w:t>Antibody Patent</w:t>
      </w:r>
      <w:r>
        <w:rPr>
          <w:rFonts w:ascii="Arial" w:cs="Arial" w:eastAsia="Arial" w:hAnsi="Arial"/>
          <w:sz w:val="16"/>
          <w:szCs w:val="16"/>
          <w:color w:val="auto"/>
        </w:rPr>
        <w:t>” shall mean, with respect to a particular Product, a valid</w:t>
      </w:r>
      <w:r>
        <w:rPr>
          <w:rFonts w:ascii="Arial" w:cs="Arial" w:eastAsia="Arial" w:hAnsi="Arial"/>
          <w:sz w:val="16"/>
          <w:szCs w:val="16"/>
          <w:b w:val="1"/>
          <w:bCs w:val="1"/>
          <w:color w:val="auto"/>
        </w:rPr>
        <w:t xml:space="preserve"> </w:t>
      </w:r>
      <w:r>
        <w:rPr>
          <w:rFonts w:ascii="Arial" w:cs="Arial" w:eastAsia="Arial" w:hAnsi="Arial"/>
          <w:sz w:val="16"/>
          <w:szCs w:val="16"/>
          <w:color w:val="auto"/>
        </w:rPr>
        <w:t>patent claim of an issued, unexpired patent in that country that would, absent a license from the unrelated Third Party under such valid patent claim, be infringed by [***]; and (ii) “</w:t>
      </w:r>
      <w:r>
        <w:rPr>
          <w:rFonts w:ascii="Arial" w:cs="Arial" w:eastAsia="Arial" w:hAnsi="Arial"/>
          <w:sz w:val="16"/>
          <w:szCs w:val="16"/>
          <w:b w:val="1"/>
          <w:bCs w:val="1"/>
          <w:color w:val="auto"/>
        </w:rPr>
        <w:t>Necessary Patent</w:t>
      </w:r>
      <w:r>
        <w:rPr>
          <w:rFonts w:ascii="Arial" w:cs="Arial" w:eastAsia="Arial" w:hAnsi="Arial"/>
          <w:sz w:val="16"/>
          <w:szCs w:val="16"/>
          <w:color w:val="auto"/>
        </w:rPr>
        <w:t>” shall mean, with respect to a particular Product sold in a country, a valid patent claim of an issued, unexpired patent in that country [***] and that would, absent a license from the unrelated Third Party under such valid patent claim, be infringed [***]. As used in this Section 6.7.2(b), (X) “infringed” [***]; and (Y) “valid patent claim” shall have the meaning set forth in Section 1.59, [***] rather than the Patent Rights identified in Section 1.59. As used herein, it is understood that if any Antibody Patents are licensed from an entity, then any Necessary Patents also licensed from such entity and its Affiliates shall be deemed to be Antibody Patents for purposes of Section 6.7.2(a) above.</w:t>
      </w:r>
    </w:p>
    <w:p>
      <w:pPr>
        <w:spacing w:after="0" w:line="53" w:lineRule="exact"/>
        <w:rPr>
          <w:sz w:val="20"/>
          <w:szCs w:val="20"/>
          <w:color w:val="auto"/>
        </w:rPr>
      </w:pPr>
    </w:p>
    <w:p>
      <w:pPr>
        <w:ind w:right="120" w:firstLine="991"/>
        <w:spacing w:after="0" w:line="261" w:lineRule="auto"/>
        <w:rPr>
          <w:sz w:val="20"/>
          <w:szCs w:val="20"/>
          <w:color w:val="auto"/>
        </w:rPr>
      </w:pPr>
      <w:r>
        <w:rPr>
          <w:rFonts w:ascii="Arial" w:cs="Arial" w:eastAsia="Arial" w:hAnsi="Arial"/>
          <w:sz w:val="18"/>
          <w:szCs w:val="18"/>
          <w:color w:val="auto"/>
        </w:rPr>
        <w:t xml:space="preserve">6.7.3 </w:t>
      </w:r>
      <w:r>
        <w:rPr>
          <w:rFonts w:ascii="Arial" w:cs="Arial" w:eastAsia="Arial" w:hAnsi="Arial"/>
          <w:sz w:val="18"/>
          <w:szCs w:val="18"/>
          <w:b w:val="1"/>
          <w:bCs w:val="1"/>
          <w:u w:val="single" w:color="auto"/>
          <w:color w:val="auto"/>
        </w:rPr>
        <w:t>Know-How Royalties</w:t>
      </w:r>
      <w:r>
        <w:rPr>
          <w:rFonts w:ascii="Arial" w:cs="Arial" w:eastAsia="Arial" w:hAnsi="Arial"/>
          <w:sz w:val="18"/>
          <w:szCs w:val="18"/>
          <w:color w:val="auto"/>
        </w:rPr>
        <w:t xml:space="preserve">. Notwithstanding the provisions of Section 6.7.1 above, if neither the use nor sale of a Product during a Calendar Quarter would infringe a Valid Patent Claim in the country in which the Product is sold, then Merck shall pay royalty rates on such Product that shall be set at [***] of the royalty rate determined according to Section 6.7.1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under no circumstances shall the royalty rate for any Product be less than [***] as a result of this Section 6.7.3.</w:t>
      </w:r>
    </w:p>
    <w:p>
      <w:pPr>
        <w:spacing w:after="0" w:line="72" w:lineRule="exact"/>
        <w:rPr>
          <w:sz w:val="20"/>
          <w:szCs w:val="20"/>
          <w:color w:val="auto"/>
        </w:rPr>
      </w:pPr>
    </w:p>
    <w:p>
      <w:pPr>
        <w:ind w:right="20" w:firstLine="991"/>
        <w:spacing w:after="0" w:line="277" w:lineRule="auto"/>
        <w:rPr>
          <w:sz w:val="20"/>
          <w:szCs w:val="20"/>
          <w:color w:val="auto"/>
        </w:rPr>
      </w:pPr>
      <w:r>
        <w:rPr>
          <w:rFonts w:ascii="Arial" w:cs="Arial" w:eastAsia="Arial" w:hAnsi="Arial"/>
          <w:sz w:val="17"/>
          <w:szCs w:val="17"/>
          <w:color w:val="auto"/>
        </w:rPr>
        <w:t xml:space="preserve">6.7.4 </w:t>
      </w:r>
      <w:r>
        <w:rPr>
          <w:rFonts w:ascii="Arial" w:cs="Arial" w:eastAsia="Arial" w:hAnsi="Arial"/>
          <w:sz w:val="17"/>
          <w:szCs w:val="17"/>
          <w:b w:val="1"/>
          <w:bCs w:val="1"/>
          <w:u w:val="single" w:color="auto"/>
          <w:color w:val="auto"/>
        </w:rPr>
        <w:t>Coordination of Sections 6.7.1, 6.7.2 and 6.7.3</w:t>
      </w:r>
      <w:r>
        <w:rPr>
          <w:rFonts w:ascii="Arial" w:cs="Arial" w:eastAsia="Arial" w:hAnsi="Arial"/>
          <w:sz w:val="17"/>
          <w:szCs w:val="17"/>
          <w:color w:val="auto"/>
        </w:rPr>
        <w:t xml:space="preserve">. Royalty tiers pursuant to this Section 6.7 shall be calculated based on worldwide Net Sales of each Product,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determination of whether the royalty shall be calculated under 6.7.1, 6.7.2 or 6.7.3 for each Product shall be determined on a country-by-country basis. Accordingly, Net Sales under Section 6.7.3 shall be included in the total annual Net Sales for purposes of determining the royalty tiers applicable to Net Sales under Section 6.7.1, and if more than one royalty rate applies under Section 6.7.1, then the Net Sales described in Section 6.7.3 shall be applied proportionally to each such annual royalty tier.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0" w:right="479" w:bottom="1440" w:gutter="0" w:footer="0" w:header="0"/>
        </w:sectPr>
      </w:pPr>
    </w:p>
    <w:bookmarkStart w:id="348" w:name="page349"/>
    <w:bookmarkEnd w:id="348"/>
    <w:p>
      <w:pPr>
        <w:ind w:left="4"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left="4" w:right="80" w:firstLine="991"/>
        <w:spacing w:after="0" w:line="293" w:lineRule="auto"/>
        <w:rPr>
          <w:sz w:val="20"/>
          <w:szCs w:val="20"/>
          <w:color w:val="auto"/>
        </w:rPr>
      </w:pPr>
      <w:r>
        <w:rPr>
          <w:rFonts w:ascii="Arial" w:cs="Arial" w:eastAsia="Arial" w:hAnsi="Arial"/>
          <w:sz w:val="16"/>
          <w:szCs w:val="16"/>
          <w:color w:val="auto"/>
        </w:rPr>
        <w:t xml:space="preserve">6.7.5 </w:t>
      </w:r>
      <w:r>
        <w:rPr>
          <w:rFonts w:ascii="Arial" w:cs="Arial" w:eastAsia="Arial" w:hAnsi="Arial"/>
          <w:sz w:val="16"/>
          <w:szCs w:val="16"/>
          <w:b w:val="1"/>
          <w:bCs w:val="1"/>
          <w:u w:val="single" w:color="auto"/>
          <w:color w:val="auto"/>
        </w:rPr>
        <w:t>Retroactive Lump-Sum Payment of Royalties</w:t>
      </w:r>
      <w:r>
        <w:rPr>
          <w:rFonts w:ascii="Arial" w:cs="Arial" w:eastAsia="Arial" w:hAnsi="Arial"/>
          <w:sz w:val="16"/>
          <w:szCs w:val="16"/>
          <w:color w:val="auto"/>
        </w:rPr>
        <w:t>. In the event that: (i) a claim under the Acumen Patent Rights, Merck Patent Rights or Joint Patent Rights is published in a country of sale and such claim, or a substantially similar claim, subsequently becomes a Valid Patent Claim; and</w:t>
      </w:r>
    </w:p>
    <w:p>
      <w:pPr>
        <w:spacing w:after="0" w:line="1" w:lineRule="exact"/>
        <w:rPr>
          <w:sz w:val="20"/>
          <w:szCs w:val="20"/>
          <w:color w:val="auto"/>
        </w:rPr>
      </w:pPr>
    </w:p>
    <w:p>
      <w:pPr>
        <w:ind w:left="4" w:right="440" w:hanging="4"/>
        <w:spacing w:after="0" w:line="260" w:lineRule="auto"/>
        <w:tabs>
          <w:tab w:leader="none" w:pos="26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Merck has, prior to the issuance of such Valid Patent Claim, paid Acumen royalties on Net Sales in such country at the reduced rate set forth in Section 6.7.3; the remaining provisions of this Section 6.7.5 shall apply.</w:t>
      </w:r>
    </w:p>
    <w:p>
      <w:pPr>
        <w:spacing w:after="0" w:line="77" w:lineRule="exact"/>
        <w:rPr>
          <w:rFonts w:ascii="Arial" w:cs="Arial" w:eastAsia="Arial" w:hAnsi="Arial"/>
          <w:sz w:val="18"/>
          <w:szCs w:val="18"/>
          <w:color w:val="auto"/>
        </w:rPr>
      </w:pPr>
    </w:p>
    <w:p>
      <w:pPr>
        <w:jc w:val="both"/>
        <w:ind w:left="4" w:firstLine="1428"/>
        <w:spacing w:after="0" w:line="263" w:lineRule="auto"/>
        <w:tabs>
          <w:tab w:leader="none" w:pos="1681"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Acumen shall notify Merck of the issuance of such Valid Patent Claim if it is included in Acumen Patent Rights being prosecuted by Acumen, and Merck shall notify Acumen upon the issuance of the Valid Patent Claim if it is included in a Merck Patent Right, Acumen Patent Right or Joint Patent Right being prosecuted by Merck.</w:t>
      </w:r>
    </w:p>
    <w:p>
      <w:pPr>
        <w:spacing w:after="0" w:line="75" w:lineRule="exact"/>
        <w:rPr>
          <w:rFonts w:ascii="Arial" w:cs="Arial" w:eastAsia="Arial" w:hAnsi="Arial"/>
          <w:sz w:val="18"/>
          <w:szCs w:val="18"/>
          <w:color w:val="auto"/>
        </w:rPr>
      </w:pPr>
    </w:p>
    <w:p>
      <w:pPr>
        <w:ind w:left="1684" w:hanging="252"/>
        <w:spacing w:after="0"/>
        <w:tabs>
          <w:tab w:leader="none" w:pos="1684" w:val="left"/>
        </w:tabs>
        <w:numPr>
          <w:ilvl w:val="1"/>
          <w:numId w:val="236"/>
        </w:numPr>
        <w:rPr>
          <w:rFonts w:ascii="Arial" w:cs="Arial" w:eastAsia="Arial" w:hAnsi="Arial"/>
          <w:sz w:val="16"/>
          <w:szCs w:val="16"/>
          <w:color w:val="auto"/>
        </w:rPr>
      </w:pPr>
      <w:r>
        <w:rPr>
          <w:rFonts w:ascii="Arial" w:cs="Arial" w:eastAsia="Arial" w:hAnsi="Arial"/>
          <w:sz w:val="16"/>
          <w:szCs w:val="16"/>
          <w:color w:val="auto"/>
        </w:rPr>
        <w:t>For royalty payments due after the date of such notice, Merck shall pay the applicable royalty payable pursuant to Section 6.7.1</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or 6.7.2.</w:t>
      </w:r>
    </w:p>
    <w:p>
      <w:pPr>
        <w:spacing w:after="0" w:line="102" w:lineRule="exact"/>
        <w:rPr>
          <w:rFonts w:ascii="Arial" w:cs="Arial" w:eastAsia="Arial" w:hAnsi="Arial"/>
          <w:sz w:val="16"/>
          <w:szCs w:val="16"/>
          <w:color w:val="auto"/>
        </w:rPr>
      </w:pPr>
    </w:p>
    <w:p>
      <w:pPr>
        <w:ind w:left="4" w:right="40" w:firstLine="1428"/>
        <w:spacing w:after="0" w:line="254" w:lineRule="auto"/>
        <w:tabs>
          <w:tab w:leader="none" w:pos="1681" w:val="left"/>
        </w:tabs>
        <w:numPr>
          <w:ilvl w:val="1"/>
          <w:numId w:val="236"/>
        </w:numPr>
        <w:rPr>
          <w:rFonts w:ascii="Arial" w:cs="Arial" w:eastAsia="Arial" w:hAnsi="Arial"/>
          <w:sz w:val="18"/>
          <w:szCs w:val="18"/>
          <w:color w:val="auto"/>
        </w:rPr>
      </w:pPr>
      <w:r>
        <w:rPr>
          <w:rFonts w:ascii="Arial" w:cs="Arial" w:eastAsia="Arial" w:hAnsi="Arial"/>
          <w:sz w:val="18"/>
          <w:szCs w:val="18"/>
          <w:color w:val="auto"/>
        </w:rPr>
        <w:t>Merck shall, within [***] days of such notice, retroactively pay to Acumen a lump sum equal to the difference between the royalty rate actually paid pursuant to Section 6.7.3 and the royalty rate that would have been payable pursuant to Section 6.7.1 or 6.7.2 for the Period, as such term is defined herein, had the Valid Patent Claim been issued. The “</w:t>
      </w:r>
      <w:r>
        <w:rPr>
          <w:rFonts w:ascii="Arial" w:cs="Arial" w:eastAsia="Arial" w:hAnsi="Arial"/>
          <w:sz w:val="18"/>
          <w:szCs w:val="18"/>
          <w:b w:val="1"/>
          <w:bCs w:val="1"/>
          <w:color w:val="auto"/>
        </w:rPr>
        <w:t>Period</w:t>
      </w:r>
      <w:r>
        <w:rPr>
          <w:rFonts w:ascii="Arial" w:cs="Arial" w:eastAsia="Arial" w:hAnsi="Arial"/>
          <w:sz w:val="18"/>
          <w:szCs w:val="18"/>
          <w:color w:val="auto"/>
        </w:rPr>
        <w:t>” shall commence on the latest of the following dates: (1) the date of the First Commercial Sale in such country; (2) the date of first publication in the country of sale of the claim corresponding to the Valid Patent Claim; and (3) the most recent royalty payment that was due and payable more than [***] full Calendar Quarters prior to the date of the notice under Section 6.7.5(a); and shall end with the royalty payment that is due and payable within [***] days after the Calendar Quarter in which such notice was given.</w:t>
      </w:r>
    </w:p>
    <w:p>
      <w:pPr>
        <w:spacing w:after="0" w:line="83" w:lineRule="exact"/>
        <w:rPr>
          <w:sz w:val="20"/>
          <w:szCs w:val="20"/>
          <w:color w:val="auto"/>
        </w:rPr>
      </w:pPr>
    </w:p>
    <w:p>
      <w:pPr>
        <w:jc w:val="both"/>
        <w:ind w:left="4" w:right="140" w:firstLine="991"/>
        <w:spacing w:after="0" w:line="266" w:lineRule="auto"/>
        <w:rPr>
          <w:sz w:val="20"/>
          <w:szCs w:val="20"/>
          <w:color w:val="auto"/>
        </w:rPr>
      </w:pPr>
      <w:r>
        <w:rPr>
          <w:rFonts w:ascii="Arial" w:cs="Arial" w:eastAsia="Arial" w:hAnsi="Arial"/>
          <w:sz w:val="18"/>
          <w:szCs w:val="18"/>
          <w:color w:val="auto"/>
        </w:rPr>
        <w:t xml:space="preserve">6.7.6 </w:t>
      </w:r>
      <w:r>
        <w:rPr>
          <w:rFonts w:ascii="Arial" w:cs="Arial" w:eastAsia="Arial" w:hAnsi="Arial"/>
          <w:sz w:val="18"/>
          <w:szCs w:val="18"/>
          <w:b w:val="1"/>
          <w:bCs w:val="1"/>
          <w:u w:val="single" w:color="auto"/>
          <w:color w:val="auto"/>
        </w:rPr>
        <w:t>Royalty Term</w:t>
      </w:r>
      <w:r>
        <w:rPr>
          <w:rFonts w:ascii="Arial" w:cs="Arial" w:eastAsia="Arial" w:hAnsi="Arial"/>
          <w:sz w:val="18"/>
          <w:szCs w:val="18"/>
          <w:color w:val="auto"/>
        </w:rPr>
        <w:t>. The royalties payable pursuant to this Section 6.7 shall be payable on a country-by-country and Product-by-Product basis until the date which is the later of: (i) the expiration of the last to expire Valid Patent Claim covering such Product in such country, or (ii) ten (10) years following the First Commercial Sale of such Product in such country.</w:t>
      </w:r>
    </w:p>
    <w:p>
      <w:pPr>
        <w:spacing w:after="0" w:line="68" w:lineRule="exact"/>
        <w:rPr>
          <w:sz w:val="20"/>
          <w:szCs w:val="20"/>
          <w:color w:val="auto"/>
        </w:rPr>
      </w:pPr>
    </w:p>
    <w:p>
      <w:pPr>
        <w:ind w:left="4" w:firstLine="991"/>
        <w:spacing w:after="0" w:line="256" w:lineRule="auto"/>
        <w:rPr>
          <w:sz w:val="20"/>
          <w:szCs w:val="20"/>
          <w:color w:val="auto"/>
        </w:rPr>
      </w:pPr>
      <w:r>
        <w:rPr>
          <w:rFonts w:ascii="Arial" w:cs="Arial" w:eastAsia="Arial" w:hAnsi="Arial"/>
          <w:sz w:val="18"/>
          <w:szCs w:val="18"/>
          <w:color w:val="auto"/>
        </w:rPr>
        <w:t xml:space="preserve">6.7.7 </w:t>
      </w:r>
      <w:r>
        <w:rPr>
          <w:rFonts w:ascii="Arial" w:cs="Arial" w:eastAsia="Arial" w:hAnsi="Arial"/>
          <w:sz w:val="18"/>
          <w:szCs w:val="18"/>
          <w:b w:val="1"/>
          <w:bCs w:val="1"/>
          <w:u w:val="single" w:color="auto"/>
          <w:color w:val="auto"/>
        </w:rPr>
        <w:t>One Royalty; Samples and Donations</w:t>
      </w:r>
      <w:r>
        <w:rPr>
          <w:rFonts w:ascii="Arial" w:cs="Arial" w:eastAsia="Arial" w:hAnsi="Arial"/>
          <w:sz w:val="18"/>
          <w:szCs w:val="18"/>
          <w:color w:val="auto"/>
        </w:rPr>
        <w:t>. One royalty shall be payable for each unit of Product under this Agreement, and no royalties shall be due upon the sale or other transfer among Merck, its Affiliates or Sublicensees for Product resold to an independent Third Party, but in such cases the royalty shall be due and calculated upon Merck’s, its Affiliate’s or Sublicensee’s Net Sales to the first independent Third Party. No royalties shall accrue on the disposition of Product without charge in reasonable quantities by Merck or its Affiliates or Sublicensees which are used in Clinical Trials, as samples (promotion or otherwise) or as donations (for example, to non-profit institutions or government agencies for a non-commercial purpose).</w:t>
      </w:r>
    </w:p>
    <w:p>
      <w:pPr>
        <w:spacing w:after="0" w:line="79" w:lineRule="exact"/>
        <w:rPr>
          <w:sz w:val="20"/>
          <w:szCs w:val="20"/>
          <w:color w:val="auto"/>
        </w:rPr>
      </w:pPr>
    </w:p>
    <w:p>
      <w:pPr>
        <w:ind w:left="4" w:right="200" w:firstLine="991"/>
        <w:spacing w:after="0" w:line="281" w:lineRule="auto"/>
        <w:rPr>
          <w:sz w:val="20"/>
          <w:szCs w:val="20"/>
          <w:color w:val="auto"/>
        </w:rPr>
      </w:pPr>
      <w:r>
        <w:rPr>
          <w:rFonts w:ascii="Arial" w:cs="Arial" w:eastAsia="Arial" w:hAnsi="Arial"/>
          <w:sz w:val="17"/>
          <w:szCs w:val="17"/>
          <w:color w:val="auto"/>
        </w:rPr>
        <w:t xml:space="preserve">6.7.8 </w:t>
      </w:r>
      <w:r>
        <w:rPr>
          <w:rFonts w:ascii="Arial" w:cs="Arial" w:eastAsia="Arial" w:hAnsi="Arial"/>
          <w:sz w:val="17"/>
          <w:szCs w:val="17"/>
          <w:b w:val="1"/>
          <w:bCs w:val="1"/>
          <w:u w:val="single" w:color="auto"/>
          <w:color w:val="auto"/>
        </w:rPr>
        <w:t>Change in Sales Practices</w:t>
      </w:r>
      <w:r>
        <w:rPr>
          <w:rFonts w:ascii="Arial" w:cs="Arial" w:eastAsia="Arial" w:hAnsi="Arial"/>
          <w:sz w:val="17"/>
          <w:szCs w:val="17"/>
          <w:color w:val="auto"/>
        </w:rPr>
        <w:t>. The Parties acknowledge that during the term of this Agreement, Merck may desire to change its sales practices for the marketing and distribution of Product to the extent to which the calculation of the payment for royalties on Net Sales may become impractical or even impossible. In such event the Parties agree to meet and discuss in good faith new ways of compensating Acumen to the extent currently contemplated under this Section 6.7 in a manner that does not disadvantage Acumen; [***]</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0" w:right="459" w:bottom="1440" w:gutter="0" w:footer="0" w:header="0"/>
        </w:sectPr>
      </w:pPr>
    </w:p>
    <w:bookmarkStart w:id="349" w:name="page350"/>
    <w:bookmarkEnd w:id="349"/>
    <w:p>
      <w:pPr>
        <w:ind w:right="8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right="220" w:firstLine="991"/>
        <w:spacing w:after="0" w:line="266" w:lineRule="auto"/>
        <w:rPr>
          <w:sz w:val="20"/>
          <w:szCs w:val="20"/>
          <w:color w:val="auto"/>
        </w:rPr>
      </w:pPr>
      <w:r>
        <w:rPr>
          <w:rFonts w:ascii="Arial" w:cs="Arial" w:eastAsia="Arial" w:hAnsi="Arial"/>
          <w:sz w:val="18"/>
          <w:szCs w:val="18"/>
          <w:color w:val="auto"/>
        </w:rPr>
        <w:t xml:space="preserve">6.7.9 </w:t>
      </w:r>
      <w:r>
        <w:rPr>
          <w:rFonts w:ascii="Arial" w:cs="Arial" w:eastAsia="Arial" w:hAnsi="Arial"/>
          <w:sz w:val="18"/>
          <w:szCs w:val="18"/>
          <w:b w:val="1"/>
          <w:bCs w:val="1"/>
          <w:u w:val="single" w:color="auto"/>
          <w:color w:val="auto"/>
        </w:rPr>
        <w:t>Royalties for Bulk Product</w:t>
      </w:r>
      <w:r>
        <w:rPr>
          <w:rFonts w:ascii="Arial" w:cs="Arial" w:eastAsia="Arial" w:hAnsi="Arial"/>
          <w:sz w:val="18"/>
          <w:szCs w:val="18"/>
          <w:color w:val="auto"/>
        </w:rPr>
        <w:t>. In those cases where Merck, its Affiliate or Sublicensee sells Product to a Third Party (other than a Sublicensee) in other than finished and packaged form, the royalty obligations of this Section 6.7 shall be applicable to the Net Sales from the sale by Merck, the Affiliate, or the Sublicensee of bulk Product.</w:t>
      </w:r>
    </w:p>
    <w:p>
      <w:pPr>
        <w:spacing w:after="0" w:line="68" w:lineRule="exact"/>
        <w:rPr>
          <w:sz w:val="20"/>
          <w:szCs w:val="20"/>
          <w:color w:val="auto"/>
        </w:rPr>
      </w:pPr>
    </w:p>
    <w:p>
      <w:pPr>
        <w:ind w:right="60" w:firstLine="991"/>
        <w:spacing w:after="0" w:line="258" w:lineRule="auto"/>
        <w:rPr>
          <w:sz w:val="20"/>
          <w:szCs w:val="20"/>
          <w:color w:val="auto"/>
        </w:rPr>
      </w:pPr>
      <w:r>
        <w:rPr>
          <w:rFonts w:ascii="Arial" w:cs="Arial" w:eastAsia="Arial" w:hAnsi="Arial"/>
          <w:sz w:val="18"/>
          <w:szCs w:val="18"/>
          <w:color w:val="auto"/>
        </w:rPr>
        <w:t xml:space="preserve">6.7.10 </w:t>
      </w:r>
      <w:r>
        <w:rPr>
          <w:rFonts w:ascii="Arial" w:cs="Arial" w:eastAsia="Arial" w:hAnsi="Arial"/>
          <w:sz w:val="18"/>
          <w:szCs w:val="18"/>
          <w:b w:val="1"/>
          <w:bCs w:val="1"/>
          <w:u w:val="single" w:color="auto"/>
          <w:color w:val="auto"/>
        </w:rPr>
        <w:t>Compulsory Licenses</w:t>
      </w:r>
      <w:r>
        <w:rPr>
          <w:rFonts w:ascii="Arial" w:cs="Arial" w:eastAsia="Arial" w:hAnsi="Arial"/>
          <w:sz w:val="18"/>
          <w:szCs w:val="18"/>
          <w:color w:val="auto"/>
        </w:rPr>
        <w:t>. To the extent that Merck is required by the laws or regulations in any country in the Territory to grant a license under the Valid Patent Claims to a Third Party to make and sell Product in such country in the Territory, and to the extent that such laws and regulations require Merck to grant such license with a royalty rate that is lower than the royalty rate provided by this Section 6.7 above, then the royalty rate to be paid by Merck under this Section 6.7 on such Sublicensee’s Net Sales from sales of such Product under such license in that country shall be reduced to the rate paid by the compulsory Sublicensee.</w:t>
      </w:r>
    </w:p>
    <w:p>
      <w:pPr>
        <w:spacing w:after="0" w:line="7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b w:val="1"/>
          <w:bCs w:val="1"/>
          <w:u w:val="single" w:color="auto"/>
          <w:color w:val="auto"/>
        </w:rPr>
        <w:t>Bundled Sales</w:t>
      </w:r>
      <w:r>
        <w:rPr>
          <w:rFonts w:ascii="Arial" w:cs="Arial" w:eastAsia="Arial" w:hAnsi="Arial"/>
          <w:sz w:val="17"/>
          <w:szCs w:val="17"/>
          <w:color w:val="auto"/>
        </w:rPr>
        <w:t>. In the event that Merck, its Affiliate or Sublicensee sells Products to a Third Party to whom it also sells other products, the price for the Product shall not be established such that Net Sales is below fair market value with the intent of increasing market share for other products sold by Merck or its Affiliate to such Third Party or for the purpose of reducing the amount of royalty payable on the Net Sales from the sale of the Product. If the sale of the Product under such circumstances results in Net Sales below the fair market value for such Product, then the Net Sales of the Product in such transaction shall be deemed to be such fair market value for purposes of calculating payments owed to Acumen under this Agreement. In the event that the Parties hereto have been unable to agree upon such a fair market value, then upon the request of either Party such matter shall be resolved in accordance with Section 14.2 below. For purposes of this Section, “fair market value” shall be determined with relation to a particular country, market segment, indication, finished dosage form, the existence of competition, and other relevant factors, and will change over time, reflecting among other things changes in the status of the Product in its life cycle and the market(s) involved.</w:t>
      </w:r>
    </w:p>
    <w:p>
      <w:pPr>
        <w:spacing w:after="0" w:line="66" w:lineRule="exact"/>
        <w:rPr>
          <w:sz w:val="20"/>
          <w:szCs w:val="20"/>
          <w:color w:val="auto"/>
        </w:rPr>
      </w:pPr>
    </w:p>
    <w:p>
      <w:pPr>
        <w:ind w:right="280" w:firstLine="440"/>
        <w:spacing w:after="0" w:line="347"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b w:val="1"/>
          <w:bCs w:val="1"/>
          <w:u w:val="single" w:color="auto"/>
          <w:color w:val="auto"/>
        </w:rPr>
        <w:t>Other</w:t>
      </w:r>
      <w:r>
        <w:rPr>
          <w:rFonts w:ascii="Arial" w:cs="Arial" w:eastAsia="Arial" w:hAnsi="Arial"/>
          <w:sz w:val="16"/>
          <w:szCs w:val="16"/>
          <w:color w:val="auto"/>
        </w:rPr>
        <w:t>. Except as explicitly set forth in this Article 6, all payments under this Article 6 shall be non-refundable (except solely in the case of overpayment) and non-creditable against other amounts due or payable to Acumen under this Article 6 or otherwise under this Agreement.</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PAYMENTS, BOOKS AND RECORDS</w:t>
      </w:r>
    </w:p>
    <w:p>
      <w:pPr>
        <w:spacing w:after="0" w:line="99"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Royalty Reports and Payments</w:t>
      </w:r>
      <w:r>
        <w:rPr>
          <w:rFonts w:ascii="Arial" w:cs="Arial" w:eastAsia="Arial" w:hAnsi="Arial"/>
          <w:sz w:val="18"/>
          <w:szCs w:val="18"/>
          <w:color w:val="auto"/>
        </w:rPr>
        <w:t>. After the first sale of a Product on which royalties are payable hereunder, Merck shall make quarterly written reports to Acumen within [***] days after the end of each Calendar Quarter, stating in each such report, the aggregate Net Sales, by country, of each such Product sold during the Calendar Quarter. Concurrently with the making of such reports, Merck shall pay to Acumen royalties due at the rates specified in Section 6.7.</w:t>
      </w:r>
    </w:p>
    <w:p>
      <w:pPr>
        <w:spacing w:after="0" w:line="72"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u w:val="single" w:color="auto"/>
          <w:color w:val="auto"/>
        </w:rPr>
        <w:t>Payment Method</w:t>
      </w:r>
      <w:r>
        <w:rPr>
          <w:rFonts w:ascii="Arial" w:cs="Arial" w:eastAsia="Arial" w:hAnsi="Arial"/>
          <w:sz w:val="18"/>
          <w:szCs w:val="18"/>
          <w:color w:val="auto"/>
        </w:rPr>
        <w:t>. All payments due under this Agreement shall be made by bank wire transfer in immediately available funds to a bank account designated by Acumen. All payments hereunder shall be made in U.S. Dollars. Any payments or portions thereof due hereunder which are not paid when due shall bear interest equal to the lesser of (i) the prime rate as reported by the Chase Manhattan Bank, New York, New York, on the date such payment is due, plus [***], or (ii) the maximum rate permitted by law, calculated on the number of days such payment is delinquent. This Section 7.2 shall in no way limit any other remedies available to either Party.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0" w:right="479" w:bottom="1440" w:gutter="0" w:footer="0" w:header="0"/>
        </w:sectPr>
      </w:pPr>
    </w:p>
    <w:bookmarkStart w:id="350" w:name="page351"/>
    <w:bookmarkEnd w:id="350"/>
    <w:p>
      <w:pPr>
        <w:ind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u w:val="single" w:color="auto"/>
          <w:color w:val="auto"/>
        </w:rPr>
        <w:t>Place of Royalty Payment; Currency Conversion</w:t>
      </w:r>
      <w:r>
        <w:rPr>
          <w:rFonts w:ascii="Arial" w:cs="Arial" w:eastAsia="Arial" w:hAnsi="Arial"/>
          <w:sz w:val="17"/>
          <w:szCs w:val="17"/>
          <w:color w:val="auto"/>
        </w:rPr>
        <w:t>. All amounts set forth in this Agreement, or in any Exhibit, are in U.S. Dollars. In the case of sales invoiced in a foreign currency, the rate of exchange to be used in computing the monthly amount of currency equivalent in United States dollars due Acumen shall be made at the monthly rate of exchange utilized by Merck in its worldwide accounting system, prevailing on the third to the last business day of the month preceding the month in which such sales are recorded by Merck.</w:t>
      </w:r>
    </w:p>
    <w:p>
      <w:pPr>
        <w:spacing w:after="0" w:line="57"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u w:val="single" w:color="auto"/>
          <w:color w:val="auto"/>
        </w:rPr>
        <w:t>Records; Inspection</w:t>
      </w:r>
      <w:r>
        <w:rPr>
          <w:rFonts w:ascii="Arial" w:cs="Arial" w:eastAsia="Arial" w:hAnsi="Arial"/>
          <w:sz w:val="17"/>
          <w:szCs w:val="17"/>
          <w:color w:val="auto"/>
        </w:rPr>
        <w:t xml:space="preserve">. Merck shall keep, and shall ensure that its Affiliates and Sublicensees keep, complete, true and accurate books of account and records for the purpose of determining the amounts payable under this Agreement. Such books and records, and the un-redacted agreements for sublicenses by or under authority of Merck, shall be kept at the place of business of Merck or its Affiliate or Sublicensee where such books and records are normally kept for at least [***] years following the end of the Calendar Quarter to which they pertain. Such records shall be open for inspection by an independent certified public accounting firm to whom Merck has no reasonable objection, solely for the purpose of determining the payments to Acumen hereunder. Such inspections may be made no more than once each Calendar Year, at reasonable times and on reasonable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material underpayment is identified an additional inspection may be made in that Calendar Year. The accounting firm shall disclose to Acumen only whether the royalty reports are correct or incorrect and the specific details concerning any discrepancies. No other information shall be provided to Acumen. Inspections conducted under this Section 7.4 shall be at the expense of Acumen, unless a variation or error producing an increase exceeding the greater of [***] and [***] of the amount stated for any period covered by the inspection is established in the course of any such inspection, whereupon all reasonable costs relating to the inspection and any unpaid amounts that are discovered will be paid promptly by Merck together with interest thereon, at the rate specified in Section 7.2, from the date such payments were due. Any interest paid to Acumen pursuant to this Section 7.4 shall in no way limit any other remedies available to Acumen. Acumen shall treat all financial information subject to review under this Section 7.4 or under any sublicense agreement in accordance with the confidentiality and non-use provisions of this Agreement, and shall cause its accounting firm to enter into an acceptable confidentiality agreement with Merck and/or its Affiliate or Sublicensee obligating it to retain all such information in confidence pursuant to such confidentiality agreement.</w:t>
      </w:r>
    </w:p>
    <w:p>
      <w:pPr>
        <w:spacing w:after="0" w:line="7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u w:val="single" w:color="auto"/>
          <w:color w:val="auto"/>
        </w:rPr>
        <w:t>Withholding Taxes</w:t>
      </w:r>
      <w:r>
        <w:rPr>
          <w:rFonts w:ascii="Arial" w:cs="Arial" w:eastAsia="Arial" w:hAnsi="Arial"/>
          <w:sz w:val="17"/>
          <w:szCs w:val="17"/>
          <w:color w:val="auto"/>
        </w:rPr>
        <w:t>. If any withholding taxes become payable by reason of an assignment or other transfer of this Agreement by Merck to a foreign Affiliate, an assignment otherwise in accordance with this Agreement, or as a result of a change in the domicile of Merck or its Affiliate, any deductions by Merck for withholding taxes on payments due Acumen hereunder shall be not be made to the extent that Acumen is not able to realize any current tax reduction as a result of claiming a foreign tax credit on such withholding taxes. In such case, payment to Acumen shall not be reduced by such withholding taxes, and Merck shall be responsible for the payment of, and shall pay, all such taxes for which Acumen is not able to realize a current tax reduction as a result of claiming a foreign tax credit. Acumen shall be required to use its commercially reasonable efforts to claim any available foreign tax credits or deductions arising from the payment of withholding taxes by Merck, and thereby reduce the amount of U.S. income tax payable by Acumen, and shall refund to Merck the amount of such reduction in tax resulting from the use of such deduction or foreign tax credit within 30 days of the filing of Acumen’s federal income tax return utilizing such deduction or credit.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351" w:name="page352"/>
    <w:bookmarkEnd w:id="351"/>
    <w:p>
      <w:pPr>
        <w:ind w:right="9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DILIGENCE</w:t>
      </w:r>
    </w:p>
    <w:p>
      <w:pPr>
        <w:spacing w:after="0" w:line="99"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u w:val="single" w:color="auto"/>
          <w:color w:val="auto"/>
        </w:rPr>
        <w:t>General</w:t>
      </w:r>
      <w:r>
        <w:rPr>
          <w:rFonts w:ascii="Arial" w:cs="Arial" w:eastAsia="Arial" w:hAnsi="Arial"/>
          <w:sz w:val="17"/>
          <w:szCs w:val="17"/>
          <w:color w:val="auto"/>
        </w:rPr>
        <w:t>. Merck shall [***] Antibody Product in the Therapeutic Field in the Territory and, if Merck exercises the Vaccine Option pursuant to Section 6.3, [***] Vaccine Product in the Therapeutic Field in the Territory, [***] (“</w:t>
      </w:r>
      <w:r>
        <w:rPr>
          <w:rFonts w:ascii="Arial" w:cs="Arial" w:eastAsia="Arial" w:hAnsi="Arial"/>
          <w:sz w:val="17"/>
          <w:szCs w:val="17"/>
          <w:b w:val="1"/>
          <w:bCs w:val="1"/>
          <w:color w:val="auto"/>
        </w:rPr>
        <w:t>Active Program</w:t>
      </w:r>
      <w:r>
        <w:rPr>
          <w:rFonts w:ascii="Arial" w:cs="Arial" w:eastAsia="Arial" w:hAnsi="Arial"/>
          <w:sz w:val="17"/>
          <w:szCs w:val="17"/>
          <w:color w:val="auto"/>
        </w:rPr>
        <w:t xml:space="preserve">”). For avoidance of doubt, Merck discontinuing the development or commercialization of a particular Product due to Merck’s reasonable belief that the Product is not safe for use in the Treatment of humans shall not cause Merck to be in breach of this Section 8.1;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Merck has otherwise met and continues to meet its obligations under this Section 8.1, [***] Product of the same type (i.e. Antibody Product or Vaccine Product) as the [***].</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u w:val="single" w:color="auto"/>
          <w:color w:val="auto"/>
        </w:rPr>
        <w:t>Development Milestone Prepayments</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261" w:lineRule="auto"/>
        <w:rPr>
          <w:sz w:val="20"/>
          <w:szCs w:val="20"/>
          <w:color w:val="auto"/>
        </w:rPr>
      </w:pPr>
      <w:r>
        <w:rPr>
          <w:rFonts w:ascii="Arial" w:cs="Arial" w:eastAsia="Arial" w:hAnsi="Arial"/>
          <w:sz w:val="18"/>
          <w:szCs w:val="18"/>
          <w:color w:val="auto"/>
        </w:rPr>
        <w:t xml:space="preserve">8.2.1 </w:t>
      </w:r>
      <w:r>
        <w:rPr>
          <w:rFonts w:ascii="Arial" w:cs="Arial" w:eastAsia="Arial" w:hAnsi="Arial"/>
          <w:sz w:val="18"/>
          <w:szCs w:val="18"/>
          <w:b w:val="1"/>
          <w:bCs w:val="1"/>
          <w:u w:val="single" w:color="auto"/>
          <w:color w:val="auto"/>
        </w:rPr>
        <w:t>Outside Dates</w:t>
      </w:r>
      <w:r>
        <w:rPr>
          <w:rFonts w:ascii="Arial" w:cs="Arial" w:eastAsia="Arial" w:hAnsi="Arial"/>
          <w:sz w:val="18"/>
          <w:szCs w:val="18"/>
          <w:color w:val="auto"/>
        </w:rPr>
        <w:t>. Without limiting Section 8.1 or any of Merck’s other obligations under this Agreement, if Merck fails to achieve for a first Antibody Product one of the [***] milestones under Section 6.4 by the applicable outside date therefor specified in this Section 8.2.1 below (each an “</w:t>
      </w:r>
      <w:r>
        <w:rPr>
          <w:rFonts w:ascii="Arial" w:cs="Arial" w:eastAsia="Arial" w:hAnsi="Arial"/>
          <w:sz w:val="18"/>
          <w:szCs w:val="18"/>
          <w:b w:val="1"/>
          <w:bCs w:val="1"/>
          <w:color w:val="auto"/>
        </w:rPr>
        <w:t>Outside Date</w:t>
      </w:r>
      <w:r>
        <w:rPr>
          <w:rFonts w:ascii="Arial" w:cs="Arial" w:eastAsia="Arial" w:hAnsi="Arial"/>
          <w:sz w:val="18"/>
          <w:szCs w:val="18"/>
          <w:color w:val="auto"/>
        </w:rPr>
        <w:t>”), then Merck shall pay to Acumen, within [***] days after such failure, the milestone prepayment set forth in this Section 8.2.1 below for the missed milestone.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Development Milestone</w:t>
            </w:r>
          </w:p>
        </w:tc>
        <w:tc>
          <w:tcPr>
            <w:tcW w:w="2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40" w:type="dxa"/>
            <w:vAlign w:val="bottom"/>
            <w:gridSpan w:val="2"/>
          </w:tcPr>
          <w:p>
            <w:pPr>
              <w:ind w:left="480"/>
              <w:spacing w:after="0"/>
              <w:rPr>
                <w:sz w:val="20"/>
                <w:szCs w:val="20"/>
                <w:color w:val="auto"/>
              </w:rPr>
            </w:pPr>
            <w:r>
              <w:rPr>
                <w:rFonts w:ascii="Arial" w:cs="Arial" w:eastAsia="Arial" w:hAnsi="Arial"/>
                <w:sz w:val="14"/>
                <w:szCs w:val="14"/>
                <w:b w:val="1"/>
                <w:bCs w:val="1"/>
                <w:color w:val="auto"/>
              </w:rPr>
              <w:t>Outside Date</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2"/>
              </w:rPr>
              <w:t>Milestone Prepayment</w:t>
            </w: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color w:val="auto"/>
              </w:rPr>
              <w:t>Section 6.4.1(1)</w:t>
            </w:r>
          </w:p>
        </w:tc>
        <w:tc>
          <w:tcPr>
            <w:tcW w:w="2540" w:type="dxa"/>
            <w:vAlign w:val="bottom"/>
          </w:tcPr>
          <w:p>
            <w:pPr>
              <w:spacing w:after="0"/>
              <w:rPr>
                <w:sz w:val="16"/>
                <w:szCs w:val="16"/>
                <w:color w:val="auto"/>
              </w:rPr>
            </w:pPr>
          </w:p>
        </w:tc>
        <w:tc>
          <w:tcPr>
            <w:tcW w:w="880" w:type="dxa"/>
            <w:vAlign w:val="bottom"/>
            <w:tcBorders>
              <w:top w:val="single" w:sz="8" w:color="auto"/>
            </w:tcBorders>
          </w:tcPr>
          <w:p>
            <w:pPr>
              <w:jc w:val="right"/>
              <w:ind w:right="410"/>
              <w:spacing w:after="0" w:line="189" w:lineRule="exact"/>
              <w:rPr>
                <w:sz w:val="20"/>
                <w:szCs w:val="20"/>
                <w:color w:val="auto"/>
              </w:rPr>
            </w:pPr>
            <w:r>
              <w:rPr>
                <w:rFonts w:ascii="Arial" w:cs="Arial" w:eastAsia="Arial" w:hAnsi="Arial"/>
                <w:sz w:val="18"/>
                <w:szCs w:val="18"/>
                <w:color w:val="auto"/>
              </w:rPr>
              <w:t>[***]</w:t>
            </w:r>
          </w:p>
        </w:tc>
        <w:tc>
          <w:tcPr>
            <w:tcW w:w="2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6.4.1(2)</w:t>
            </w:r>
          </w:p>
        </w:tc>
        <w:tc>
          <w:tcPr>
            <w:tcW w:w="34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6.4.1(3)</w:t>
            </w:r>
          </w:p>
        </w:tc>
        <w:tc>
          <w:tcPr>
            <w:tcW w:w="34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90" w:lineRule="exact"/>
        <w:rPr>
          <w:sz w:val="20"/>
          <w:szCs w:val="20"/>
          <w:color w:val="auto"/>
        </w:rPr>
      </w:pPr>
    </w:p>
    <w:p>
      <w:pPr>
        <w:jc w:val="both"/>
        <w:ind w:right="20" w:firstLine="991"/>
        <w:spacing w:after="0" w:line="293"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b w:val="1"/>
          <w:bCs w:val="1"/>
          <w:u w:val="single" w:color="auto"/>
          <w:color w:val="auto"/>
        </w:rPr>
        <w:t>Additional Prepayments After Missed Milestone</w:t>
      </w:r>
      <w:r>
        <w:rPr>
          <w:rFonts w:ascii="Arial" w:cs="Arial" w:eastAsia="Arial" w:hAnsi="Arial"/>
          <w:sz w:val="16"/>
          <w:szCs w:val="16"/>
          <w:color w:val="auto"/>
        </w:rPr>
        <w:t>. Without limiting Section 8.1 or any of Merck’s other obligations under this Agreement, if a prepayment has become payable under Section 8.2.1 for a milestone for an Antibody Product based upon any of Sections 6.4.1(1), (2) or</w:t>
      </w:r>
    </w:p>
    <w:p>
      <w:pPr>
        <w:spacing w:after="0" w:line="1" w:lineRule="exact"/>
        <w:rPr>
          <w:sz w:val="20"/>
          <w:szCs w:val="20"/>
          <w:color w:val="auto"/>
        </w:rPr>
      </w:pPr>
    </w:p>
    <w:p>
      <w:pPr>
        <w:ind w:right="640"/>
        <w:spacing w:after="0" w:line="323" w:lineRule="auto"/>
        <w:rPr>
          <w:sz w:val="20"/>
          <w:szCs w:val="20"/>
          <w:color w:val="auto"/>
        </w:rPr>
      </w:pPr>
      <w:r>
        <w:rPr>
          <w:rFonts w:ascii="Arial" w:cs="Arial" w:eastAsia="Arial" w:hAnsi="Arial"/>
          <w:sz w:val="16"/>
          <w:szCs w:val="16"/>
          <w:color w:val="auto"/>
        </w:rPr>
        <w:t>(3), and Merck fails to achieve by an extension date set forth in this Section 8.2.2 below (each an “</w:t>
      </w:r>
      <w:r>
        <w:rPr>
          <w:rFonts w:ascii="Arial" w:cs="Arial" w:eastAsia="Arial" w:hAnsi="Arial"/>
          <w:sz w:val="16"/>
          <w:szCs w:val="16"/>
          <w:b w:val="1"/>
          <w:bCs w:val="1"/>
          <w:color w:val="auto"/>
        </w:rPr>
        <w:t>Extension Date</w:t>
      </w:r>
      <w:r>
        <w:rPr>
          <w:rFonts w:ascii="Arial" w:cs="Arial" w:eastAsia="Arial" w:hAnsi="Arial"/>
          <w:sz w:val="16"/>
          <w:szCs w:val="16"/>
          <w:color w:val="auto"/>
        </w:rPr>
        <w:t>”) such milestone for the first Antibody Product, then Merck shall pay to Acumen the additional prepayment set forth in this Section 8.2.2 for the particular Extension Date.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8"/>
              </w:rPr>
              <w:t>Extension Date</w:t>
            </w:r>
          </w:p>
        </w:tc>
        <w:tc>
          <w:tcPr>
            <w:tcW w:w="4820" w:type="dxa"/>
            <w:vAlign w:val="bottom"/>
          </w:tcPr>
          <w:p>
            <w:pPr>
              <w:spacing w:after="0"/>
              <w:rPr>
                <w:sz w:val="14"/>
                <w:szCs w:val="14"/>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4"/>
              </w:rPr>
              <w:t>Required Prepayment for</w:t>
            </w:r>
          </w:p>
        </w:tc>
        <w:tc>
          <w:tcPr>
            <w:tcW w:w="0" w:type="dxa"/>
            <w:vAlign w:val="bottom"/>
          </w:tcPr>
          <w:p>
            <w:pPr>
              <w:spacing w:after="0"/>
              <w:rPr>
                <w:sz w:val="1"/>
                <w:szCs w:val="1"/>
                <w:color w:val="auto"/>
              </w:rPr>
            </w:pPr>
          </w:p>
        </w:tc>
      </w:tr>
      <w:tr>
        <w:trPr>
          <w:trHeight w:val="191"/>
        </w:trPr>
        <w:tc>
          <w:tcPr>
            <w:tcW w:w="920" w:type="dxa"/>
            <w:vAlign w:val="bottom"/>
            <w:tcBorders>
              <w:bottom w:val="single" w:sz="8" w:color="auto"/>
            </w:tcBorders>
            <w:vMerge w:val="continue"/>
          </w:tcPr>
          <w:p>
            <w:pPr>
              <w:spacing w:after="0"/>
              <w:rPr>
                <w:sz w:val="16"/>
                <w:szCs w:val="16"/>
                <w:color w:val="auto"/>
              </w:rPr>
            </w:pPr>
          </w:p>
        </w:tc>
        <w:tc>
          <w:tcPr>
            <w:tcW w:w="482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Failure to Achieve Milestone</w:t>
            </w:r>
          </w:p>
        </w:tc>
        <w:tc>
          <w:tcPr>
            <w:tcW w:w="0" w:type="dxa"/>
            <w:vAlign w:val="bottom"/>
          </w:tcPr>
          <w:p>
            <w:pPr>
              <w:spacing w:after="0"/>
              <w:rPr>
                <w:sz w:val="1"/>
                <w:szCs w:val="1"/>
                <w:color w:val="auto"/>
              </w:rPr>
            </w:pPr>
          </w:p>
        </w:tc>
      </w:tr>
      <w:tr>
        <w:trPr>
          <w:trHeight w:val="189"/>
        </w:trPr>
        <w:tc>
          <w:tcPr>
            <w:tcW w:w="92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4820" w:type="dxa"/>
            <w:vAlign w:val="bottom"/>
          </w:tcPr>
          <w:p>
            <w:pPr>
              <w:spacing w:after="0"/>
              <w:rPr>
                <w:sz w:val="16"/>
                <w:szCs w:val="16"/>
                <w:color w:val="auto"/>
              </w:rPr>
            </w:pPr>
          </w:p>
        </w:tc>
        <w:tc>
          <w:tcPr>
            <w:tcW w:w="5280" w:type="dxa"/>
            <w:vAlign w:val="bottom"/>
          </w:tcPr>
          <w:p>
            <w:pPr>
              <w:jc w:val="cente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gridSpan w:val="2"/>
          </w:tcPr>
          <w:p>
            <w:pPr>
              <w:jc w:val="center"/>
              <w:ind w:left="47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gridSpan w:val="2"/>
          </w:tcPr>
          <w:p>
            <w:pPr>
              <w:jc w:val="center"/>
              <w:ind w:left="47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gridSpan w:val="2"/>
          </w:tcPr>
          <w:p>
            <w:pPr>
              <w:jc w:val="center"/>
              <w:ind w:left="47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920" w:type="dxa"/>
            <w:vAlign w:val="bottom"/>
          </w:tcPr>
          <w:p>
            <w:pPr>
              <w:spacing w:after="0"/>
              <w:rPr>
                <w:sz w:val="24"/>
                <w:szCs w:val="24"/>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-27-</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52" w:name="page353"/>
    <w:bookmarkEnd w:id="352"/>
    <w:p>
      <w:pPr>
        <w:ind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right="300" w:firstLine="991"/>
        <w:spacing w:after="0" w:line="258"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b w:val="1"/>
          <w:bCs w:val="1"/>
          <w:u w:val="single" w:color="auto"/>
          <w:color w:val="auto"/>
        </w:rPr>
        <w:t>Additional Terms</w:t>
      </w:r>
      <w:r>
        <w:rPr>
          <w:rFonts w:ascii="Arial" w:cs="Arial" w:eastAsia="Arial" w:hAnsi="Arial"/>
          <w:sz w:val="18"/>
          <w:szCs w:val="18"/>
          <w:color w:val="auto"/>
        </w:rPr>
        <w:t>. For clarity, the prepayments in this Section 8.2 shall be made for the first Antibody Product. All prepayments made pursuant to this Section 8.2 shall be non-refundable, but shall be credited only against the milestone payment that becomes payable under Section 6.4.1 upon completion of that same milestone for the first or any subsequent Antibody Product. No prepayment under this Section 8.2 for a milestone under Section 6.4.1 with respect to an Antibody Product may be credited against a milestone payment with respect to a Vaccine Product pursuant to Section 6.4.1.</w:t>
      </w:r>
    </w:p>
    <w:p>
      <w:pPr>
        <w:spacing w:after="0" w:line="75" w:lineRule="exact"/>
        <w:rPr>
          <w:sz w:val="20"/>
          <w:szCs w:val="20"/>
          <w:color w:val="auto"/>
        </w:rPr>
      </w:pPr>
    </w:p>
    <w:p>
      <w:pPr>
        <w:jc w:val="both"/>
        <w:ind w:right="180" w:firstLine="991"/>
        <w:spacing w:after="0" w:line="266" w:lineRule="auto"/>
        <w:rPr>
          <w:sz w:val="20"/>
          <w:szCs w:val="20"/>
          <w:color w:val="auto"/>
        </w:rPr>
      </w:pPr>
      <w:r>
        <w:rPr>
          <w:rFonts w:ascii="Arial" w:cs="Arial" w:eastAsia="Arial" w:hAnsi="Arial"/>
          <w:sz w:val="18"/>
          <w:szCs w:val="18"/>
          <w:color w:val="auto"/>
        </w:rPr>
        <w:t xml:space="preserve">8.2.4 </w:t>
      </w:r>
      <w:r>
        <w:rPr>
          <w:rFonts w:ascii="Arial" w:cs="Arial" w:eastAsia="Arial" w:hAnsi="Arial"/>
          <w:sz w:val="18"/>
          <w:szCs w:val="18"/>
          <w:b w:val="1"/>
          <w:bCs w:val="1"/>
          <w:u w:val="single" w:color="auto"/>
          <w:color w:val="auto"/>
        </w:rPr>
        <w:t>No Limitation</w:t>
      </w:r>
      <w:r>
        <w:rPr>
          <w:rFonts w:ascii="Arial" w:cs="Arial" w:eastAsia="Arial" w:hAnsi="Arial"/>
          <w:sz w:val="18"/>
          <w:szCs w:val="18"/>
          <w:color w:val="auto"/>
        </w:rPr>
        <w:t>. The payments under this Section 8.2 will not alone be deemed to satisfy the requirements of Section 8.1, including the obligation to maintain [***]. Similarly, achieving a milestone by an Outside Date or an Extension Date shall not necessarily mean that Merck has otherwise met its diligence obligations under this Agreement.</w:t>
      </w:r>
    </w:p>
    <w:p>
      <w:pPr>
        <w:spacing w:after="0" w:line="68" w:lineRule="exact"/>
        <w:rPr>
          <w:sz w:val="20"/>
          <w:szCs w:val="20"/>
          <w:color w:val="auto"/>
        </w:rPr>
      </w:pPr>
    </w:p>
    <w:p>
      <w:pPr>
        <w:jc w:val="both"/>
        <w:ind w:right="40" w:firstLine="440"/>
        <w:spacing w:after="0" w:line="314"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u w:val="single" w:color="auto"/>
          <w:color w:val="auto"/>
        </w:rPr>
        <w:t>Diligence Payment with regard to Diagnostic Product</w:t>
      </w:r>
      <w:r>
        <w:rPr>
          <w:rFonts w:ascii="Arial" w:cs="Arial" w:eastAsia="Arial" w:hAnsi="Arial"/>
          <w:sz w:val="16"/>
          <w:szCs w:val="16"/>
          <w:b w:val="1"/>
          <w:bCs w:val="1"/>
          <w:color w:val="auto"/>
        </w:rPr>
        <w:t>.</w:t>
      </w:r>
      <w:r>
        <w:rPr>
          <w:rFonts w:ascii="Arial" w:cs="Arial" w:eastAsia="Arial" w:hAnsi="Arial"/>
          <w:sz w:val="16"/>
          <w:szCs w:val="16"/>
          <w:color w:val="auto"/>
        </w:rPr>
        <w:t xml:space="preserve"> Merck shall pay a fee of [***] payable [***] to Acumen commencing upon [***] of the Amendment Effective Date, and continuing until Merck, its Affiliate or sublicensee has [***]. The provisions of Sections 8.1 and 8.2 shall not apply to Diagnostic Products; provided, however, that upon [***], the provisions of Section 8.1 (but not Section 8.2) shall apply to such Diagnostic Product.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u w:val="single" w:color="auto"/>
          <w:color w:val="auto"/>
        </w:rPr>
        <w:t>Ownership; Disclosure</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b w:val="1"/>
          <w:bCs w:val="1"/>
          <w:u w:val="single" w:color="auto"/>
          <w:color w:val="auto"/>
        </w:rPr>
        <w:t>Sole Ownership</w:t>
      </w:r>
      <w:r>
        <w:rPr>
          <w:rFonts w:ascii="Arial" w:cs="Arial" w:eastAsia="Arial" w:hAnsi="Arial"/>
          <w:sz w:val="16"/>
          <w:szCs w:val="16"/>
          <w:color w:val="auto"/>
        </w:rPr>
        <w:t>. Subject to the terms and conditions of this Agreement, Acumen shall retain all of its rights, title and interest in and to the Acumen Technology owned by Acumen as of the Effective Date, and shall solely own all right, title and interest in and to all Inventions, Patent Rights, and Know-How invented after the Effective Date solely by personnel of Acumen. Likewise, subject to the terms and conditions of this Agreement, Merck shall retain all of its rights, title and interest in and to the Merck Patent Rights and Know-How owned by Merck as of the Effective Date, and shall solely own all right, title and interest in and to all Inventions, Patent Rights, and Know-How invented after the Effective Date solely by personnel of Merck. The transfer of ownership of the applicable Inventions, Patent Rights, and Know-How to any Third Party for any purpose other than as expressly set forth in this Agreement shall be deemed an assignment of rights under this Agreement and shall be permissible only to the extent permissible pursuant to Section 15.3, and regardless of such assignment shall be subject to the rights granted to the other Party under this Agreement.</w:t>
      </w:r>
    </w:p>
    <w:p>
      <w:pPr>
        <w:spacing w:after="0" w:line="51" w:lineRule="exact"/>
        <w:rPr>
          <w:sz w:val="20"/>
          <w:szCs w:val="20"/>
          <w:color w:val="auto"/>
        </w:rPr>
      </w:pPr>
    </w:p>
    <w:p>
      <w:pPr>
        <w:jc w:val="both"/>
        <w:ind w:right="180" w:firstLine="991"/>
        <w:spacing w:after="0" w:line="281"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b w:val="1"/>
          <w:bCs w:val="1"/>
          <w:u w:val="single" w:color="auto"/>
          <w:color w:val="auto"/>
        </w:rPr>
        <w:t>Joint Ownership</w:t>
      </w:r>
      <w:r>
        <w:rPr>
          <w:rFonts w:ascii="Arial" w:cs="Arial" w:eastAsia="Arial" w:hAnsi="Arial"/>
          <w:sz w:val="17"/>
          <w:szCs w:val="17"/>
          <w:color w:val="auto"/>
        </w:rPr>
        <w:t>. Merck and Acumen shall jointly own an equal undivided interest in all right, title and interest in and to all Joint Inventions. Except as expressly provided in this Agreement, neither Party shall have any obligation to account to the other for profits, or to obtain any consent of the other Party to license or exploit, Joint Inventions (whether or not patented), by reason of joint ownership thereof, and each Party hereby waives any right it may have under the laws of any jurisdiction to require any such consent or accounting.</w:t>
      </w:r>
    </w:p>
    <w:p>
      <w:pPr>
        <w:spacing w:after="0" w:line="61"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9.1.3 For purposes of this Section 9.1, “invented” shall be interpreted and applied consistent with the concept of “inventorship” as defined under United States patent laws.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353" w:name="page354"/>
    <w:bookmarkEnd w:id="353"/>
    <w:p>
      <w:pPr>
        <w:ind w:right="8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u w:val="single" w:color="auto"/>
          <w:color w:val="auto"/>
        </w:rPr>
        <w:t>Patent Prosecution and Maintenance</w:t>
      </w:r>
      <w:r>
        <w:rPr>
          <w:rFonts w:ascii="Arial" w:cs="Arial" w:eastAsia="Arial" w:hAnsi="Arial"/>
          <w:sz w:val="18"/>
          <w:szCs w:val="18"/>
          <w:color w:val="auto"/>
        </w:rPr>
        <w:t>.</w:t>
      </w:r>
    </w:p>
    <w:p>
      <w:pPr>
        <w:spacing w:after="0" w:line="117" w:lineRule="exact"/>
        <w:rPr>
          <w:sz w:val="20"/>
          <w:szCs w:val="20"/>
          <w:color w:val="auto"/>
        </w:rPr>
      </w:pPr>
    </w:p>
    <w:p>
      <w:pPr>
        <w:ind w:right="320" w:firstLine="991"/>
        <w:spacing w:after="0" w:line="282" w:lineRule="auto"/>
        <w:rPr>
          <w:sz w:val="20"/>
          <w:szCs w:val="20"/>
          <w:color w:val="auto"/>
        </w:rPr>
      </w:pPr>
      <w:r>
        <w:rPr>
          <w:rFonts w:ascii="Arial" w:cs="Arial" w:eastAsia="Arial" w:hAnsi="Arial"/>
          <w:sz w:val="18"/>
          <w:szCs w:val="18"/>
          <w:color w:val="auto"/>
        </w:rPr>
        <w:t xml:space="preserve">9.2.1 </w:t>
      </w:r>
      <w:r>
        <w:rPr>
          <w:rFonts w:ascii="Arial" w:cs="Arial" w:eastAsia="Arial" w:hAnsi="Arial"/>
          <w:sz w:val="18"/>
          <w:szCs w:val="18"/>
          <w:b w:val="1"/>
          <w:bCs w:val="1"/>
          <w:u w:val="single" w:color="auto"/>
          <w:color w:val="auto"/>
        </w:rPr>
        <w:t>Generally</w:t>
      </w:r>
      <w:r>
        <w:rPr>
          <w:rFonts w:ascii="Arial" w:cs="Arial" w:eastAsia="Arial" w:hAnsi="Arial"/>
          <w:sz w:val="18"/>
          <w:szCs w:val="18"/>
          <w:color w:val="auto"/>
        </w:rPr>
        <w:t>. As used herein, “</w:t>
      </w:r>
      <w:r>
        <w:rPr>
          <w:rFonts w:ascii="Arial" w:cs="Arial" w:eastAsia="Arial" w:hAnsi="Arial"/>
          <w:sz w:val="18"/>
          <w:szCs w:val="18"/>
          <w:b w:val="1"/>
          <w:bCs w:val="1"/>
          <w:color w:val="auto"/>
        </w:rPr>
        <w:t>Prosecution and Maintenance</w:t>
      </w:r>
      <w:r>
        <w:rPr>
          <w:rFonts w:ascii="Arial" w:cs="Arial" w:eastAsia="Arial" w:hAnsi="Arial"/>
          <w:sz w:val="18"/>
          <w:szCs w:val="18"/>
          <w:color w:val="auto"/>
        </w:rPr>
        <w:t>” shall mean the preparation, filing, prosecution and maintenance of Patent Rights, including but not limited to any interferences, re-examinations, reissues, oppositions and the like.</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9.2.2 </w:t>
      </w:r>
      <w:r>
        <w:rPr>
          <w:rFonts w:ascii="Arial" w:cs="Arial" w:eastAsia="Arial" w:hAnsi="Arial"/>
          <w:sz w:val="18"/>
          <w:szCs w:val="18"/>
          <w:b w:val="1"/>
          <w:bCs w:val="1"/>
          <w:u w:val="single" w:color="auto"/>
          <w:color w:val="auto"/>
        </w:rPr>
        <w:t>Patent Rights in the Therapeutic Field and Diagnostic Field</w:t>
      </w:r>
      <w:r>
        <w:rPr>
          <w:rFonts w:ascii="Arial" w:cs="Arial" w:eastAsia="Arial" w:hAnsi="Arial"/>
          <w:sz w:val="18"/>
          <w:szCs w:val="18"/>
          <w:color w:val="auto"/>
        </w:rPr>
        <w:t>.</w:t>
      </w:r>
    </w:p>
    <w:p>
      <w:pPr>
        <w:spacing w:after="0" w:line="121" w:lineRule="exact"/>
        <w:rPr>
          <w:sz w:val="20"/>
          <w:szCs w:val="20"/>
          <w:color w:val="auto"/>
        </w:rPr>
      </w:pPr>
    </w:p>
    <w:p>
      <w:pPr>
        <w:ind w:firstLine="1428"/>
        <w:spacing w:after="0" w:line="289" w:lineRule="auto"/>
        <w:tabs>
          <w:tab w:leader="none" w:pos="1677" w:val="left"/>
        </w:tabs>
        <w:numPr>
          <w:ilvl w:val="0"/>
          <w:numId w:val="237"/>
        </w:numPr>
        <w:rPr>
          <w:rFonts w:ascii="Arial" w:cs="Arial" w:eastAsia="Arial" w:hAnsi="Arial"/>
          <w:sz w:val="16"/>
          <w:szCs w:val="16"/>
          <w:color w:val="auto"/>
        </w:rPr>
      </w:pPr>
      <w:r>
        <w:rPr>
          <w:rFonts w:ascii="Arial" w:cs="Arial" w:eastAsia="Arial" w:hAnsi="Arial"/>
          <w:sz w:val="16"/>
          <w:szCs w:val="16"/>
          <w:color w:val="auto"/>
        </w:rPr>
        <w:t>Effective as of the Amendment Effective Date, Merck shall have the sole and exclusive right to control and perform the Prosecution and Maintenance of the Acumen Patent Rights and Joint Patent Rights, at Merck’s expense, including through the use of outside counsel selected by Merck and reasonably acceptable to Acumen. In Merck’s execution of its rights with respect to the Acumen Patent Rights and Joint Patent Rights, Acumen shall retain the rights reserved for the non-filing party under Section 9.2.2(b). Acumen shall execute such documents and perform such acts at Acumen’s expense and in a timely manner as may be reasonably necessary to allow Merck to Prosecute and Maintain such Acumen Patent Rights and Joint Patent Rights. Merck shall have the exclusive right to control and perform Prosecution and Maintenance of Merck Patent Rights, with no obligation to Acumen regarding such Prosecution and Maintenance. Merck’s right to Prosecute and Maintain Acumen Patent Rights and Joint Patent Rights shall be irrevocable, unless the Agreement is terminated pursuant to Article 13, in which case Merck and Acumen shall cooperate to promptly execute such documents and perform such acts as may be reasonably necessary to allow Acumen to Prosecute and Maintain Acumen Patent Rights.</w:t>
      </w:r>
    </w:p>
    <w:p>
      <w:pPr>
        <w:spacing w:after="0" w:line="58" w:lineRule="exact"/>
        <w:rPr>
          <w:rFonts w:ascii="Arial" w:cs="Arial" w:eastAsia="Arial" w:hAnsi="Arial"/>
          <w:sz w:val="16"/>
          <w:szCs w:val="16"/>
          <w:color w:val="auto"/>
        </w:rPr>
      </w:pPr>
    </w:p>
    <w:p>
      <w:pPr>
        <w:ind w:firstLine="1428"/>
        <w:spacing w:after="0" w:line="268" w:lineRule="auto"/>
        <w:tabs>
          <w:tab w:leader="none" w:pos="1687" w:val="left"/>
        </w:tabs>
        <w:numPr>
          <w:ilvl w:val="0"/>
          <w:numId w:val="237"/>
        </w:numPr>
        <w:rPr>
          <w:rFonts w:ascii="Arial" w:cs="Arial" w:eastAsia="Arial" w:hAnsi="Arial"/>
          <w:sz w:val="17"/>
          <w:szCs w:val="17"/>
          <w:color w:val="auto"/>
        </w:rPr>
      </w:pPr>
      <w:r>
        <w:rPr>
          <w:rFonts w:ascii="Arial" w:cs="Arial" w:eastAsia="Arial" w:hAnsi="Arial"/>
          <w:sz w:val="17"/>
          <w:szCs w:val="17"/>
          <w:color w:val="auto"/>
        </w:rPr>
        <w:t>In each case relating to Acumen Patent Rights or Joint Patent Rights, the filing Party will promptly provide to the other Party, as such other Party reasonably requests, copies of correspondence with the applicable patent offices pertaining to such Prosecution and Maintenance by the filing Party. Without limiting the foregoing, the filing Party will give the non-filing Party an opportunity to review correspondence and the text of new applications before filing, shall consult with the non-filing Party with respect thereto, reasonably considering feedback, and shall supply the non-filing Party with a copy of each application as filed, together with notice of its filing date and serial number. The filing Party shall promptly give notice to the non-filing Party when the filing Party becomes aware of the grant, lapse, revocation, surrender, invalidation, or abandonment of any Acumen Patent Right or Joint Patent Right for which such Party has Prosecution and Maintenance responsibility under this Section 9.2.2 above. Similarly, the filing Party shall promptly give notice to the non-filing Party when the filing Party intends to discontinue Prosecution and Maintenance of such an Acumen Patent Right or Joint Patent Right, and in such event the Parties will cooperate reasonably to transition Prosecution and Maintenance to the non-filing Party if requested, as described above. In the event Merck discontinues Prosecution and Maintenance of Acumen Patent Right(s) on a world-wide basis and such Prosecution and Maintenance thereafter is transitioned to Acumen, such Acumen Patent Right(s) shall no longer be included within the definition of Acumen Diagnostic Patent Rights or Acumen Patent Rights. Upon request by Acumen and at Acumen’s expense, Merck agrees to file, and transfer to Acumen the right for the Prosecution and Maintenance of, divisional patent applications covering claims within the Acumen Patent Rights to the extent that such claims are not Excluded Claims. “Excluded Claims” shall mean any and all claims that cover the composition of or process of making [***] or (until expiration of the Option Period for the Vaccine Option) [***] in any field, or use of such [***] in the Diagnostic Field or Therapeutic Field.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0" w:right="479" w:bottom="1440" w:gutter="0" w:footer="0" w:header="0"/>
        </w:sectPr>
      </w:pPr>
    </w:p>
    <w:bookmarkStart w:id="354" w:name="page355"/>
    <w:bookmarkEnd w:id="354"/>
    <w:p>
      <w:pPr>
        <w:ind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Notwithstanding the foregoing, if (i) Merck decides not to continue the Prosecution and Maintenance of any Excluded Claim contained in the Acumen Patent Rights or Joint Patent Rights, and (ii) such Excluded Claim relates to the research, development or commercialization of Small Molecule Products (or Vaccine Products, unless prior to such time Merck has exercised the Vaccine Option pursuant to Section 5.3.2), Merck shall promptly notify Acumen of such decision, and upon Acumen’s request, file, and transfer to Acumen the right for the Prosecution and Maintenance of, divisional patent applications covering such Excluded Claim.</w:t>
      </w:r>
    </w:p>
    <w:p>
      <w:pPr>
        <w:spacing w:after="0" w:line="80" w:lineRule="exact"/>
        <w:rPr>
          <w:sz w:val="20"/>
          <w:szCs w:val="20"/>
          <w:color w:val="auto"/>
        </w:rPr>
      </w:pPr>
    </w:p>
    <w:p>
      <w:pPr>
        <w:ind w:right="80" w:firstLine="1428"/>
        <w:spacing w:after="0" w:line="291" w:lineRule="auto"/>
        <w:tabs>
          <w:tab w:leader="none" w:pos="167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Without limiting Section 9.2.2(b), each Party shall, within [***] days of learning of such event, inform the other Party of any request for, or filing or declaration of, any interference, opposition, reissue, or reexamination relating to a Joint Patent Right or Acumen Patent Right. The Parties shall thereafter consult and cooperate fully to determine a course of action with respect to any such proceeding. Merck shall control such proceedings for Acumen Patent Rights and Joint Patent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Acumen shall have the right to review and comment on any submission to be made in connection with such proceeding and Merck will reasonably consider such comments. In connection with any interference, opposition, reissue, or reexamination proceeding relating to any such Patent Right, the Parties will cooperate fully and will provide each other with information or assistance that either may reasonably request. Each Party shall keep the other Party informed of developments in any such action or proceeding.</w:t>
      </w:r>
    </w:p>
    <w:p>
      <w:pPr>
        <w:spacing w:after="0" w:line="58" w:lineRule="exact"/>
        <w:rPr>
          <w:rFonts w:ascii="Arial" w:cs="Arial" w:eastAsia="Arial" w:hAnsi="Arial"/>
          <w:sz w:val="16"/>
          <w:szCs w:val="16"/>
          <w:color w:val="auto"/>
        </w:rPr>
      </w:pPr>
    </w:p>
    <w:p>
      <w:pPr>
        <w:ind w:right="240" w:firstLine="1428"/>
        <w:spacing w:after="0" w:line="259" w:lineRule="auto"/>
        <w:tabs>
          <w:tab w:leader="none" w:pos="168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With respect to all costs of Prosecution and Maintenance hereunder, Merck shall be responsible for payment of all of its own costs and expenses related to such Prosecution and Maintenance and all out-of-pocket costs incurred by Merck and (upon prior written approval by Merck) all reasonable out of pocket expenses incurred by Acumen related to such Prosecution and Maintenance. Merck shall consult with Acumen as described in Section 9.2.2(b) and 9.2.2(e).</w:t>
      </w:r>
    </w:p>
    <w:p>
      <w:pPr>
        <w:spacing w:after="0" w:line="78" w:lineRule="exact"/>
        <w:rPr>
          <w:rFonts w:ascii="Arial" w:cs="Arial" w:eastAsia="Arial" w:hAnsi="Arial"/>
          <w:sz w:val="18"/>
          <w:szCs w:val="18"/>
          <w:color w:val="auto"/>
        </w:rPr>
      </w:pPr>
    </w:p>
    <w:p>
      <w:pPr>
        <w:jc w:val="both"/>
        <w:ind w:right="180" w:firstLine="1428"/>
        <w:spacing w:after="0" w:line="301" w:lineRule="auto"/>
        <w:tabs>
          <w:tab w:leader="none" w:pos="167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Each Party agrees to cooperate fully with the other Party, to provide the filing Party with such information and assistance as it reasonably requests, and to facilitate its Prosecution and Maintenance in accordance with the foregoing, including, without limitation, executing and filing applications, registrations, powers of attorney, oaths and other appropriate documents, providing appropriate consents and/or authorizations, and joining in any administrative or judicial action relating to the prosecution or maintenance of any applications, for Patents Rights.</w:t>
      </w:r>
    </w:p>
    <w:p>
      <w:pPr>
        <w:spacing w:after="0" w:line="45" w:lineRule="exact"/>
        <w:rPr>
          <w:sz w:val="20"/>
          <w:szCs w:val="20"/>
          <w:color w:val="auto"/>
        </w:rPr>
      </w:pPr>
    </w:p>
    <w:p>
      <w:pPr>
        <w:ind w:right="160" w:firstLine="991"/>
        <w:spacing w:after="0" w:line="266" w:lineRule="auto"/>
        <w:rPr>
          <w:sz w:val="20"/>
          <w:szCs w:val="20"/>
          <w:color w:val="auto"/>
        </w:rPr>
      </w:pPr>
      <w:r>
        <w:rPr>
          <w:rFonts w:ascii="Arial" w:cs="Arial" w:eastAsia="Arial" w:hAnsi="Arial"/>
          <w:sz w:val="18"/>
          <w:szCs w:val="18"/>
          <w:color w:val="auto"/>
        </w:rPr>
        <w:t xml:space="preserve">9.2.3 </w:t>
      </w:r>
      <w:r>
        <w:rPr>
          <w:rFonts w:ascii="Arial" w:cs="Arial" w:eastAsia="Arial" w:hAnsi="Arial"/>
          <w:sz w:val="18"/>
          <w:szCs w:val="18"/>
          <w:b w:val="1"/>
          <w:bCs w:val="1"/>
          <w:u w:val="single" w:color="auto"/>
          <w:color w:val="auto"/>
        </w:rPr>
        <w:t>Diagnostic Patents Rights</w:t>
      </w:r>
      <w:r>
        <w:rPr>
          <w:rFonts w:ascii="Arial" w:cs="Arial" w:eastAsia="Arial" w:hAnsi="Arial"/>
          <w:sz w:val="18"/>
          <w:szCs w:val="18"/>
          <w:color w:val="auto"/>
        </w:rPr>
        <w:t>. Prosecution and Maintenance of the Patent Rights included in the Acumen Diagnostic IP (“</w:t>
      </w:r>
      <w:r>
        <w:rPr>
          <w:rFonts w:ascii="Arial" w:cs="Arial" w:eastAsia="Arial" w:hAnsi="Arial"/>
          <w:sz w:val="18"/>
          <w:szCs w:val="18"/>
          <w:b w:val="1"/>
          <w:bCs w:val="1"/>
          <w:color w:val="auto"/>
        </w:rPr>
        <w:t>Acumen</w:t>
      </w:r>
      <w:r>
        <w:rPr>
          <w:rFonts w:ascii="Arial" w:cs="Arial" w:eastAsia="Arial" w:hAnsi="Arial"/>
          <w:sz w:val="18"/>
          <w:szCs w:val="18"/>
          <w:color w:val="auto"/>
        </w:rPr>
        <w:t xml:space="preserve"> </w:t>
      </w:r>
      <w:r>
        <w:rPr>
          <w:rFonts w:ascii="Arial" w:cs="Arial" w:eastAsia="Arial" w:hAnsi="Arial"/>
          <w:sz w:val="18"/>
          <w:szCs w:val="18"/>
          <w:b w:val="1"/>
          <w:bCs w:val="1"/>
          <w:color w:val="auto"/>
        </w:rPr>
        <w:t>Diagnostic Patents</w:t>
      </w:r>
      <w:r>
        <w:rPr>
          <w:rFonts w:ascii="Arial" w:cs="Arial" w:eastAsia="Arial" w:hAnsi="Arial"/>
          <w:sz w:val="18"/>
          <w:szCs w:val="18"/>
          <w:color w:val="auto"/>
        </w:rPr>
        <w:t>”), and the Patent Rights included in the Merck Diagnostic IP (“</w:t>
      </w:r>
      <w:r>
        <w:rPr>
          <w:rFonts w:ascii="Arial" w:cs="Arial" w:eastAsia="Arial" w:hAnsi="Arial"/>
          <w:sz w:val="18"/>
          <w:szCs w:val="18"/>
          <w:b w:val="1"/>
          <w:bCs w:val="1"/>
          <w:color w:val="auto"/>
        </w:rPr>
        <w:t>Merck Diagnostic Patents</w:t>
      </w:r>
      <w:r>
        <w:rPr>
          <w:rFonts w:ascii="Arial" w:cs="Arial" w:eastAsia="Arial" w:hAnsi="Arial"/>
          <w:sz w:val="18"/>
          <w:szCs w:val="18"/>
          <w:color w:val="auto"/>
        </w:rPr>
        <w:t>”), shall be controlled and performed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manner described in Section 9.2.2 above.</w:t>
      </w:r>
    </w:p>
    <w:p>
      <w:pPr>
        <w:spacing w:after="0" w:line="68" w:lineRule="exact"/>
        <w:rPr>
          <w:sz w:val="20"/>
          <w:szCs w:val="20"/>
          <w:color w:val="auto"/>
        </w:rPr>
      </w:pPr>
    </w:p>
    <w:p>
      <w:pPr>
        <w:ind w:right="780" w:firstLine="991"/>
        <w:spacing w:after="0" w:line="282" w:lineRule="auto"/>
        <w:rPr>
          <w:sz w:val="20"/>
          <w:szCs w:val="20"/>
          <w:color w:val="auto"/>
        </w:rPr>
      </w:pPr>
      <w:r>
        <w:rPr>
          <w:rFonts w:ascii="Arial" w:cs="Arial" w:eastAsia="Arial" w:hAnsi="Arial"/>
          <w:sz w:val="18"/>
          <w:szCs w:val="18"/>
          <w:color w:val="auto"/>
        </w:rPr>
        <w:t xml:space="preserve">9.2.4 </w:t>
      </w:r>
      <w:r>
        <w:rPr>
          <w:rFonts w:ascii="Arial" w:cs="Arial" w:eastAsia="Arial" w:hAnsi="Arial"/>
          <w:sz w:val="18"/>
          <w:szCs w:val="18"/>
          <w:b w:val="1"/>
          <w:bCs w:val="1"/>
          <w:u w:val="single" w:color="auto"/>
          <w:color w:val="auto"/>
        </w:rPr>
        <w:t>Cooperation</w:t>
      </w:r>
      <w:r>
        <w:rPr>
          <w:rFonts w:ascii="Arial" w:cs="Arial" w:eastAsia="Arial" w:hAnsi="Arial"/>
          <w:sz w:val="18"/>
          <w:szCs w:val="18"/>
          <w:color w:val="auto"/>
        </w:rPr>
        <w:t>. Each Party agrees to reasonably cooperate with the other Party in its performance of the activities under this Section 9.2 and in order to effect and perfect any assignment in accordance with the foregoing.</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u w:val="single" w:color="auto"/>
          <w:color w:val="auto"/>
        </w:rPr>
        <w:t>Enforcement</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color w:val="auto"/>
        </w:rPr>
        <w:t xml:space="preserve">9.3.1 </w:t>
      </w:r>
      <w:r>
        <w:rPr>
          <w:rFonts w:ascii="Arial" w:cs="Arial" w:eastAsia="Arial" w:hAnsi="Arial"/>
          <w:sz w:val="18"/>
          <w:szCs w:val="18"/>
          <w:b w:val="1"/>
          <w:bCs w:val="1"/>
          <w:u w:val="single" w:color="auto"/>
          <w:color w:val="auto"/>
        </w:rPr>
        <w:t>Notice and Enforcement Rights</w:t>
      </w:r>
      <w:r>
        <w:rPr>
          <w:rFonts w:ascii="Arial" w:cs="Arial" w:eastAsia="Arial" w:hAnsi="Arial"/>
          <w:sz w:val="18"/>
          <w:szCs w:val="18"/>
          <w:color w:val="auto"/>
        </w:rPr>
        <w:t>. Each Party shall promptly notify the other if it becomes aware of any potential infringement of the Acumen Patent Rights or Joint Patent Rights by the manufacture, use, sale, or import of product by a Third Party in the Therapeutic Field or the Diagnostic Field in the Territory which is within the definition of a Product hereunder in the Therapeutic Field or the Diagnostic Field in the Territory (each, an “</w:t>
      </w:r>
      <w:r>
        <w:rPr>
          <w:rFonts w:ascii="Arial" w:cs="Arial" w:eastAsia="Arial" w:hAnsi="Arial"/>
          <w:sz w:val="18"/>
          <w:szCs w:val="18"/>
          <w:b w:val="1"/>
          <w:bCs w:val="1"/>
          <w:color w:val="auto"/>
        </w:rPr>
        <w:t>Infringement</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355" w:name="page356"/>
    <w:bookmarkEnd w:id="355"/>
    <w:p>
      <w:pPr>
        <w:ind w:right="8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ind w:right="40" w:firstLine="1428"/>
        <w:spacing w:after="0" w:line="287" w:lineRule="auto"/>
        <w:tabs>
          <w:tab w:leader="none" w:pos="1677"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shall have the initial right, but not the obligation, to take reasonable legal action to enforce the Acumen Patent Rights against any Infringement by a Third Party, or defend any Acumen Patent Right against a declaratory judgment action or any other claim of invalidity (including without limitation any and all defenses, petitions, appeals, protests, conflict proceedings, nullity actions, invalidation proceedings, patent revocations, inventorship challenges, ownership challenges, invalidity actions and the like), at its sole expense. If, within [***] months after receiving a request from [***] that [***] commence litigation in an effort to terminate a commercially significant Infringement, [***] fails or elects not to initiate such litigation to abate such Infringement, then [***] shall have the right, upon [***] written approval (not to be unreasonably withheld) and at [***] sole expense, to initiate such legal action. If, within a reasonable period of time after receiving notice of such declaratory judgment action, [***] elects not to take action to defend such action, then [***] shall have the right, upon [***] written approval (not to be unreasonably withheld) and at [***] sole expense, to defend such legal action. For clarity, [***] right to enforce Acumen Patent Rights under this Section 9.3 shall only apply to Infringements involving [***] or (until expiration of the Option Period under the Vaccine Option) [***] in the Therapeutic Field or Diagnostic Field. [***] shall retain the exclusive right to enforce the Acumen Patent Rights as to all other infringement, at [***] sole expense and [***].</w:t>
      </w:r>
    </w:p>
    <w:p>
      <w:pPr>
        <w:spacing w:after="0" w:line="63" w:lineRule="exact"/>
        <w:rPr>
          <w:rFonts w:ascii="Arial" w:cs="Arial" w:eastAsia="Arial" w:hAnsi="Arial"/>
          <w:sz w:val="16"/>
          <w:szCs w:val="16"/>
          <w:color w:val="auto"/>
        </w:rPr>
      </w:pPr>
    </w:p>
    <w:p>
      <w:pPr>
        <w:ind w:right="40" w:firstLine="1428"/>
        <w:spacing w:after="0" w:line="255" w:lineRule="auto"/>
        <w:tabs>
          <w:tab w:leader="none" w:pos="168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shall have the initial right, but not the obligation, to take reasonable legal action to enforce the Joint Patent Rights against any Infringement by a Third Party, or defend any Joint Patent Right against a declaratory judgment action or any other claim of invalidity, at its sole expense. If, within [***] months after receiving a request from [***] that [***] commence litigation in an effort to terminate a commercially significant Infringement, [***] fails or elects not to initiate such litigation to abate such Infringement, then [***] shall have the right, upon [***] written approval (not to be unreasonably withheld) and at [***] sole expense, to initiate such legal action. [***] shall have the exclusive right to take or not take legal action to enforce Merck Patent Rights, with [***].</w:t>
      </w:r>
    </w:p>
    <w:p>
      <w:pPr>
        <w:spacing w:after="0" w:line="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9.3.2 </w:t>
      </w:r>
      <w:r>
        <w:rPr>
          <w:rFonts w:ascii="Arial" w:cs="Arial" w:eastAsia="Arial" w:hAnsi="Arial"/>
          <w:sz w:val="18"/>
          <w:szCs w:val="18"/>
          <w:b w:val="1"/>
          <w:bCs w:val="1"/>
          <w:u w:val="single" w:color="auto"/>
          <w:color w:val="auto"/>
        </w:rPr>
        <w:t>Cooperation; Costs and Recoveries</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89" w:lineRule="auto"/>
        <w:tabs>
          <w:tab w:leader="none" w:pos="1677" w:val="left"/>
        </w:tabs>
        <w:numPr>
          <w:ilvl w:val="0"/>
          <w:numId w:val="240"/>
        </w:numPr>
        <w:rPr>
          <w:rFonts w:ascii="Arial" w:cs="Arial" w:eastAsia="Arial" w:hAnsi="Arial"/>
          <w:sz w:val="16"/>
          <w:szCs w:val="16"/>
          <w:color w:val="auto"/>
        </w:rPr>
      </w:pPr>
      <w:r>
        <w:rPr>
          <w:rFonts w:ascii="Arial" w:cs="Arial" w:eastAsia="Arial" w:hAnsi="Arial"/>
          <w:sz w:val="16"/>
          <w:szCs w:val="16"/>
          <w:b w:val="1"/>
          <w:bCs w:val="1"/>
          <w:u w:val="single" w:color="auto"/>
          <w:color w:val="auto"/>
        </w:rPr>
        <w:t>Cooperation</w:t>
      </w:r>
      <w:r>
        <w:rPr>
          <w:rFonts w:ascii="Arial" w:cs="Arial" w:eastAsia="Arial" w:hAnsi="Arial"/>
          <w:sz w:val="16"/>
          <w:szCs w:val="16"/>
          <w:color w:val="auto"/>
        </w:rPr>
        <w:t>. If a Party (the “</w:t>
      </w:r>
      <w:r>
        <w:rPr>
          <w:rFonts w:ascii="Arial" w:cs="Arial" w:eastAsia="Arial" w:hAnsi="Arial"/>
          <w:sz w:val="16"/>
          <w:szCs w:val="16"/>
          <w:b w:val="1"/>
          <w:bCs w:val="1"/>
          <w:color w:val="auto"/>
        </w:rPr>
        <w:t>Controlling Party</w:t>
      </w:r>
      <w:r>
        <w:rPr>
          <w:rFonts w:ascii="Arial" w:cs="Arial" w:eastAsia="Arial" w:hAnsi="Arial"/>
          <w:sz w:val="16"/>
          <w:szCs w:val="16"/>
          <w:color w:val="auto"/>
        </w:rPr>
        <w:t>”) brings an infringement action in the applicable forum with respect to an</w:t>
      </w:r>
      <w:r>
        <w:rPr>
          <w:rFonts w:ascii="Arial" w:cs="Arial" w:eastAsia="Arial" w:hAnsi="Arial"/>
          <w:sz w:val="16"/>
          <w:szCs w:val="16"/>
          <w:b w:val="1"/>
          <w:bCs w:val="1"/>
          <w:color w:val="auto"/>
        </w:rPr>
        <w:t xml:space="preserve"> </w:t>
      </w:r>
      <w:r>
        <w:rPr>
          <w:rFonts w:ascii="Arial" w:cs="Arial" w:eastAsia="Arial" w:hAnsi="Arial"/>
          <w:sz w:val="16"/>
          <w:szCs w:val="16"/>
          <w:color w:val="auto"/>
        </w:rPr>
        <w:t>Infringement in accordance with Section 9.3.1 above, or defends against a declaratory judgment action with respect to an asserted Infringement, (each an “</w:t>
      </w:r>
      <w:r>
        <w:rPr>
          <w:rFonts w:ascii="Arial" w:cs="Arial" w:eastAsia="Arial" w:hAnsi="Arial"/>
          <w:sz w:val="16"/>
          <w:szCs w:val="16"/>
          <w:b w:val="1"/>
          <w:bCs w:val="1"/>
          <w:color w:val="auto"/>
        </w:rPr>
        <w:t>Infringement Action</w:t>
      </w:r>
      <w:r>
        <w:rPr>
          <w:rFonts w:ascii="Arial" w:cs="Arial" w:eastAsia="Arial" w:hAnsi="Arial"/>
          <w:sz w:val="16"/>
          <w:szCs w:val="16"/>
          <w:color w:val="auto"/>
        </w:rPr>
        <w:t>”), then the other Party (the “</w:t>
      </w:r>
      <w:r>
        <w:rPr>
          <w:rFonts w:ascii="Arial" w:cs="Arial" w:eastAsia="Arial" w:hAnsi="Arial"/>
          <w:sz w:val="16"/>
          <w:szCs w:val="16"/>
          <w:b w:val="1"/>
          <w:bCs w:val="1"/>
          <w:color w:val="auto"/>
        </w:rPr>
        <w:t>Cooperating Party</w:t>
      </w:r>
      <w:r>
        <w:rPr>
          <w:rFonts w:ascii="Arial" w:cs="Arial" w:eastAsia="Arial" w:hAnsi="Arial"/>
          <w:sz w:val="16"/>
          <w:szCs w:val="16"/>
          <w:color w:val="auto"/>
        </w:rPr>
        <w:t xml:space="preserve">”) shall cooperate as reasonably requested, at such Controlling Party’s expense, in the pursuit of such Infringement Action, including if necessary by joining as a nominal Party to the Infringement Action or taking such other actions as are necessary for standing or for the Controlling Party to otherwise maintain or pursue the Infringement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Controlling Party shall indemnify the Cooperating Party against any liability therefrom. The Controlling Party shall have the right to use counsel of its choice in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Cooperating Party shall have the right, even if not required to be joined, to participate in such Infringement Action with its own counsel at its own expense. The Controlling Party shall keep the Cooperating Party reasonably informed with respect to the progress or disposition of any Infringement Action hereunder, including reasonable consultation and approval regarding any settlements.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0" w:right="479" w:bottom="1440" w:gutter="0" w:footer="0" w:header="0"/>
        </w:sectPr>
      </w:pPr>
    </w:p>
    <w:bookmarkStart w:id="356" w:name="page357"/>
    <w:bookmarkEnd w:id="356"/>
    <w:p>
      <w:pPr>
        <w:ind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right="60" w:firstLine="1428"/>
        <w:spacing w:after="0" w:line="289" w:lineRule="auto"/>
        <w:tabs>
          <w:tab w:leader="none" w:pos="1687" w:val="left"/>
        </w:tabs>
        <w:numPr>
          <w:ilvl w:val="0"/>
          <w:numId w:val="241"/>
        </w:numPr>
        <w:rPr>
          <w:rFonts w:ascii="Arial" w:cs="Arial" w:eastAsia="Arial" w:hAnsi="Arial"/>
          <w:sz w:val="17"/>
          <w:szCs w:val="17"/>
          <w:color w:val="auto"/>
        </w:rPr>
      </w:pPr>
      <w:r>
        <w:rPr>
          <w:rFonts w:ascii="Arial" w:cs="Arial" w:eastAsia="Arial" w:hAnsi="Arial"/>
          <w:sz w:val="17"/>
          <w:szCs w:val="17"/>
          <w:b w:val="1"/>
          <w:bCs w:val="1"/>
          <w:u w:val="single" w:color="auto"/>
          <w:color w:val="auto"/>
        </w:rPr>
        <w:t>Costs and Recoveries</w:t>
      </w:r>
      <w:r>
        <w:rPr>
          <w:rFonts w:ascii="Arial" w:cs="Arial" w:eastAsia="Arial" w:hAnsi="Arial"/>
          <w:sz w:val="17"/>
          <w:szCs w:val="17"/>
          <w:color w:val="auto"/>
        </w:rPr>
        <w:t>. The costs and expenses of the Infringement Action shall be the responsibility of the Controlling Party,</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damages or other monetary rewards or settlement payments received by the Controlling Party shall first be applied to reimburse the Controlling Party’s costs and expenses attributed to the Infringement Action, and the remainder shall be shared as follows: [***].</w:t>
      </w:r>
    </w:p>
    <w:p>
      <w:pPr>
        <w:spacing w:after="0" w:line="50"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b w:val="1"/>
          <w:bCs w:val="1"/>
          <w:u w:val="single" w:color="auto"/>
          <w:color w:val="auto"/>
        </w:rPr>
        <w:t>Patent Term Extension</w:t>
      </w:r>
      <w:r>
        <w:rPr>
          <w:rFonts w:ascii="Arial" w:cs="Arial" w:eastAsia="Arial" w:hAnsi="Arial"/>
          <w:sz w:val="17"/>
          <w:szCs w:val="17"/>
          <w:color w:val="auto"/>
        </w:rPr>
        <w:t>. The Parties shall cooperate in obtaining patent term extensions or supplemental protection certificates or their equivalents in any country in the Territory where applicable to Acumen Patent Rights. If elections with respect to obtaining such patent term extensions are to be made, Merck shall have the right to make the election to seek patent term extension or supplemental protection.</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u w:val="single" w:color="auto"/>
          <w:color w:val="auto"/>
        </w:rPr>
        <w:t>Third Party Technology</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9.5.1 </w:t>
      </w:r>
      <w:r>
        <w:rPr>
          <w:rFonts w:ascii="Arial" w:cs="Arial" w:eastAsia="Arial" w:hAnsi="Arial"/>
          <w:sz w:val="16"/>
          <w:szCs w:val="16"/>
          <w:b w:val="1"/>
          <w:bCs w:val="1"/>
          <w:u w:val="single" w:color="auto"/>
          <w:color w:val="auto"/>
        </w:rPr>
        <w:t>Existing Agreements</w:t>
      </w:r>
      <w:r>
        <w:rPr>
          <w:rFonts w:ascii="Arial" w:cs="Arial" w:eastAsia="Arial" w:hAnsi="Arial"/>
          <w:sz w:val="16"/>
          <w:szCs w:val="16"/>
          <w:color w:val="auto"/>
        </w:rPr>
        <w:t>. Notwithstanding anything to the contrary, the Parties acknowledge that all rights granted, and obligations incurred, by Acumen under this Agreement shall be subject to and limited by the terms and conditions of the Northwestern License and the USC License. Without limiting the foregoing or any other obligations, Merck shall cooperate reasonably with Acumen to provide the information otherwise required to be provided under this Agreement for the purpose of enabling Acumen to disclose in a timely manner, under the Northwestern License and the USC License, information regarding the development and commercialization activities by or under authority of Merck under this Agreement as reasonably necessary to meet Acumen’s reporting obligations under the Northwestern License or the USC License with respect to such activities. Additionally, each of the obligations that the Northwestern License or the USC License requires be made applicable to Merck, such as without limitation indemnity obligations and obligations to maintain insurance, are here by made applicable to Merck, and Merck shall comply with such obligations.</w:t>
      </w:r>
    </w:p>
    <w:p>
      <w:pPr>
        <w:spacing w:after="0" w:line="51"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 xml:space="preserve">9.5.2 </w:t>
      </w:r>
      <w:r>
        <w:rPr>
          <w:rFonts w:ascii="Arial" w:cs="Arial" w:eastAsia="Arial" w:hAnsi="Arial"/>
          <w:sz w:val="18"/>
          <w:szCs w:val="18"/>
          <w:b w:val="1"/>
          <w:bCs w:val="1"/>
          <w:u w:val="single" w:color="auto"/>
          <w:color w:val="auto"/>
        </w:rPr>
        <w:t>Additional Agreements</w:t>
      </w:r>
      <w:r>
        <w:rPr>
          <w:rFonts w:ascii="Arial" w:cs="Arial" w:eastAsia="Arial" w:hAnsi="Arial"/>
          <w:sz w:val="18"/>
          <w:szCs w:val="18"/>
          <w:color w:val="auto"/>
        </w:rPr>
        <w:t>. Acumen shall endeavor in good faith, during the Research Term and so long as meetings of the DAC (including Acumen’s representative) are held pursuant to Section 4.2.4, to cooperate with Merck in determining which, if either, Party should obtain an exclusive license for Third Party rights to any Patent Rights, or Know-How, directed to ADDL Antigens and/or ADDL Antibodies in the Therapeutic Field, but shall have no obligation to cooperate with Merck to the extent of obtaining a license for applications other than ADDL Antibodies, ADDL Antigens or Products, each in the Therapeutic Field. If the Party granting a license, sublicense or other right under this Agreement (the “</w:t>
      </w:r>
      <w:r>
        <w:rPr>
          <w:rFonts w:ascii="Arial" w:cs="Arial" w:eastAsia="Arial" w:hAnsi="Arial"/>
          <w:sz w:val="18"/>
          <w:szCs w:val="18"/>
          <w:b w:val="1"/>
          <w:bCs w:val="1"/>
          <w:color w:val="auto"/>
        </w:rPr>
        <w:t>Grantor</w:t>
      </w:r>
      <w:r>
        <w:rPr>
          <w:rFonts w:ascii="Arial" w:cs="Arial" w:eastAsia="Arial" w:hAnsi="Arial"/>
          <w:sz w:val="18"/>
          <w:szCs w:val="18"/>
          <w:color w:val="auto"/>
        </w:rPr>
        <w:t>”) licenses or acquires from a Third Party rights to any Patent Rights or Know-How after the Effective Date that is subject to royalty or other payment obligations to the Third Party (“</w:t>
      </w:r>
      <w:r>
        <w:rPr>
          <w:rFonts w:ascii="Arial" w:cs="Arial" w:eastAsia="Arial" w:hAnsi="Arial"/>
          <w:sz w:val="18"/>
          <w:szCs w:val="18"/>
          <w:b w:val="1"/>
          <w:bCs w:val="1"/>
          <w:color w:val="auto"/>
        </w:rPr>
        <w:t>Third Party Technology</w:t>
      </w:r>
      <w:r>
        <w:rPr>
          <w:rFonts w:ascii="Arial" w:cs="Arial" w:eastAsia="Arial" w:hAnsi="Arial"/>
          <w:sz w:val="18"/>
          <w:szCs w:val="18"/>
          <w:color w:val="auto"/>
        </w:rPr>
        <w:t>”), then the grant of such rights to the other Party hereunder (the “</w:t>
      </w:r>
      <w:r>
        <w:rPr>
          <w:rFonts w:ascii="Arial" w:cs="Arial" w:eastAsia="Arial" w:hAnsi="Arial"/>
          <w:sz w:val="18"/>
          <w:szCs w:val="18"/>
          <w:b w:val="1"/>
          <w:bCs w:val="1"/>
          <w:color w:val="auto"/>
        </w:rPr>
        <w:t>Grantee</w:t>
      </w:r>
      <w:r>
        <w:rPr>
          <w:rFonts w:ascii="Arial" w:cs="Arial" w:eastAsia="Arial" w:hAnsi="Arial"/>
          <w:sz w:val="18"/>
          <w:szCs w:val="18"/>
          <w:color w:val="auto"/>
        </w:rPr>
        <w:t>”) shall be subject to the Grantee agreeing in writing to pay the Grantor (i) any and all royalties payable to the Third Party with respect to such Third Party Technology that become payable by reason of Grantee’s exercise of such rights hereunder and (ii) that portion of any upfront license fees, milestone payments and other similar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0" w:right="459" w:bottom="1440" w:gutter="0" w:footer="0" w:header="0"/>
        </w:sectPr>
      </w:pPr>
    </w:p>
    <w:bookmarkStart w:id="357" w:name="page358"/>
    <w:bookmarkEnd w:id="357"/>
    <w:p>
      <w:pPr>
        <w:ind w:right="8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(non-royalty) amounts reasonably allocated to the rights granted to the Grantee hereunder (taking into consideration the benefits of such rights under such Third Party Technology to each Party). Upon request of the Grantee, the Grantor shall disclose to the Grantee a true, complete and correct written description of such payment obligations. In the event that the Parties are unable to agree upon an allocation under this Section 9.5.2, then the matter shall be settled in accordance with Section 14.2.</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w:t>
      </w:r>
    </w:p>
    <w:p>
      <w:pPr>
        <w:spacing w:after="0" w:line="99"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u w:val="single" w:color="auto"/>
          <w:color w:val="auto"/>
        </w:rPr>
        <w:t>Confidential Information</w:t>
      </w:r>
      <w:r>
        <w:rPr>
          <w:rFonts w:ascii="Arial" w:cs="Arial" w:eastAsia="Arial" w:hAnsi="Arial"/>
          <w:sz w:val="17"/>
          <w:szCs w:val="17"/>
          <w:color w:val="auto"/>
        </w:rPr>
        <w:t>. Except as otherwise expressly provided herein, the Parties agree that the receiving Party shall not, except as expressly provided in this Article 10, disclose to any Third Party or use for any purpose any information furnished to it by the other Party pursuant to this Agreement that is (i) of the type generally deemed to be proprietary within the pharmaceutical industry or (ii) that if disclosed in tangible form is marked “Confidential” or with other similar designation to indicate its confidential or proprietary nature or if disclosed orally is indicated to be confidential or proprietary by the Party disclosing such information at the time of initial disclosure and is confirmed in writing as confidential or proprietary by the disclosing Party within a reasonable time after such disclosure (collectively,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except to the extent that it can be established by the receiving Party by competent proof that such information:</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10.1.1 was already known to the receiving Party at the time of disclosure;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10.1.2 was generally available to the public or otherwise part of the public domain at the time of its disclosure to the receiving Party;</w:t>
      </w:r>
    </w:p>
    <w:p>
      <w:pPr>
        <w:spacing w:after="0" w:line="1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10.1.3 became generally available to the public or otherwise part of the public domain after its disclosure and other than through any act or omission of the receiving Party in breach of this Agreement;</w:t>
      </w:r>
    </w:p>
    <w:p>
      <w:pPr>
        <w:spacing w:after="0" w:line="62"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10.1.4 was independently developed by the receiving Party as demonstrated by documented evidence prepared contemporaneously with such independent development; or</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10.1.5 was disclosed to the receiving Party, by a Third Party who had no obligation to the disclosing Party not to disclose such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others.</w:t>
      </w:r>
    </w:p>
    <w:p>
      <w:pPr>
        <w:spacing w:after="0" w:line="99"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u w:val="single" w:color="auto"/>
          <w:color w:val="auto"/>
        </w:rPr>
        <w:t>Permitted Use and Disclosures</w:t>
      </w:r>
      <w:r>
        <w:rPr>
          <w:rFonts w:ascii="Arial" w:cs="Arial" w:eastAsia="Arial" w:hAnsi="Arial"/>
          <w:sz w:val="16"/>
          <w:szCs w:val="16"/>
          <w:color w:val="auto"/>
        </w:rPr>
        <w:t>. Each Party hereto may use or disclose Confidential Information disclosed to it by the other Party to the extent such use or disclosure is reasonably necessary (a) in the exercise of the rights granted to it hereunder, or (b) in prosecuting or defending litigation, enforcing this Agreement or the rights hereunder, complying with applicable laws, regulations (including securities laws and regulations) or court order or otherwise submitting information to tax or other governmental authorities, including any required financial disclosures as reasonably required by its independent auditors; or (c) as deemed necessary by Merck to be disclosed to its Affiliates and Sublicensees, agents, consultants, and/or other Third Parties for any and all purposes Merck and its Affiliates deem necessary or advisable for the research and development, manufacturing and/or marketing of Product(s) (or for such entities to determine their interest in performing such activities) in accordance with this Agreement; or (d) as deemed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0" w:right="479" w:bottom="1440" w:gutter="0" w:footer="0" w:header="0"/>
        </w:sectPr>
      </w:pPr>
    </w:p>
    <w:bookmarkStart w:id="358" w:name="page359"/>
    <w:bookmarkEnd w:id="358"/>
    <w:p>
      <w:pPr>
        <w:ind w:left="4"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necessary by Acumen to be disclosed to potential licensees other than for Products in the Therapeutic Field and Diagnostic Field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disclosures by Acumen shall be limited to the relevant provisions of Article 5 hereof); in all cases on the condition that any Third Parties to whom Confidential Information is disclosed agree to be bound by the confidentiality and non-use obligations contained this Agreement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term of confidentiality for such Third Parties shall be no less than [***] years;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 Party is required by law to make any such disclosure, other than pursuant to a confidentiality agreement, it will give reasonable advance notice to the other Party of such disclosure and, save to the extent inappropriate in the case of patent applications or the like, will use its reasonable efforts to secure confidential treatment of such information in consultation with the other Party prior to its disclosure (whether through protective orders or otherwise) and disclose only the minimum necessary to comply with such requirements.</w:t>
      </w:r>
    </w:p>
    <w:p>
      <w:pPr>
        <w:spacing w:after="0" w:line="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Nondisclosure of Terms</w:t>
      </w:r>
      <w:r>
        <w:rPr>
          <w:rFonts w:ascii="Arial" w:cs="Arial" w:eastAsia="Arial" w:hAnsi="Arial"/>
          <w:sz w:val="18"/>
          <w:szCs w:val="18"/>
          <w:color w:val="auto"/>
        </w:rPr>
        <w:t>.</w:t>
      </w:r>
    </w:p>
    <w:p>
      <w:pPr>
        <w:spacing w:after="0" w:line="121" w:lineRule="exact"/>
        <w:rPr>
          <w:sz w:val="20"/>
          <w:szCs w:val="20"/>
          <w:color w:val="auto"/>
        </w:rPr>
      </w:pPr>
    </w:p>
    <w:p>
      <w:pPr>
        <w:ind w:left="4" w:right="80" w:firstLine="991"/>
        <w:spacing w:after="0" w:line="291" w:lineRule="auto"/>
        <w:rPr>
          <w:sz w:val="20"/>
          <w:szCs w:val="20"/>
          <w:color w:val="auto"/>
        </w:rPr>
      </w:pPr>
      <w:r>
        <w:rPr>
          <w:rFonts w:ascii="Arial" w:cs="Arial" w:eastAsia="Arial" w:hAnsi="Arial"/>
          <w:sz w:val="16"/>
          <w:szCs w:val="16"/>
          <w:color w:val="auto"/>
        </w:rPr>
        <w:t>10.3.1 Each of the Parties hereto agrees not to disclose the [***] of this Agreement to any Third Party without the prior written consent of the other Party hereto, which consent shall not be unreasonably withheld or delayed, except as permitted pursuant to Section 10.2, and [***] that such</w:t>
      </w:r>
    </w:p>
    <w:p>
      <w:pPr>
        <w:ind w:left="4" w:right="60" w:hanging="4"/>
        <w:spacing w:after="0" w:line="290" w:lineRule="auto"/>
        <w:tabs>
          <w:tab w:leader="none" w:pos="439"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of this Agreement may be disclosed to [***], and (with the consent of Merck not to be unreasonably withheld) others on a need to know basis, or in connection with a merger, acquisition of stock or assets, proposed merger or acquisition, as a part of such entities’ due diligence investigations, or the like,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entities to whom confidential information is disclosed agree in writing to abide by confidentiality and non-use provisions substantially equivalent to those contained in this Article 10 (other than Section 10.4 below)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term of confidentiality for such Third Parties shall be no less than [***] years; and such [***] of this Agreement may additionally be disclosed as reasonably advised by a Party’s legal advisors or accountants to comply with any law, regulation or order, or any requirement of a government body.</w:t>
      </w:r>
    </w:p>
    <w:p>
      <w:pPr>
        <w:spacing w:after="0" w:line="56" w:lineRule="exact"/>
        <w:rPr>
          <w:sz w:val="20"/>
          <w:szCs w:val="20"/>
          <w:color w:val="auto"/>
        </w:rPr>
      </w:pPr>
    </w:p>
    <w:p>
      <w:pPr>
        <w:ind w:left="4" w:right="80" w:firstLine="991"/>
        <w:spacing w:after="0" w:line="273" w:lineRule="auto"/>
        <w:rPr>
          <w:sz w:val="20"/>
          <w:szCs w:val="20"/>
          <w:color w:val="auto"/>
        </w:rPr>
      </w:pPr>
      <w:r>
        <w:rPr>
          <w:rFonts w:ascii="Arial" w:cs="Arial" w:eastAsia="Arial" w:hAnsi="Arial"/>
          <w:sz w:val="17"/>
          <w:szCs w:val="17"/>
          <w:color w:val="auto"/>
        </w:rPr>
        <w:t xml:space="preserve">10.3.2 Notwithstanding the foregoing, Acumen or Merck may issue for public disclosure the press release attached hereto as </w:t>
      </w:r>
      <w:r>
        <w:rPr>
          <w:rFonts w:ascii="Arial" w:cs="Arial" w:eastAsia="Arial" w:hAnsi="Arial"/>
          <w:sz w:val="17"/>
          <w:szCs w:val="17"/>
          <w:u w:val="single" w:color="auto"/>
          <w:color w:val="auto"/>
        </w:rPr>
        <w:t>Exhibit 10.3</w:t>
      </w:r>
      <w:r>
        <w:rPr>
          <w:rFonts w:ascii="Arial" w:cs="Arial" w:eastAsia="Arial" w:hAnsi="Arial"/>
          <w:sz w:val="17"/>
          <w:szCs w:val="17"/>
          <w:color w:val="auto"/>
        </w:rPr>
        <w:t xml:space="preserve">; thereafter, Acumen and Merck may each disclose to Third Parties the information contained in such press release without the need for further approval by the other. The Parties will consider in good faith any request by the other Party for a public disclosure not otherwise permitted pursuant to this Section 10.3, but shall not be obligated to consent to such public disclosure. In the event of any termination of this Agreement under Article 13, the Parties shall agree on an announcement of such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Parties shall use reasonable efforts to fashion such announcement so as to minimize any negative impact on either Party as a result of such announcement.</w:t>
      </w:r>
    </w:p>
    <w:p>
      <w:pPr>
        <w:spacing w:after="0" w:line="66" w:lineRule="exact"/>
        <w:rPr>
          <w:sz w:val="20"/>
          <w:szCs w:val="20"/>
          <w:color w:val="auto"/>
        </w:rPr>
      </w:pPr>
    </w:p>
    <w:p>
      <w:pPr>
        <w:ind w:left="4" w:right="160" w:firstLine="440"/>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u w:val="single" w:color="auto"/>
          <w:color w:val="auto"/>
        </w:rPr>
        <w:t>Publication</w:t>
      </w:r>
      <w:r>
        <w:rPr>
          <w:rFonts w:ascii="Arial" w:cs="Arial" w:eastAsia="Arial" w:hAnsi="Arial"/>
          <w:sz w:val="18"/>
          <w:szCs w:val="18"/>
          <w:color w:val="auto"/>
        </w:rPr>
        <w:t>. Any manuscript by Acumen or Merck describing scientific results pertaining to studies of any Product to be published or publicly disclosed, shall be subject to the prior review of the other Party at least [***] days prior to submission. If such scientific results contain the information of the other Party that is subject to use and nondisclosure restrictions under this Article 10, the publishing Party agrees to remove such information from the proposed publication or disclosure. Further, if the non-publishing Party believes the publication of such results would be unfairly damaging to the Product or such Party, and has a reasonable basis for not publishing such results, then upon request within such [***] day period the results shall not be so published until the matter is resolved. If the matter cannot be resolved between the Parties by mutual agreement, it shall be resolved in accordance with Article 14 below.</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0" w:right="459" w:bottom="1440" w:gutter="0" w:footer="0" w:header="0"/>
        </w:sectPr>
      </w:pPr>
    </w:p>
    <w:bookmarkStart w:id="359" w:name="page360"/>
    <w:bookmarkEnd w:id="359"/>
    <w:p>
      <w:pPr>
        <w:ind w:left="4" w:right="8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left="4" w:right="220" w:firstLine="440"/>
        <w:spacing w:after="0" w:line="282"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u w:val="single" w:color="auto"/>
          <w:color w:val="auto"/>
        </w:rPr>
        <w:t>Residuals</w:t>
      </w:r>
      <w:r>
        <w:rPr>
          <w:rFonts w:ascii="Arial" w:cs="Arial" w:eastAsia="Arial" w:hAnsi="Arial"/>
          <w:sz w:val="18"/>
          <w:szCs w:val="18"/>
          <w:color w:val="auto"/>
        </w:rPr>
        <w:t>. Notwithstanding anything to the contrary in this Article 10, the Parties agree that [***] shall not be considered a breach of this Agreement. This Section 10.5 shall not be deemed to extend to any Patent Rights in such concepts.</w:t>
      </w:r>
    </w:p>
    <w:p>
      <w:pPr>
        <w:spacing w:after="0" w:line="378"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REPRESENTATIONS AND WARRANTIES</w:t>
      </w:r>
    </w:p>
    <w:p>
      <w:pPr>
        <w:spacing w:after="0" w:line="99" w:lineRule="exact"/>
        <w:rPr>
          <w:sz w:val="20"/>
          <w:szCs w:val="20"/>
          <w:color w:val="auto"/>
        </w:rPr>
      </w:pPr>
    </w:p>
    <w:p>
      <w:pPr>
        <w:ind w:left="4" w:firstLine="440"/>
        <w:spacing w:after="0" w:line="25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Warranty</w:t>
      </w:r>
      <w:r>
        <w:rPr>
          <w:rFonts w:ascii="Arial" w:cs="Arial" w:eastAsia="Arial" w:hAnsi="Arial"/>
          <w:sz w:val="18"/>
          <w:szCs w:val="18"/>
          <w:color w:val="auto"/>
        </w:rPr>
        <w:t>. Each Party represents and warrants on its own behalf and on behalf of its Affiliates that as of the Effective Date and again as of the Amendment Effective Date: (i) it has the legal power and authority to enter into this Agreement and to perform all of its obligations hereunder; (ii) it has and will have the right and authority to grant the rights and licenses granted by it hereunder; (iii) this Agreement is a legal and valid obligation binding upon it and enforceable in accordance with its terms; (iv) it has not previously granted, and during the Term of this Agreement will not knowingly make any commitment or grant, any rights which are in conflict in any material way with the rights and licenses granted herein; and (v) as of the Effective Date it is not controlled by any other entity.</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Additional Warranty of Acumen</w:t>
      </w:r>
      <w:r>
        <w:rPr>
          <w:rFonts w:ascii="Arial" w:cs="Arial" w:eastAsia="Arial" w:hAnsi="Arial"/>
          <w:sz w:val="18"/>
          <w:szCs w:val="18"/>
          <w:color w:val="auto"/>
        </w:rPr>
        <w:t>.</w:t>
      </w:r>
    </w:p>
    <w:p>
      <w:pPr>
        <w:spacing w:after="0" w:line="121"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In addition, Acumen represents and warrants that, to the best of its knowledge as of the Effective Date and again as of the Amendment Effective Date, (i) Acumen is the only party authorized to grant licenses under the Acumen Technology and Acumen Diagnostic IP except as otherwise provided in this Agreement; (ii) prosecution of the Acumen Patent Rights by Acumen has been in good faith; (iii) Acumen Technology and Acumen Diagnostic IP is not subject to any lien or encumbrance; (iv) there have been no claims, judgments, or settlements against or owed by Acumen and there are no pending or threatened claims or litigation relating to the Acumen Technology or Acumen Diagnostic IP; (v) to the best of Acumen’s knowledge as of the Effective Date, Acumen’s contemplated activities pursuant to the Research Plan do not infringe valid patents issued to Third Parties; and</w:t>
      </w:r>
    </w:p>
    <w:p>
      <w:pPr>
        <w:spacing w:after="0" w:line="4" w:lineRule="exact"/>
        <w:rPr>
          <w:sz w:val="20"/>
          <w:szCs w:val="20"/>
          <w:color w:val="auto"/>
        </w:rPr>
      </w:pPr>
    </w:p>
    <w:p>
      <w:pPr>
        <w:jc w:val="both"/>
        <w:ind w:left="4" w:right="120" w:hanging="4"/>
        <w:spacing w:after="0" w:line="253" w:lineRule="auto"/>
        <w:tabs>
          <w:tab w:leader="none" w:pos="30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Northwestern License and the USC License have not been breached by Acumen and are to the best of Acumen’s knowledge as of the Effective Date are in force and effect. Acumen shall notify Merck in writing immediately upon receiving any notice (i) from Northwestern University regarding any allegation of a breach of the Northwestern License, or (ii) from the University of Southern California regarding any allegation of a breach of the USC License.</w:t>
      </w:r>
    </w:p>
    <w:p>
      <w:pPr>
        <w:spacing w:after="0" w:line="81"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u w:val="single" w:color="auto"/>
          <w:color w:val="auto"/>
        </w:rPr>
        <w:t>Disclaimer</w:t>
      </w:r>
      <w:r>
        <w:rPr>
          <w:rFonts w:ascii="Arial" w:cs="Arial" w:eastAsia="Arial" w:hAnsi="Arial"/>
          <w:sz w:val="17"/>
          <w:szCs w:val="17"/>
          <w:color w:val="auto"/>
        </w:rPr>
        <w:t>. MERCK AND ACUMEN SPECIFICALLY DISCLAIM ANY GUARANTEE THAT THE RESEARCH PROGRAM WILL BE SUCCESSFUL, IN WHOLE OR IN PART. THE PARTIES ACKNOWLEDGE THAT THERE IS NO GUARANTEE THAT THEY WILL BE ABLE TO DEVELOP SUCCESSFULLY PRE-CLINICAL CANDIDATES, ADDL ANTIBODIES, ADDL ANTIGENS OR PRODUCTS. EXCEPT AS OTHERWISE EXPRESSLY SET FORTH IN THIS AGREEMENT, ACUMEN AND MERCK MAKE NO REPRESENTATIONS AND EXTEND NO WARRANTIES OR CONDITIONS OF ANY KIND, EITHER EXPRESS OR IMPLIED, WITH RESPECT TO THE ACUMEN TECHNOLOGY, LICENSED INGREDIENTS, PRODUCTS OR INFORMATION DISCLOSED HEREUNDER, INCLUDING, BUT NOT LIMITED TO, WARRANTIES OF MERCHANTABILITY, FITNESS FOR A PARTICULAR PURPOSE, VALIDITY OF ANY ACUMEN TECHNOLOGY, PATENTED OR UNPATENTED, OR NONINFRINGEMENT OF THE INTELLECTUAL PROPERTY RIGHTS OF THIRD PARTIES.</w:t>
      </w:r>
    </w:p>
    <w:p>
      <w:pPr>
        <w:spacing w:after="0" w:line="10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4"/>
          </w:cols>
          <w:pgMar w:left="436" w:top="270" w:right="499" w:bottom="1440" w:gutter="0" w:footer="0" w:header="0"/>
        </w:sectPr>
      </w:pPr>
    </w:p>
    <w:bookmarkStart w:id="360" w:name="page361"/>
    <w:bookmarkEnd w:id="360"/>
    <w:p>
      <w:pPr>
        <w:ind w:left="4"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INDEMNIFICATION</w:t>
      </w:r>
    </w:p>
    <w:p>
      <w:pPr>
        <w:spacing w:after="0" w:line="99"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b w:val="1"/>
          <w:bCs w:val="1"/>
          <w:u w:val="single" w:color="auto"/>
          <w:color w:val="auto"/>
        </w:rPr>
        <w:t>Merck</w:t>
      </w:r>
      <w:r>
        <w:rPr>
          <w:rFonts w:ascii="Arial" w:cs="Arial" w:eastAsia="Arial" w:hAnsi="Arial"/>
          <w:sz w:val="16"/>
          <w:szCs w:val="16"/>
          <w:color w:val="auto"/>
        </w:rPr>
        <w:t>. Merck agrees to indemnify, defend and hold Acumen and its respective directors, officers, employees, agents and their respective successors, heirs and assigns (the “</w:t>
      </w:r>
      <w:r>
        <w:rPr>
          <w:rFonts w:ascii="Arial" w:cs="Arial" w:eastAsia="Arial" w:hAnsi="Arial"/>
          <w:sz w:val="16"/>
          <w:szCs w:val="16"/>
          <w:b w:val="1"/>
          <w:bCs w:val="1"/>
          <w:color w:val="auto"/>
        </w:rPr>
        <w:t>Acumen Indemnitees</w:t>
      </w:r>
      <w:r>
        <w:rPr>
          <w:rFonts w:ascii="Arial" w:cs="Arial" w:eastAsia="Arial" w:hAnsi="Arial"/>
          <w:sz w:val="16"/>
          <w:szCs w:val="16"/>
          <w:color w:val="auto"/>
        </w:rPr>
        <w:t>”) harmless from and against any and all losses, costs, claims, damages, liabilities or expense (including reasonable attorneys’ and professional fees and other expenses of litigation) (collectively, “</w:t>
      </w:r>
      <w:r>
        <w:rPr>
          <w:rFonts w:ascii="Arial" w:cs="Arial" w:eastAsia="Arial" w:hAnsi="Arial"/>
          <w:sz w:val="16"/>
          <w:szCs w:val="16"/>
          <w:b w:val="1"/>
          <w:bCs w:val="1"/>
          <w:color w:val="auto"/>
        </w:rPr>
        <w:t>Liabilities</w:t>
      </w:r>
      <w:r>
        <w:rPr>
          <w:rFonts w:ascii="Arial" w:cs="Arial" w:eastAsia="Arial" w:hAnsi="Arial"/>
          <w:sz w:val="16"/>
          <w:szCs w:val="16"/>
          <w:color w:val="auto"/>
        </w:rPr>
        <w:t>”) arising, directly or indirectly out of or in connection with Third Party claims, suits, actions, demands or judgments, relating to (i) any Products or Diagnostic Products developed, manufactured, used, sold or otherwise distributed by or on behalf of Merck, its Affiliates or Sublicensees or other designees or sublicensees (including, without limitation, product liability and patent infringement claims other than claims concerning Diagnostic Products sold by Acumen or its Affiliates or Sublicensees), or (ii) any breach by Merck of the representations and warranties made in this Agreement, except, in each case, to the extent such Liabilities result from a material breach of this Agreement, negligence or intentional misconduct by Acumen.</w:t>
      </w:r>
    </w:p>
    <w:p>
      <w:pPr>
        <w:spacing w:after="0" w:line="51"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b w:val="1"/>
          <w:bCs w:val="1"/>
          <w:u w:val="single" w:color="auto"/>
          <w:color w:val="auto"/>
        </w:rPr>
        <w:t>Acumen</w:t>
      </w:r>
      <w:r>
        <w:rPr>
          <w:rFonts w:ascii="Arial" w:cs="Arial" w:eastAsia="Arial" w:hAnsi="Arial"/>
          <w:sz w:val="16"/>
          <w:szCs w:val="16"/>
          <w:color w:val="auto"/>
        </w:rPr>
        <w:t>. Acumen agrees to indemnify, defend and hold Merck and its respective directors, officers, employees, agents and their respective successors, heirs and assigns (the “</w:t>
      </w:r>
      <w:r>
        <w:rPr>
          <w:rFonts w:ascii="Arial" w:cs="Arial" w:eastAsia="Arial" w:hAnsi="Arial"/>
          <w:sz w:val="16"/>
          <w:szCs w:val="16"/>
          <w:b w:val="1"/>
          <w:bCs w:val="1"/>
          <w:color w:val="auto"/>
        </w:rPr>
        <w:t>Merck Indemnitees</w:t>
      </w:r>
      <w:r>
        <w:rPr>
          <w:rFonts w:ascii="Arial" w:cs="Arial" w:eastAsia="Arial" w:hAnsi="Arial"/>
          <w:sz w:val="16"/>
          <w:szCs w:val="16"/>
          <w:color w:val="auto"/>
        </w:rPr>
        <w:t>”) harmless from and against any Liabilities arising, directly or indirectly out of or in connection with Third Party claims, suits, actions, demands or judgments, relating to (i) any Diagnostic Products developed, manufactured, used, sold or otherwise distributed by or on behalf of Acumen, its Affiliates or Sublicensees or other designees or sublicensees (including, without limitation, product liability and patent infringement claims related thereto other than claims relating to Diagnostic Products sold by Merck or its Affiliates or sublicensees); or</w:t>
      </w:r>
    </w:p>
    <w:p>
      <w:pPr>
        <w:spacing w:after="0" w:line="2" w:lineRule="exact"/>
        <w:rPr>
          <w:sz w:val="20"/>
          <w:szCs w:val="20"/>
          <w:color w:val="auto"/>
        </w:rPr>
      </w:pPr>
    </w:p>
    <w:p>
      <w:pPr>
        <w:ind w:left="4" w:right="60" w:hanging="4"/>
        <w:spacing w:after="0" w:line="260" w:lineRule="auto"/>
        <w:tabs>
          <w:tab w:leader="none" w:pos="26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breach by Acumen of its representations and warranties made in this Agreement, except, in each case, to the extent such Liabilities result from a material breach of this Agreement, negligence or intentional misconduct by Merck.</w:t>
      </w:r>
    </w:p>
    <w:p>
      <w:pPr>
        <w:spacing w:after="0" w:line="73"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u w:val="single" w:color="auto"/>
          <w:color w:val="auto"/>
        </w:rPr>
        <w:t>Procedure</w:t>
      </w:r>
      <w:r>
        <w:rPr>
          <w:rFonts w:ascii="Arial" w:cs="Arial" w:eastAsia="Arial" w:hAnsi="Arial"/>
          <w:sz w:val="18"/>
          <w:szCs w:val="18"/>
          <w:color w:val="auto"/>
        </w:rPr>
        <w:t xml:space="preserve">. In the event that any Indemnitee (either a Merck Indemnitee or a Acumen Indemnitee) intends to claim indemnification under this Article 12 it shall promptly notify the other Party in writing of such alleged Liability. The indemnifying Party shall have the right to control the defense thereof with counsel of its choice as long as such counsel is reasonably acceptable to Indemnitee;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Indemnitee shall have the right to retain its own counsel at its own expense, for any reason, including if representation of any Indemnitee by the counsel retained by the indemnifying Party would be inappropriate due to actual or potential differing interests between such Indemnitee and any other party reasonably represented by such counsel in such proceeding. The affected Indemnitee shall cooperate with the indemnifying Party and its legal representatives in the investigation of any action, claim or liability covered by this Article 12. The Indemnitee shall not, except at its own cost, voluntarily make any payment or incur any expense with respect to any claim or suit without the prior written consent of the indemnifying Party, which such Party shall not be required to give.</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0" w:right="459" w:bottom="1440" w:gutter="0" w:footer="0" w:header="0"/>
        </w:sectPr>
      </w:pPr>
    </w:p>
    <w:bookmarkStart w:id="361" w:name="page362"/>
    <w:bookmarkEnd w:id="361"/>
    <w:p>
      <w:pPr>
        <w:ind w:left="4"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TERM AND TERMINATION</w:t>
      </w:r>
    </w:p>
    <w:p>
      <w:pPr>
        <w:spacing w:after="0" w:line="99" w:lineRule="exact"/>
        <w:rPr>
          <w:sz w:val="20"/>
          <w:szCs w:val="20"/>
          <w:color w:val="auto"/>
        </w:rPr>
      </w:pPr>
    </w:p>
    <w:p>
      <w:pPr>
        <w:ind w:left="4" w:right="80" w:firstLine="440"/>
        <w:spacing w:after="0" w:line="266"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term of this Agreement shall commence on the Effective Date, and shall continue in full force and effect on a country-by-country and Product-by-Product basis until Merck has no remaining royalty payment obligations in such country with respect to such Products, unless terminated earlier as provided in this Article 13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68" w:lineRule="exact"/>
        <w:rPr>
          <w:sz w:val="20"/>
          <w:szCs w:val="20"/>
          <w:color w:val="auto"/>
        </w:rPr>
      </w:pPr>
    </w:p>
    <w:p>
      <w:pPr>
        <w:ind w:left="4" w:right="200" w:firstLine="440"/>
        <w:spacing w:after="0" w:line="289"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b w:val="1"/>
          <w:bCs w:val="1"/>
          <w:u w:val="single" w:color="auto"/>
          <w:color w:val="auto"/>
        </w:rPr>
        <w:t>Termination for Breach</w:t>
      </w:r>
      <w:r>
        <w:rPr>
          <w:rFonts w:ascii="Arial" w:cs="Arial" w:eastAsia="Arial" w:hAnsi="Arial"/>
          <w:sz w:val="16"/>
          <w:szCs w:val="16"/>
          <w:color w:val="auto"/>
        </w:rPr>
        <w:t>. Either Party to this Agreement may terminate this Agreement in the event the other Party hereto shall have materially breached or defaulted in the performance of any of its material obligations hereunder, and such default shall have continued for [***] days after written notice thereof was provided to the breaching Party by the non-breaching Party. Any termination shall become effective at the end of such</w:t>
      </w:r>
    </w:p>
    <w:p>
      <w:pPr>
        <w:spacing w:after="0" w:line="2" w:lineRule="exact"/>
        <w:rPr>
          <w:sz w:val="20"/>
          <w:szCs w:val="20"/>
          <w:color w:val="auto"/>
        </w:rPr>
      </w:pPr>
    </w:p>
    <w:p>
      <w:pPr>
        <w:ind w:left="4" w:right="140" w:hanging="4"/>
        <w:spacing w:after="0" w:line="253" w:lineRule="auto"/>
        <w:tabs>
          <w:tab w:leader="none" w:pos="43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day period unless the breaching Party has cured any such breach or default prior to the expiration of the [***] day period. Notwithstanding the foregoing, (i) in the event of a failure to pay any amount due hereunder, such default may be the basis of termination [***] days following the date that notice of such default was provided to the breaching Party if such default is not cured within such [***] day period; and (ii) in the event of a dispute between the Parties as to whether a breach has occurred, [***]</w:t>
      </w:r>
    </w:p>
    <w:p>
      <w:pPr>
        <w:spacing w:after="0" w:line="81" w:lineRule="exact"/>
        <w:rPr>
          <w:sz w:val="20"/>
          <w:szCs w:val="20"/>
          <w:color w:val="auto"/>
        </w:rPr>
      </w:pPr>
    </w:p>
    <w:p>
      <w:pPr>
        <w:ind w:left="4" w:right="340" w:firstLine="440"/>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u w:val="single" w:color="auto"/>
          <w:color w:val="auto"/>
        </w:rPr>
        <w:t>Permissive Termination by Merck</w:t>
      </w:r>
      <w:r>
        <w:rPr>
          <w:rFonts w:ascii="Arial" w:cs="Arial" w:eastAsia="Arial" w:hAnsi="Arial"/>
          <w:sz w:val="18"/>
          <w:szCs w:val="18"/>
          <w:color w:val="auto"/>
        </w:rPr>
        <w:t>. At any time after [***] months after the Effective Date, Merck shall have the right to terminate this Agreement, without cause, upon [***] days prior written notice.</w:t>
      </w:r>
    </w:p>
    <w:p>
      <w:pPr>
        <w:spacing w:after="0" w:line="54" w:lineRule="exact"/>
        <w:rPr>
          <w:sz w:val="20"/>
          <w:szCs w:val="20"/>
          <w:color w:val="auto"/>
        </w:rPr>
      </w:pPr>
    </w:p>
    <w:p>
      <w:pPr>
        <w:ind w:left="4" w:right="100" w:firstLine="440"/>
        <w:spacing w:after="0" w:line="258"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b w:val="1"/>
          <w:bCs w:val="1"/>
          <w:u w:val="single" w:color="auto"/>
          <w:color w:val="auto"/>
        </w:rPr>
        <w:t>Termination For Bankruptcy</w:t>
      </w:r>
      <w:r>
        <w:rPr>
          <w:rFonts w:ascii="Arial" w:cs="Arial" w:eastAsia="Arial" w:hAnsi="Arial"/>
          <w:sz w:val="18"/>
          <w:szCs w:val="18"/>
          <w:color w:val="auto"/>
        </w:rPr>
        <w:t>. Either Party hereto shall have the right to terminate this Agreement forthwith by written notice to the other Party (i) if the other Party is declared insolvent or bankrupt by a court of competent jurisdiction, (ii) if a voluntary or involuntary petition in bankruptcy is filed in any court of competent jurisdiction against the other Party and such petition is not dismissed within [***] days after filing, (iii) if the other Party shall make or execute an assignment of substantially all of its assets for the benefit of creditors, or (iv) substantially all of the assets of such other Party are seized or attached and not released within [***] days thereafter.</w:t>
      </w:r>
    </w:p>
    <w:p>
      <w:pPr>
        <w:spacing w:after="0" w:line="7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u w:val="single" w:color="auto"/>
          <w:color w:val="auto"/>
        </w:rPr>
        <w:t>Effect of Expiration or Termination</w:t>
      </w:r>
      <w:r>
        <w:rPr>
          <w:rFonts w:ascii="Arial" w:cs="Arial" w:eastAsia="Arial" w:hAnsi="Arial"/>
          <w:sz w:val="18"/>
          <w:szCs w:val="18"/>
          <w:color w:val="auto"/>
        </w:rPr>
        <w:t>.</w:t>
      </w:r>
    </w:p>
    <w:p>
      <w:pPr>
        <w:spacing w:after="0" w:line="117" w:lineRule="exact"/>
        <w:rPr>
          <w:sz w:val="20"/>
          <w:szCs w:val="20"/>
          <w:color w:val="auto"/>
        </w:rPr>
      </w:pPr>
    </w:p>
    <w:p>
      <w:pPr>
        <w:ind w:left="4" w:right="160" w:firstLine="991"/>
        <w:spacing w:after="0" w:line="314" w:lineRule="auto"/>
        <w:rPr>
          <w:sz w:val="20"/>
          <w:szCs w:val="20"/>
          <w:color w:val="auto"/>
        </w:rPr>
      </w:pPr>
      <w:r>
        <w:rPr>
          <w:rFonts w:ascii="Arial" w:cs="Arial" w:eastAsia="Arial" w:hAnsi="Arial"/>
          <w:sz w:val="16"/>
          <w:szCs w:val="16"/>
          <w:color w:val="auto"/>
        </w:rPr>
        <w:t xml:space="preserve">13.5.1 </w:t>
      </w:r>
      <w:r>
        <w:rPr>
          <w:rFonts w:ascii="Arial" w:cs="Arial" w:eastAsia="Arial" w:hAnsi="Arial"/>
          <w:sz w:val="16"/>
          <w:szCs w:val="16"/>
          <w:b w:val="1"/>
          <w:bCs w:val="1"/>
          <w:u w:val="single" w:color="auto"/>
          <w:color w:val="auto"/>
        </w:rPr>
        <w:t>Accrued Rights and Obligations</w:t>
      </w:r>
      <w:r>
        <w:rPr>
          <w:rFonts w:ascii="Arial" w:cs="Arial" w:eastAsia="Arial" w:hAnsi="Arial"/>
          <w:sz w:val="16"/>
          <w:szCs w:val="16"/>
          <w:color w:val="auto"/>
        </w:rPr>
        <w:t>. Termination of this Agreement for any reason shall not release either Party hereto from any liability which, at the time of such termination, has already accrued to the other Party or which is attributable to a period prior to such termination nor preclude either Party from pursuing any rights and remedies it may have hereunder or at law or in equity with respect to any breach of this Agreement.</w:t>
      </w:r>
    </w:p>
    <w:p>
      <w:pPr>
        <w:spacing w:after="0" w:line="3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13.5.2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In the event of expiration or termination of this Agreement for any reason, other than termination under [***], the following shall</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survive: [***].</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0" w:right="459" w:bottom="1440" w:gutter="0" w:footer="0" w:header="0"/>
        </w:sectPr>
      </w:pPr>
    </w:p>
    <w:bookmarkStart w:id="362" w:name="page363"/>
    <w:bookmarkEnd w:id="362"/>
    <w:p>
      <w:pPr>
        <w:ind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Any responsibility of Merck [***] shall survive. The Research Program shall terminate upon any termination or expiration of this Agreement. In addition, terms and conditions shall survive as further described in this Section 13.5 below. Except as otherwise expressly provided in this Article 13, the licenses, terms and conditions of this Agreement shall terminate.</w:t>
      </w:r>
    </w:p>
    <w:p>
      <w:pPr>
        <w:spacing w:after="0" w:line="76" w:lineRule="exact"/>
        <w:rPr>
          <w:sz w:val="20"/>
          <w:szCs w:val="20"/>
          <w:color w:val="auto"/>
        </w:rPr>
      </w:pPr>
    </w:p>
    <w:p>
      <w:pPr>
        <w:ind w:right="160" w:firstLine="1432"/>
        <w:spacing w:after="0" w:line="263" w:lineRule="auto"/>
        <w:rPr>
          <w:sz w:val="20"/>
          <w:szCs w:val="20"/>
          <w:color w:val="auto"/>
        </w:rPr>
      </w:pPr>
      <w:r>
        <w:rPr>
          <w:rFonts w:ascii="Arial" w:cs="Arial" w:eastAsia="Arial" w:hAnsi="Arial"/>
          <w:sz w:val="18"/>
          <w:szCs w:val="18"/>
          <w:color w:val="auto"/>
        </w:rPr>
        <w:t>(b) Notwithstanding anything to the contrary, in the event of termination of this Agreement under [***] but other than this Section 13.5.2(b) shall be considered [***] in the same manner as if this Agreement had [***] by the Parties hereto. For clarity, but without limitation, other than this Section 13.5.2(b), [***].</w:t>
      </w:r>
    </w:p>
    <w:p>
      <w:pPr>
        <w:spacing w:after="0" w:line="72" w:lineRule="exact"/>
        <w:rPr>
          <w:sz w:val="20"/>
          <w:szCs w:val="20"/>
          <w:color w:val="auto"/>
        </w:rPr>
      </w:pPr>
    </w:p>
    <w:p>
      <w:pPr>
        <w:ind w:right="140" w:firstLine="991"/>
        <w:spacing w:after="0" w:line="303" w:lineRule="auto"/>
        <w:rPr>
          <w:sz w:val="20"/>
          <w:szCs w:val="20"/>
          <w:color w:val="auto"/>
        </w:rPr>
      </w:pPr>
      <w:r>
        <w:rPr>
          <w:rFonts w:ascii="Arial" w:cs="Arial" w:eastAsia="Arial" w:hAnsi="Arial"/>
          <w:sz w:val="16"/>
          <w:szCs w:val="16"/>
          <w:color w:val="auto"/>
        </w:rPr>
        <w:t xml:space="preserve">13.5.3 </w:t>
      </w:r>
      <w:r>
        <w:rPr>
          <w:rFonts w:ascii="Arial" w:cs="Arial" w:eastAsia="Arial" w:hAnsi="Arial"/>
          <w:sz w:val="16"/>
          <w:szCs w:val="16"/>
          <w:b w:val="1"/>
          <w:bCs w:val="1"/>
          <w:u w:val="single" w:color="auto"/>
          <w:color w:val="auto"/>
        </w:rPr>
        <w:t>Effects of Expiration</w:t>
      </w:r>
      <w:r>
        <w:rPr>
          <w:rFonts w:ascii="Arial" w:cs="Arial" w:eastAsia="Arial" w:hAnsi="Arial"/>
          <w:sz w:val="16"/>
          <w:szCs w:val="16"/>
          <w:color w:val="auto"/>
        </w:rPr>
        <w:t>. Following expiration of the term of this Agreement with respect to a Product in a country pursuant to Section 13.1, Merck’s license under Section 5.1.1, and if Merck exercised the Vaccine Option 5.1.2, shall become perpetual and fully-paid with respect to such Product in such country. In the event of expiration of the Term [***], Merck’s licenses under Section 5.1.1 and 5.1.2 (if Merck exercised the Vaccine Option) shall become perpetual and fully-paid with respect to all Products. In addition, the provisions of Sections 5.4 and 5.6 shall survive.</w:t>
      </w:r>
    </w:p>
    <w:p>
      <w:pPr>
        <w:spacing w:after="0" w:line="4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13.5.4 </w:t>
      </w:r>
      <w:r>
        <w:rPr>
          <w:rFonts w:ascii="Arial" w:cs="Arial" w:eastAsia="Arial" w:hAnsi="Arial"/>
          <w:sz w:val="18"/>
          <w:szCs w:val="18"/>
          <w:b w:val="1"/>
          <w:bCs w:val="1"/>
          <w:u w:val="single" w:color="auto"/>
          <w:color w:val="auto"/>
        </w:rPr>
        <w:t>Effects of Certain Terminations.</w:t>
      </w:r>
    </w:p>
    <w:p>
      <w:pPr>
        <w:spacing w:after="0" w:line="121" w:lineRule="exact"/>
        <w:rPr>
          <w:sz w:val="20"/>
          <w:szCs w:val="20"/>
          <w:color w:val="auto"/>
        </w:rPr>
      </w:pPr>
    </w:p>
    <w:p>
      <w:pPr>
        <w:ind w:firstLine="1428"/>
        <w:spacing w:after="0" w:line="274" w:lineRule="auto"/>
        <w:tabs>
          <w:tab w:leader="none" w:pos="1677"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Termination by Acumen for Cause or Merck’s Bankruptcy</w:t>
      </w:r>
      <w:r>
        <w:rPr>
          <w:rFonts w:ascii="Arial" w:cs="Arial" w:eastAsia="Arial" w:hAnsi="Arial"/>
          <w:sz w:val="17"/>
          <w:szCs w:val="17"/>
          <w:color w:val="auto"/>
        </w:rPr>
        <w:t>. In the event of termination of this Agreement (i) by Acumen pursuant to Section 13.2 for Merck’s material breach or default; or (ii) by Acumen pursuant to Section 13.4; then the terms and conditions in this</w:t>
      </w:r>
    </w:p>
    <w:p>
      <w:pPr>
        <w:spacing w:after="0"/>
        <w:rPr>
          <w:rFonts w:ascii="Arial" w:cs="Arial" w:eastAsia="Arial" w:hAnsi="Arial"/>
          <w:sz w:val="17"/>
          <w:szCs w:val="17"/>
          <w:color w:val="auto"/>
        </w:rPr>
      </w:pPr>
      <w:r>
        <w:rPr>
          <w:rFonts w:ascii="Arial" w:cs="Arial" w:eastAsia="Arial" w:hAnsi="Arial"/>
          <w:sz w:val="18"/>
          <w:szCs w:val="18"/>
          <w:color w:val="auto"/>
        </w:rPr>
        <w:t>Section 13.5.4(a) shall apply.</w:t>
      </w:r>
    </w:p>
    <w:p>
      <w:pPr>
        <w:spacing w:after="0" w:line="102" w:lineRule="exact"/>
        <w:rPr>
          <w:rFonts w:ascii="Arial" w:cs="Arial" w:eastAsia="Arial" w:hAnsi="Arial"/>
          <w:sz w:val="17"/>
          <w:szCs w:val="17"/>
          <w:color w:val="auto"/>
        </w:rPr>
      </w:pPr>
    </w:p>
    <w:p>
      <w:pPr>
        <w:ind w:left="2240" w:hanging="261"/>
        <w:spacing w:after="0"/>
        <w:tabs>
          <w:tab w:leader="none" w:pos="2240"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Termination of Licenses and Option</w:t>
      </w:r>
      <w:r>
        <w:rPr>
          <w:rFonts w:ascii="Arial" w:cs="Arial" w:eastAsia="Arial" w:hAnsi="Arial"/>
          <w:sz w:val="18"/>
          <w:szCs w:val="18"/>
          <w:color w:val="auto"/>
        </w:rPr>
        <w:t>. [***].</w:t>
      </w:r>
    </w:p>
    <w:p>
      <w:pPr>
        <w:spacing w:after="0" w:line="117" w:lineRule="exact"/>
        <w:rPr>
          <w:rFonts w:ascii="Arial" w:cs="Arial" w:eastAsia="Arial" w:hAnsi="Arial"/>
          <w:sz w:val="18"/>
          <w:szCs w:val="18"/>
          <w:color w:val="auto"/>
        </w:rPr>
      </w:pPr>
    </w:p>
    <w:p>
      <w:pPr>
        <w:ind w:left="2240" w:hanging="261"/>
        <w:spacing w:after="0"/>
        <w:tabs>
          <w:tab w:leader="none" w:pos="2240"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Retained Products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2419"/>
        <w:spacing w:after="0" w:line="254" w:lineRule="auto"/>
        <w:tabs>
          <w:tab w:leader="none" w:pos="2718" w:val="left"/>
        </w:tabs>
        <w:numPr>
          <w:ilvl w:val="2"/>
          <w:numId w:val="246"/>
        </w:numPr>
        <w:rPr>
          <w:rFonts w:ascii="Arial" w:cs="Arial" w:eastAsia="Arial" w:hAnsi="Arial"/>
          <w:sz w:val="18"/>
          <w:szCs w:val="18"/>
          <w:color w:val="auto"/>
        </w:rPr>
      </w:pPr>
      <w:r>
        <w:rPr>
          <w:rFonts w:ascii="Arial" w:cs="Arial" w:eastAsia="Arial" w:hAnsi="Arial"/>
          <w:sz w:val="18"/>
          <w:szCs w:val="18"/>
          <w:color w:val="auto"/>
        </w:rPr>
        <w:t>If the Agreement is terminated as a result of Merck’s material breach, and on the date that Acumen provides Merck with written notice of a material breach, Merck is conducting clinical development or commercial sales of an Antibody Product, Diagnostic Product or Vaccine Product (an “</w:t>
      </w:r>
      <w:r>
        <w:rPr>
          <w:rFonts w:ascii="Arial" w:cs="Arial" w:eastAsia="Arial" w:hAnsi="Arial"/>
          <w:sz w:val="18"/>
          <w:szCs w:val="18"/>
          <w:b w:val="1"/>
          <w:bCs w:val="1"/>
          <w:color w:val="auto"/>
        </w:rPr>
        <w:t>Existing Product</w:t>
      </w:r>
      <w:r>
        <w:rPr>
          <w:rFonts w:ascii="Arial" w:cs="Arial" w:eastAsia="Arial" w:hAnsi="Arial"/>
          <w:sz w:val="18"/>
          <w:szCs w:val="18"/>
          <w:color w:val="auto"/>
        </w:rPr>
        <w:t>”) and Merck can reasonably demonstrate that its material breach does not substantially diminish the value of Acumen’s rights or interests under this Agreement with respect to Existing Product that are not the subject of the material breach, then (1) solely with respect to such Existing Products not the subject of the breach (“</w:t>
      </w:r>
      <w:r>
        <w:rPr>
          <w:rFonts w:ascii="Arial" w:cs="Arial" w:eastAsia="Arial" w:hAnsi="Arial"/>
          <w:sz w:val="18"/>
          <w:szCs w:val="18"/>
          <w:b w:val="1"/>
          <w:bCs w:val="1"/>
          <w:color w:val="auto"/>
        </w:rPr>
        <w:t>Retained Products</w:t>
      </w:r>
      <w:r>
        <w:rPr>
          <w:rFonts w:ascii="Arial" w:cs="Arial" w:eastAsia="Arial" w:hAnsi="Arial"/>
          <w:sz w:val="18"/>
          <w:szCs w:val="18"/>
          <w:color w:val="auto"/>
        </w:rPr>
        <w:t>”), (x) Merck shall retain the rights and obligations to continue the development and commercialization of such Retained Product, in accordance with the terms and conditions of this Agreement (including the payment of any milestones and royalties and Articles 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0" w:right="459" w:bottom="1440" w:gutter="0" w:footer="0" w:header="0"/>
        </w:sectPr>
      </w:pPr>
    </w:p>
    <w:bookmarkStart w:id="363" w:name="page364"/>
    <w:bookmarkEnd w:id="363"/>
    <w:p>
      <w:pPr>
        <w:ind w:right="8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and 8) in effect prior to termination; and (y) Acumen shall not be entitled to develop or commercialize such Retained Product, and the provisions of Section 13.5.4(a)(1) shall not apply to such Retained Product; and [***]. For clarity, but without limitation, it is understood that, subject to any tolling of the cure period pursuant to Section 13.2, [***].</w:t>
      </w:r>
    </w:p>
    <w:p>
      <w:pPr>
        <w:spacing w:after="0" w:line="76" w:lineRule="exact"/>
        <w:rPr>
          <w:sz w:val="20"/>
          <w:szCs w:val="20"/>
          <w:color w:val="auto"/>
        </w:rPr>
      </w:pPr>
    </w:p>
    <w:p>
      <w:pPr>
        <w:ind w:firstLine="2419"/>
        <w:spacing w:after="0" w:line="279" w:lineRule="auto"/>
        <w:tabs>
          <w:tab w:leader="none" w:pos="2708" w:val="left"/>
        </w:tabs>
        <w:numPr>
          <w:ilvl w:val="1"/>
          <w:numId w:val="247"/>
        </w:numPr>
        <w:rPr>
          <w:rFonts w:ascii="Arial" w:cs="Arial" w:eastAsia="Arial" w:hAnsi="Arial"/>
          <w:sz w:val="17"/>
          <w:szCs w:val="17"/>
          <w:color w:val="auto"/>
        </w:rPr>
      </w:pPr>
      <w:r>
        <w:rPr>
          <w:rFonts w:ascii="Arial" w:cs="Arial" w:eastAsia="Arial" w:hAnsi="Arial"/>
          <w:sz w:val="17"/>
          <w:szCs w:val="17"/>
          <w:color w:val="auto"/>
        </w:rPr>
        <w:t>If Merck has [***] for any Retained Product in any country in the Territory, before Acumen provides written notice of a material breach and such breach does not relate to Merck’s development or commercialization of such Retained Product in such country, then Merck shall retain its rights to develop and commercialize such Retained Product in such country in accordance with the terms and conditions of this Agreement (including the payment of any milestones and royalties and Articles 4 and 8) in effect prior to termination.</w:t>
      </w:r>
    </w:p>
    <w:p>
      <w:pPr>
        <w:spacing w:after="0" w:line="63" w:lineRule="exact"/>
        <w:rPr>
          <w:rFonts w:ascii="Arial" w:cs="Arial" w:eastAsia="Arial" w:hAnsi="Arial"/>
          <w:sz w:val="17"/>
          <w:szCs w:val="17"/>
          <w:color w:val="auto"/>
        </w:rPr>
      </w:pPr>
    </w:p>
    <w:p>
      <w:pPr>
        <w:ind w:left="2240" w:hanging="261"/>
        <w:spacing w:after="0"/>
        <w:tabs>
          <w:tab w:leader="none" w:pos="224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Use of Joint Inventions and of Products Other than Retained Products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720" w:hanging="301"/>
        <w:spacing w:after="0"/>
        <w:tabs>
          <w:tab w:leader="none" w:pos="272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700" w:hanging="281"/>
        <w:spacing w:after="0"/>
        <w:tabs>
          <w:tab w:leader="none" w:pos="27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700" w:hanging="281"/>
        <w:spacing w:after="0"/>
        <w:tabs>
          <w:tab w:leader="none" w:pos="27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40" w:hanging="261"/>
        <w:spacing w:after="0"/>
        <w:tabs>
          <w:tab w:leader="none" w:pos="224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Other Rights and Obligations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0" w:right="479" w:bottom="1440" w:gutter="0" w:footer="0" w:header="0"/>
        </w:sectPr>
      </w:pPr>
    </w:p>
    <w:bookmarkStart w:id="364" w:name="page365"/>
    <w:bookmarkEnd w:id="364"/>
    <w:p>
      <w:pPr>
        <w:ind w:right="7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left="2720" w:hanging="301"/>
        <w:spacing w:after="0"/>
        <w:tabs>
          <w:tab w:leader="none" w:pos="27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Upon termination pursuant to this Section 13.5.4(a), [***] (“</w:t>
      </w:r>
      <w:r>
        <w:rPr>
          <w:rFonts w:ascii="Arial" w:cs="Arial" w:eastAsia="Arial" w:hAnsi="Arial"/>
          <w:sz w:val="18"/>
          <w:szCs w:val="18"/>
          <w:b w:val="1"/>
          <w:bCs w:val="1"/>
          <w:color w:val="auto"/>
        </w:rPr>
        <w:t>Reverted Products</w:t>
      </w:r>
      <w:r>
        <w:rPr>
          <w:rFonts w:ascii="Arial" w:cs="Arial" w:eastAsia="Arial" w:hAnsi="Arial"/>
          <w:sz w:val="18"/>
          <w:szCs w:val="18"/>
          <w:color w:val="auto"/>
        </w:rPr>
        <w:t>”), in each case to [***]</w:t>
      </w:r>
    </w:p>
    <w:p>
      <w:pPr>
        <w:spacing w:after="0" w:line="121" w:lineRule="exact"/>
        <w:rPr>
          <w:rFonts w:ascii="Arial" w:cs="Arial" w:eastAsia="Arial" w:hAnsi="Arial"/>
          <w:sz w:val="18"/>
          <w:szCs w:val="18"/>
          <w:color w:val="auto"/>
        </w:rPr>
      </w:pPr>
    </w:p>
    <w:p>
      <w:pPr>
        <w:ind w:left="2700" w:hanging="281"/>
        <w:spacing w:after="0"/>
        <w:tabs>
          <w:tab w:leader="none" w:pos="27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700" w:hanging="281"/>
        <w:spacing w:after="0"/>
        <w:tabs>
          <w:tab w:leader="none" w:pos="270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If termination occurs after submission of an MAA for a Product, the Parties shall negotiate in good faith the terms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upon which Merck [***]</w:t>
      </w:r>
    </w:p>
    <w:p>
      <w:pPr>
        <w:spacing w:after="0" w:line="103" w:lineRule="exact"/>
        <w:rPr>
          <w:sz w:val="20"/>
          <w:szCs w:val="20"/>
          <w:color w:val="auto"/>
        </w:rPr>
      </w:pPr>
    </w:p>
    <w:p>
      <w:pPr>
        <w:ind w:left="2720" w:hanging="301"/>
        <w:spacing w:after="0"/>
        <w:tabs>
          <w:tab w:leader="none" w:pos="27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700" w:hanging="281"/>
        <w:spacing w:after="0"/>
        <w:tabs>
          <w:tab w:leader="none" w:pos="27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680" w:hanging="261"/>
        <w:spacing w:after="0"/>
        <w:tabs>
          <w:tab w:leader="none" w:pos="26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00"/>
          </w:cols>
          <w:pgMar w:left="440" w:top="270" w:right="559" w:bottom="1440" w:gutter="0" w:footer="0" w:header="0"/>
        </w:sectPr>
      </w:pPr>
    </w:p>
    <w:bookmarkStart w:id="365" w:name="page366"/>
    <w:bookmarkEnd w:id="365"/>
    <w:p>
      <w:pPr>
        <w:ind w:left="4"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ind w:left="4" w:right="100" w:firstLine="2419"/>
        <w:spacing w:after="0" w:line="263" w:lineRule="auto"/>
        <w:tabs>
          <w:tab w:leader="none" w:pos="2722" w:val="left"/>
        </w:tabs>
        <w:numPr>
          <w:ilvl w:val="3"/>
          <w:numId w:val="251"/>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Merck, and its Affiliates and Sublicensees shall, within [***] days after termination, return or cause to be returned to Acumen all Acumen Confidential Information in tangible form, and all substances, compositions, and other material in any medium, delivered or provided by Acumen; as well as all copies thereof.</w:t>
      </w:r>
    </w:p>
    <w:p>
      <w:pPr>
        <w:spacing w:after="0" w:line="75" w:lineRule="exact"/>
        <w:rPr>
          <w:rFonts w:ascii="Arial" w:cs="Arial" w:eastAsia="Arial" w:hAnsi="Arial"/>
          <w:sz w:val="18"/>
          <w:szCs w:val="18"/>
          <w:color w:val="auto"/>
        </w:rPr>
      </w:pPr>
    </w:p>
    <w:p>
      <w:pPr>
        <w:ind w:left="4" w:right="40" w:firstLine="2419"/>
        <w:spacing w:after="0" w:line="287" w:lineRule="auto"/>
        <w:tabs>
          <w:tab w:leader="none" w:pos="2722" w:val="left"/>
        </w:tabs>
        <w:numPr>
          <w:ilvl w:val="3"/>
          <w:numId w:val="251"/>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Notwithstanding Section 13.5.2 or any other terms of this Agreement, after any termination of the type described in Section 13.5.4(a) above, (i) [***] shall additionally survive; (ii) [***] shall additionally survive, (iii) [***]; (v) the remainder of recoveries, after reimbursement of costs and expenses, shall be allocated [***] to Acumen and [***] to Merck under Section 9.3.2(b); (vi) Acumen’s right under</w:t>
      </w:r>
    </w:p>
    <w:p>
      <w:pPr>
        <w:spacing w:after="0" w:line="2" w:lineRule="exact"/>
        <w:rPr>
          <w:rFonts w:ascii="Arial" w:cs="Arial" w:eastAsia="Arial" w:hAnsi="Arial"/>
          <w:sz w:val="16"/>
          <w:szCs w:val="16"/>
          <w:color w:val="auto"/>
        </w:rPr>
      </w:pPr>
    </w:p>
    <w:p>
      <w:pPr>
        <w:ind w:left="444" w:hanging="444"/>
        <w:spacing w:after="0"/>
        <w:tabs>
          <w:tab w:leader="none" w:pos="44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to licensees for Product in the Therapeutic Field and Diagnostic Field; and (vii) [***].</w:t>
      </w:r>
    </w:p>
    <w:p>
      <w:pPr>
        <w:spacing w:after="0" w:line="102" w:lineRule="exact"/>
        <w:rPr>
          <w:rFonts w:ascii="Arial" w:cs="Arial" w:eastAsia="Arial" w:hAnsi="Arial"/>
          <w:sz w:val="18"/>
          <w:szCs w:val="18"/>
          <w:color w:val="auto"/>
        </w:rPr>
      </w:pPr>
    </w:p>
    <w:p>
      <w:pPr>
        <w:ind w:left="4" w:firstLine="1979"/>
        <w:spacing w:after="0" w:line="279" w:lineRule="auto"/>
        <w:tabs>
          <w:tab w:leader="none" w:pos="2241" w:val="left"/>
        </w:tabs>
        <w:numPr>
          <w:ilvl w:val="2"/>
          <w:numId w:val="252"/>
        </w:numPr>
        <w:rPr>
          <w:rFonts w:ascii="Arial" w:cs="Arial" w:eastAsia="Arial" w:hAnsi="Arial"/>
          <w:sz w:val="17"/>
          <w:szCs w:val="17"/>
          <w:color w:val="auto"/>
        </w:rPr>
      </w:pPr>
      <w:r>
        <w:rPr>
          <w:rFonts w:ascii="Arial" w:cs="Arial" w:eastAsia="Arial" w:hAnsi="Arial"/>
          <w:sz w:val="17"/>
          <w:szCs w:val="17"/>
          <w:u w:val="single" w:color="auto"/>
          <w:color w:val="auto"/>
        </w:rPr>
        <w:t>Safety Concerns</w:t>
      </w:r>
      <w:r>
        <w:rPr>
          <w:rFonts w:ascii="Arial" w:cs="Arial" w:eastAsia="Arial" w:hAnsi="Arial"/>
          <w:sz w:val="17"/>
          <w:szCs w:val="17"/>
          <w:color w:val="auto"/>
        </w:rPr>
        <w:t>. Notwithstanding anything in this Section 13.5.4(a), under no circumstances will Acumen be permitted in any country to further develop in humans, or market for human consumption, a particular ADDL Antibody, a particular ADDL Antigen or a particular Product that has been discontinued by Merck if Merck reasonably believes such Product is not safe for use in the Treatment of humans, and the provisions of Sections 13.5.4(a)(3) and (4) shall not apply to such ADDL Antibody, ADDL Antigen, or Product.</w:t>
      </w:r>
    </w:p>
    <w:p>
      <w:pPr>
        <w:spacing w:after="0" w:line="63" w:lineRule="exact"/>
        <w:rPr>
          <w:rFonts w:ascii="Arial" w:cs="Arial" w:eastAsia="Arial" w:hAnsi="Arial"/>
          <w:sz w:val="17"/>
          <w:szCs w:val="17"/>
          <w:color w:val="auto"/>
        </w:rPr>
      </w:pPr>
    </w:p>
    <w:p>
      <w:pPr>
        <w:ind w:left="4" w:right="200" w:firstLine="1979"/>
        <w:spacing w:after="0" w:line="263" w:lineRule="auto"/>
        <w:tabs>
          <w:tab w:leader="none" w:pos="2241" w:val="left"/>
        </w:tabs>
        <w:numPr>
          <w:ilvl w:val="2"/>
          <w:numId w:val="252"/>
        </w:numPr>
        <w:rPr>
          <w:rFonts w:ascii="Arial" w:cs="Arial" w:eastAsia="Arial" w:hAnsi="Arial"/>
          <w:sz w:val="18"/>
          <w:szCs w:val="18"/>
          <w:color w:val="auto"/>
        </w:rPr>
      </w:pPr>
      <w:r>
        <w:rPr>
          <w:rFonts w:ascii="Arial" w:cs="Arial" w:eastAsia="Arial" w:hAnsi="Arial"/>
          <w:sz w:val="18"/>
          <w:szCs w:val="18"/>
          <w:u w:val="single" w:color="auto"/>
          <w:color w:val="auto"/>
        </w:rPr>
        <w:t>Vaccine Products</w:t>
      </w:r>
      <w:r>
        <w:rPr>
          <w:rFonts w:ascii="Arial" w:cs="Arial" w:eastAsia="Arial" w:hAnsi="Arial"/>
          <w:sz w:val="18"/>
          <w:szCs w:val="18"/>
          <w:color w:val="auto"/>
        </w:rPr>
        <w:t>. If the Vaccine Option was exercised, then the effects of termination with respect to Vaccine Products shall be the same as set forth with respect to Antibody Products in Section 13.5.4(a)(2) and (5), [***] and the rights described in Section 13.5.4(a)(3) and (4) shall be deemed to extend to Vaccine Products [***].</w:t>
      </w:r>
    </w:p>
    <w:p>
      <w:pPr>
        <w:spacing w:after="0" w:line="75" w:lineRule="exact"/>
        <w:rPr>
          <w:rFonts w:ascii="Arial" w:cs="Arial" w:eastAsia="Arial" w:hAnsi="Arial"/>
          <w:sz w:val="18"/>
          <w:szCs w:val="18"/>
          <w:color w:val="auto"/>
        </w:rPr>
      </w:pPr>
    </w:p>
    <w:p>
      <w:pPr>
        <w:ind w:left="4" w:right="120" w:firstLine="1979"/>
        <w:spacing w:after="0" w:line="263" w:lineRule="auto"/>
        <w:tabs>
          <w:tab w:leader="none" w:pos="2241" w:val="left"/>
        </w:tabs>
        <w:numPr>
          <w:ilvl w:val="2"/>
          <w:numId w:val="252"/>
        </w:numPr>
        <w:rPr>
          <w:rFonts w:ascii="Arial" w:cs="Arial" w:eastAsia="Arial" w:hAnsi="Arial"/>
          <w:sz w:val="18"/>
          <w:szCs w:val="18"/>
          <w:color w:val="auto"/>
        </w:rPr>
      </w:pPr>
      <w:r>
        <w:rPr>
          <w:rFonts w:ascii="Arial" w:cs="Arial" w:eastAsia="Arial" w:hAnsi="Arial"/>
          <w:sz w:val="18"/>
          <w:szCs w:val="18"/>
          <w:u w:val="single" w:color="auto"/>
          <w:color w:val="auto"/>
        </w:rPr>
        <w:t>Diagnostic Products</w:t>
      </w:r>
      <w:r>
        <w:rPr>
          <w:rFonts w:ascii="Arial" w:cs="Arial" w:eastAsia="Arial" w:hAnsi="Arial"/>
          <w:sz w:val="18"/>
          <w:szCs w:val="18"/>
          <w:color w:val="auto"/>
        </w:rPr>
        <w:t>. The effects of termination with respect to Diagnostic Products shall be the same as set forth with respect to Antibody Products in Section 13.5.4(a)(2) and (5), [***] and the rights described in Section 13.5.4(a)(3) and (4) shall be deemed to extend to Diagnostic Products [***].</w:t>
      </w:r>
    </w:p>
    <w:p>
      <w:pPr>
        <w:spacing w:after="0" w:line="75" w:lineRule="exact"/>
        <w:rPr>
          <w:rFonts w:ascii="Arial" w:cs="Arial" w:eastAsia="Arial" w:hAnsi="Arial"/>
          <w:sz w:val="18"/>
          <w:szCs w:val="18"/>
          <w:color w:val="auto"/>
        </w:rPr>
      </w:pPr>
    </w:p>
    <w:p>
      <w:pPr>
        <w:jc w:val="both"/>
        <w:ind w:left="4" w:firstLine="1428"/>
        <w:spacing w:after="0" w:line="286" w:lineRule="auto"/>
        <w:tabs>
          <w:tab w:leader="none" w:pos="1691"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Termination by Merck Pursuant to Section 13.3</w:t>
      </w:r>
      <w:r>
        <w:rPr>
          <w:rFonts w:ascii="Arial" w:cs="Arial" w:eastAsia="Arial" w:hAnsi="Arial"/>
          <w:sz w:val="16"/>
          <w:szCs w:val="16"/>
          <w:color w:val="auto"/>
        </w:rPr>
        <w:t xml:space="preserve">. In the event of termination of this Agreement by Merck pursuant to [***] the terms and conditions in Section 13.5.4(a) shall apply (including without limitation Section 13.5.4(a)(4)(A)),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provisions of Section 13.5.4(a)(2) relating to Retained Products shall not apply, and in addition, the provisions of Section 13.5.4(b)(1) and (2) below shall apply. In the event of termination of this Agreement by [***], then the provisions of Section 13.5.4(a)(2)-(6) shall not apply, and the provisions of Section 13.5.4(b)</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(1), (2) and (3) shall apply.</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0" w:right="459" w:bottom="1440" w:gutter="0" w:footer="0" w:header="0"/>
        </w:sectPr>
      </w:pPr>
    </w:p>
    <w:bookmarkStart w:id="366" w:name="page367"/>
    <w:bookmarkEnd w:id="366"/>
    <w:p>
      <w:pPr>
        <w:ind w:right="9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ind w:left="2240" w:hanging="261"/>
        <w:spacing w:after="0"/>
        <w:tabs>
          <w:tab w:leader="none" w:pos="22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1979"/>
        <w:spacing w:after="0" w:line="301" w:lineRule="auto"/>
        <w:tabs>
          <w:tab w:leader="none" w:pos="2237"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Royalties</w:t>
      </w:r>
      <w:r>
        <w:rPr>
          <w:rFonts w:ascii="Arial" w:cs="Arial" w:eastAsia="Arial" w:hAnsi="Arial"/>
          <w:sz w:val="16"/>
          <w:szCs w:val="16"/>
          <w:color w:val="auto"/>
        </w:rPr>
        <w:t>. In consideration of the rights and licenses in this Section 13.5.4(b), Acumen shall pay to Merck a royalty on the Net Sales from sales of the Reverted Products by Acumen, or its Affiliate or Sublicensee, at a rate determined by the following schedule based upon the development that must be completed or reinitiated by Acumen in order to further develop and commercialize the Reverted Product (determined on a Product by Product basis) except that the royalty applicable to Diagnostic Products shall be as set forth in Section 13.5.4(b)(5):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Reversion Stage</w:t>
            </w:r>
          </w:p>
        </w:tc>
        <w:tc>
          <w:tcPr>
            <w:tcW w:w="87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Maximum Royalty</w:t>
            </w: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870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10020" w:type="dxa"/>
            <w:vAlign w:val="bottom"/>
            <w:gridSpan w:val="2"/>
          </w:tcPr>
          <w:p>
            <w:pPr>
              <w:jc w:val="center"/>
              <w:ind w:left="8610"/>
              <w:spacing w:after="0"/>
              <w:rPr>
                <w:sz w:val="20"/>
                <w:szCs w:val="20"/>
                <w:color w:val="auto"/>
              </w:rPr>
            </w:pPr>
            <w:r>
              <w:rPr>
                <w:rFonts w:ascii="Arial" w:cs="Arial" w:eastAsia="Arial" w:hAnsi="Arial"/>
                <w:sz w:val="18"/>
                <w:szCs w:val="18"/>
                <w:color w:val="auto"/>
              </w:rPr>
              <w:t>[***]</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10020" w:type="dxa"/>
            <w:vAlign w:val="bottom"/>
            <w:gridSpan w:val="2"/>
          </w:tcPr>
          <w:p>
            <w:pPr>
              <w:jc w:val="center"/>
              <w:ind w:left="8610"/>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Acumen shall have the right to offset against the royalties payable under this Section 13.5.4(b)(2) [***] of the royalties that Acumen pays to third parties for the making, use, sale, offer for sale, or import of the Reverted Products;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royalties shall not be reduced by more than [***]. For purposes of the royalties payable under this Section 13.5.4(b)(2), Sections 6.7.7, 6.7.9, 6.8, and 6.9 shall apply for the benefit of Acumen in the same manner as the applied for the benefit of Merck. Royalties under this Section 13.5.4(b)(2) shall apply only for so long as the Reverted Product would infringe a Valid Patent Claim in the country of sale. It is understood that for purposes of determining the applicable royalty, the “</w:t>
      </w:r>
      <w:r>
        <w:rPr>
          <w:rFonts w:ascii="Arial" w:cs="Arial" w:eastAsia="Arial" w:hAnsi="Arial"/>
          <w:sz w:val="18"/>
          <w:szCs w:val="18"/>
          <w:b w:val="1"/>
          <w:bCs w:val="1"/>
          <w:color w:val="auto"/>
        </w:rPr>
        <w:t>Reversion Stage</w:t>
      </w:r>
      <w:r>
        <w:rPr>
          <w:rFonts w:ascii="Arial" w:cs="Arial" w:eastAsia="Arial" w:hAnsi="Arial"/>
          <w:sz w:val="18"/>
          <w:szCs w:val="18"/>
          <w:color w:val="auto"/>
        </w:rPr>
        <w:t>” shall be based on the earlier of [***].</w:t>
      </w:r>
    </w:p>
    <w:p>
      <w:pPr>
        <w:spacing w:after="0" w:line="84" w:lineRule="exact"/>
        <w:rPr>
          <w:sz w:val="20"/>
          <w:szCs w:val="20"/>
          <w:color w:val="auto"/>
        </w:rPr>
      </w:pPr>
    </w:p>
    <w:p>
      <w:pPr>
        <w:ind w:right="120" w:firstLine="1979"/>
        <w:spacing w:after="0" w:line="259" w:lineRule="auto"/>
        <w:tabs>
          <w:tab w:leader="none" w:pos="2237"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Termination of Development and Commercialization of Product</w:t>
      </w:r>
      <w:r>
        <w:rPr>
          <w:rFonts w:ascii="Arial" w:cs="Arial" w:eastAsia="Arial" w:hAnsi="Arial"/>
          <w:sz w:val="18"/>
          <w:szCs w:val="18"/>
          <w:color w:val="auto"/>
        </w:rPr>
        <w:t>. If the termination is by Merck under Section 13.3, then Merck and its Affiliates, and Sublicensees (including distributors) shall discontinue all development and sales of Antibody Product immediately upon termination, shall not thereafter develop or sell Antibody Products, and shall additionally discontinue at such time making any representation with respect to any and all Antibody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0" w:right="439" w:bottom="1440" w:gutter="0" w:footer="0" w:header="0"/>
        </w:sectPr>
      </w:pPr>
    </w:p>
    <w:bookmarkStart w:id="367" w:name="page368"/>
    <w:bookmarkEnd w:id="367"/>
    <w:p>
      <w:pPr>
        <w:ind w:right="8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Products that they are a licensee of or distributor for Acumen or are authorized to market or sell Antibody Products; and development and commercialization after providing notice of termination under Section 13.3 shall be limited to transitioning Antibody Products to Acumen or its designee in accordance with this Section 13.5.4(a) above.</w:t>
      </w:r>
    </w:p>
    <w:p>
      <w:pPr>
        <w:spacing w:after="0" w:line="76" w:lineRule="exact"/>
        <w:rPr>
          <w:sz w:val="20"/>
          <w:szCs w:val="20"/>
          <w:color w:val="auto"/>
        </w:rPr>
      </w:pPr>
    </w:p>
    <w:p>
      <w:pPr>
        <w:ind w:right="500" w:firstLine="1979"/>
        <w:spacing w:after="0" w:line="308" w:lineRule="auto"/>
        <w:tabs>
          <w:tab w:leader="none" w:pos="2237" w:val="left"/>
        </w:tabs>
        <w:numPr>
          <w:ilvl w:val="1"/>
          <w:numId w:val="256"/>
        </w:numPr>
        <w:rPr>
          <w:rFonts w:ascii="Arial" w:cs="Arial" w:eastAsia="Arial" w:hAnsi="Arial"/>
          <w:sz w:val="17"/>
          <w:szCs w:val="17"/>
          <w:color w:val="auto"/>
        </w:rPr>
      </w:pPr>
      <w:r>
        <w:rPr>
          <w:rFonts w:ascii="Arial" w:cs="Arial" w:eastAsia="Arial" w:hAnsi="Arial"/>
          <w:sz w:val="17"/>
          <w:szCs w:val="17"/>
          <w:u w:val="single" w:color="auto"/>
          <w:color w:val="auto"/>
        </w:rPr>
        <w:t>Vaccine Products</w:t>
      </w:r>
      <w:r>
        <w:rPr>
          <w:rFonts w:ascii="Arial" w:cs="Arial" w:eastAsia="Arial" w:hAnsi="Arial"/>
          <w:sz w:val="17"/>
          <w:szCs w:val="17"/>
          <w:color w:val="auto"/>
        </w:rPr>
        <w:t>. If the termination is by Merck under Section 13.3, then the effects of termination with respect to Vaccine Products shall be the same as set forth with respect to Antibody Products in Section 13.5.4(b), including (1), (2), and (3).</w:t>
      </w:r>
    </w:p>
    <w:p>
      <w:pPr>
        <w:spacing w:after="0" w:line="38" w:lineRule="exact"/>
        <w:rPr>
          <w:rFonts w:ascii="Arial" w:cs="Arial" w:eastAsia="Arial" w:hAnsi="Arial"/>
          <w:sz w:val="17"/>
          <w:szCs w:val="17"/>
          <w:color w:val="auto"/>
        </w:rPr>
      </w:pPr>
    </w:p>
    <w:p>
      <w:pPr>
        <w:jc w:val="both"/>
        <w:ind w:right="240" w:firstLine="1979"/>
        <w:spacing w:after="0" w:line="263" w:lineRule="auto"/>
        <w:tabs>
          <w:tab w:leader="none" w:pos="2237" w:val="left"/>
        </w:tabs>
        <w:numPr>
          <w:ilvl w:val="1"/>
          <w:numId w:val="256"/>
        </w:numPr>
        <w:rPr>
          <w:rFonts w:ascii="Arial" w:cs="Arial" w:eastAsia="Arial" w:hAnsi="Arial"/>
          <w:sz w:val="18"/>
          <w:szCs w:val="18"/>
          <w:color w:val="auto"/>
        </w:rPr>
      </w:pPr>
      <w:r>
        <w:rPr>
          <w:rFonts w:ascii="Arial" w:cs="Arial" w:eastAsia="Arial" w:hAnsi="Arial"/>
          <w:sz w:val="18"/>
          <w:szCs w:val="18"/>
          <w:u w:val="single" w:color="auto"/>
          <w:color w:val="auto"/>
        </w:rPr>
        <w:t>Diagnostic Products</w:t>
      </w:r>
      <w:r>
        <w:rPr>
          <w:rFonts w:ascii="Arial" w:cs="Arial" w:eastAsia="Arial" w:hAnsi="Arial"/>
          <w:sz w:val="18"/>
          <w:szCs w:val="18"/>
          <w:color w:val="auto"/>
        </w:rPr>
        <w:t>. If the termination is by Merck under Section 13.3, then the effects of termination with respect to Diagnostic Products shall be the same as set forth with respect to Antibody Products in Section 13.5.4(b), including (1), (2) and (3), provided that the maximum royalty shall not exceeded [***] the royalties in Section 6.7.1(b).</w:t>
      </w:r>
    </w:p>
    <w:p>
      <w:pPr>
        <w:spacing w:after="0" w:line="75" w:lineRule="exact"/>
        <w:rPr>
          <w:rFonts w:ascii="Arial" w:cs="Arial" w:eastAsia="Arial" w:hAnsi="Arial"/>
          <w:sz w:val="18"/>
          <w:szCs w:val="18"/>
          <w:color w:val="auto"/>
        </w:rPr>
      </w:pPr>
    </w:p>
    <w:p>
      <w:pPr>
        <w:ind w:right="140" w:firstLine="1428"/>
        <w:spacing w:after="0" w:line="263" w:lineRule="auto"/>
        <w:tabs>
          <w:tab w:leader="none" w:pos="1677"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Termination by Merck for Cause or Acumen’s Bankruptcy</w:t>
      </w:r>
      <w:r>
        <w:rPr>
          <w:rFonts w:ascii="Arial" w:cs="Arial" w:eastAsia="Arial" w:hAnsi="Arial"/>
          <w:sz w:val="18"/>
          <w:szCs w:val="18"/>
          <w:color w:val="auto"/>
        </w:rPr>
        <w:t>. In the event of termination of this Agreement by Merck pursuant to Section 13.2 for Acumen’s material breach or default or pursuant to Section 13.4 for Acumen’s bankruptcy; then the terms and conditions in this Section 13.5.4(c) shall apply.</w:t>
      </w:r>
    </w:p>
    <w:p>
      <w:pPr>
        <w:spacing w:after="0" w:line="75" w:lineRule="exact"/>
        <w:rPr>
          <w:rFonts w:ascii="Arial" w:cs="Arial" w:eastAsia="Arial" w:hAnsi="Arial"/>
          <w:sz w:val="18"/>
          <w:szCs w:val="18"/>
          <w:color w:val="auto"/>
        </w:rPr>
      </w:pPr>
    </w:p>
    <w:p>
      <w:pPr>
        <w:ind w:firstLine="1979"/>
        <w:spacing w:after="0" w:line="342" w:lineRule="auto"/>
        <w:tabs>
          <w:tab w:leader="none" w:pos="2237"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Licenses</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such licenses and the Vaccine Option shall continue to be subject to Merck’s payment obligations pursuant to Section 6.3 (license fee) Sections 5.3 (payments related to Vaccine Option), 6.4 and 6.5 (milestone payment) and 6.7 (royalties).</w:t>
      </w:r>
    </w:p>
    <w:p>
      <w:pPr>
        <w:spacing w:after="0" w:line="15" w:lineRule="exact"/>
        <w:rPr>
          <w:rFonts w:ascii="Arial" w:cs="Arial" w:eastAsia="Arial" w:hAnsi="Arial"/>
          <w:sz w:val="16"/>
          <w:szCs w:val="16"/>
          <w:color w:val="auto"/>
        </w:rPr>
      </w:pPr>
    </w:p>
    <w:p>
      <w:pPr>
        <w:ind w:left="2240" w:hanging="261"/>
        <w:spacing w:after="0"/>
        <w:tabs>
          <w:tab w:leader="none" w:pos="224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20" w:firstLine="1979"/>
        <w:spacing w:after="0" w:line="263" w:lineRule="auto"/>
        <w:tabs>
          <w:tab w:leader="none" w:pos="2237"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In addition to the survival set forth in Section 13.5.2, the following provisions shall survive: [***]. [***]. With respect to damages caused by Acumen’s breach which have been awarded to Merck by an arbitrator under Section 14.1, Merck shall be entitled to offset such damages against the amounts payable by Merck to Acumen under this Agreement.</w:t>
      </w:r>
    </w:p>
    <w:p>
      <w:pPr>
        <w:spacing w:after="0" w:line="75" w:lineRule="exact"/>
        <w:rPr>
          <w:rFonts w:ascii="Arial" w:cs="Arial" w:eastAsia="Arial" w:hAnsi="Arial"/>
          <w:sz w:val="18"/>
          <w:szCs w:val="18"/>
          <w:color w:val="auto"/>
        </w:rPr>
      </w:pPr>
    </w:p>
    <w:p>
      <w:pPr>
        <w:ind w:left="2240" w:hanging="261"/>
        <w:spacing w:after="0"/>
        <w:tabs>
          <w:tab w:leader="none" w:pos="224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Use of Joint Inventions, ADDL Antibodies and ADDL Antigens.</w:t>
      </w:r>
    </w:p>
    <w:p>
      <w:pPr>
        <w:spacing w:after="0" w:line="117" w:lineRule="exact"/>
        <w:rPr>
          <w:rFonts w:ascii="Arial" w:cs="Arial" w:eastAsia="Arial" w:hAnsi="Arial"/>
          <w:sz w:val="18"/>
          <w:szCs w:val="18"/>
          <w:color w:val="auto"/>
        </w:rPr>
      </w:pPr>
    </w:p>
    <w:p>
      <w:pPr>
        <w:ind w:left="2720" w:hanging="301"/>
        <w:spacing w:after="0"/>
        <w:tabs>
          <w:tab w:leader="none" w:pos="2720" w:val="left"/>
        </w:tabs>
        <w:numPr>
          <w:ilvl w:val="2"/>
          <w:numId w:val="257"/>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700" w:hanging="281"/>
        <w:spacing w:after="0"/>
        <w:tabs>
          <w:tab w:leader="none" w:pos="2700" w:val="left"/>
        </w:tabs>
        <w:numPr>
          <w:ilvl w:val="2"/>
          <w:numId w:val="257"/>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700" w:hanging="281"/>
        <w:spacing w:after="0"/>
        <w:tabs>
          <w:tab w:leader="none" w:pos="2700" w:val="left"/>
        </w:tabs>
        <w:numPr>
          <w:ilvl w:val="2"/>
          <w:numId w:val="257"/>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40" w:hanging="261"/>
        <w:spacing w:after="0"/>
        <w:tabs>
          <w:tab w:leader="none" w:pos="2240"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Other Rights and Obligations</w:t>
      </w:r>
      <w:r>
        <w:rPr>
          <w:rFonts w:ascii="Arial" w:cs="Arial" w:eastAsia="Arial" w:hAnsi="Arial"/>
          <w:sz w:val="18"/>
          <w:szCs w:val="18"/>
          <w:color w:val="auto"/>
        </w:rPr>
        <w:t>. In addition to the other provisions set forth in Section 13.5.4(c):</w:t>
      </w:r>
    </w:p>
    <w:p>
      <w:pPr>
        <w:spacing w:after="0" w:line="117" w:lineRule="exact"/>
        <w:rPr>
          <w:rFonts w:ascii="Arial" w:cs="Arial" w:eastAsia="Arial" w:hAnsi="Arial"/>
          <w:sz w:val="18"/>
          <w:szCs w:val="18"/>
          <w:color w:val="auto"/>
        </w:rPr>
      </w:pPr>
    </w:p>
    <w:p>
      <w:pPr>
        <w:ind w:right="80" w:firstLine="2419"/>
        <w:spacing w:after="0" w:line="263" w:lineRule="auto"/>
        <w:tabs>
          <w:tab w:leader="none" w:pos="2718" w:val="left"/>
        </w:tabs>
        <w:numPr>
          <w:ilvl w:val="2"/>
          <w:numId w:val="257"/>
        </w:numPr>
        <w:rPr>
          <w:rFonts w:ascii="Arial" w:cs="Arial" w:eastAsia="Arial" w:hAnsi="Arial"/>
          <w:sz w:val="18"/>
          <w:szCs w:val="18"/>
          <w:color w:val="auto"/>
        </w:rPr>
      </w:pPr>
      <w:r>
        <w:rPr>
          <w:rFonts w:ascii="Arial" w:cs="Arial" w:eastAsia="Arial" w:hAnsi="Arial"/>
          <w:sz w:val="18"/>
          <w:szCs w:val="18"/>
          <w:color w:val="auto"/>
        </w:rPr>
        <w:t>Acumen will disclose to Merck all Acumen Know-How in Acumen’s possession that Acumen can rightfully disclose without violating any existing rights of any Third Party, generated by Acumen in the course of performing the Research Program, and that was not previously disclosed to Merck;</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0" w:right="479" w:bottom="1440" w:gutter="0" w:footer="0" w:header="0"/>
        </w:sectPr>
      </w:pPr>
    </w:p>
    <w:bookmarkStart w:id="368" w:name="page369"/>
    <w:bookmarkEnd w:id="368"/>
    <w:p>
      <w:pPr>
        <w:ind w:right="8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ind w:right="540" w:firstLine="2419"/>
        <w:spacing w:after="0" w:line="277" w:lineRule="auto"/>
        <w:tabs>
          <w:tab w:leader="none" w:pos="270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Acumen will cooperate with reasonable requests by Merck, and use reasonable efforts, to achieve a smooth transition of any and all Research Program-related responsibilities to Merck.</w:t>
      </w:r>
    </w:p>
    <w:p>
      <w:pPr>
        <w:spacing w:after="0" w:line="62" w:lineRule="exact"/>
        <w:rPr>
          <w:rFonts w:ascii="Arial" w:cs="Arial" w:eastAsia="Arial" w:hAnsi="Arial"/>
          <w:sz w:val="18"/>
          <w:szCs w:val="18"/>
          <w:color w:val="auto"/>
        </w:rPr>
      </w:pPr>
    </w:p>
    <w:p>
      <w:pPr>
        <w:ind w:right="100" w:firstLine="2419"/>
        <w:spacing w:after="0" w:line="263" w:lineRule="auto"/>
        <w:tabs>
          <w:tab w:leader="none" w:pos="2708"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Acumen shall, within [***] days after termination, return or cause to be returned to Merck all Merck Confidential Information in tangible form, and all substances, compositions, and other material in any medium, delivered or provided by Merck; as well as all copies thereof.</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DISPUTE RESOLUTION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w:t>
      </w:r>
    </w:p>
    <w:p>
      <w:pPr>
        <w:spacing w:after="0" w:line="121"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14.1.1 The Parties shall negotiate in good faith and use reasonable efforts to settle any dispute, controversy or claim as to the interpretation, effect, breach, termination of, or performance under, this Agreement, including, if necessary, a meeting between the Chief Executive Officer of Acumen and [***]. If the Parties do not fully settle, and a Party wishes to pursue the matter, each such dispute, controversy or claim that is not an Excluded Claim shall be finally resolved by binding arbitration in accordance with the Comprehensive Arbitration Rules and Procedures of the Judicial Arbitration and Mediation Services (“</w:t>
      </w:r>
      <w:r>
        <w:rPr>
          <w:rFonts w:ascii="Arial" w:cs="Arial" w:eastAsia="Arial" w:hAnsi="Arial"/>
          <w:sz w:val="16"/>
          <w:szCs w:val="16"/>
          <w:b w:val="1"/>
          <w:bCs w:val="1"/>
          <w:color w:val="auto"/>
        </w:rPr>
        <w:t>JAMS</w:t>
      </w:r>
      <w:r>
        <w:rPr>
          <w:rFonts w:ascii="Arial" w:cs="Arial" w:eastAsia="Arial" w:hAnsi="Arial"/>
          <w:sz w:val="16"/>
          <w:szCs w:val="16"/>
          <w:color w:val="auto"/>
        </w:rPr>
        <w:t>”), and judgment on the arbitration award may be entered in any court having jurisdiction thereof.</w:t>
      </w:r>
    </w:p>
    <w:p>
      <w:pPr>
        <w:spacing w:after="0" w:line="53" w:lineRule="exact"/>
        <w:rPr>
          <w:sz w:val="20"/>
          <w:szCs w:val="20"/>
          <w:color w:val="auto"/>
        </w:rPr>
      </w:pPr>
    </w:p>
    <w:p>
      <w:pPr>
        <w:jc w:val="both"/>
        <w:ind w:right="220" w:firstLine="991"/>
        <w:spacing w:after="0" w:line="301" w:lineRule="auto"/>
        <w:rPr>
          <w:sz w:val="20"/>
          <w:szCs w:val="20"/>
          <w:color w:val="auto"/>
        </w:rPr>
      </w:pPr>
      <w:r>
        <w:rPr>
          <w:rFonts w:ascii="Arial" w:cs="Arial" w:eastAsia="Arial" w:hAnsi="Arial"/>
          <w:sz w:val="16"/>
          <w:szCs w:val="16"/>
          <w:color w:val="auto"/>
        </w:rPr>
        <w:t>14.1.2 The arbitration shall be conducted by a panel of three persons experienced in the bio-pharmaceutical business: within [***] days after initiation of arbitration, each Party shall select one person to act as arbitrator and the two Party-selected arbitrators shall select a third arbitrator within [***] days of their appointment. If the arbitrators selected by the Parties are unable or fail to agree upon the third arbitrator, the third arbitrator shall be appointed by JAMS. The place of arbitration shall be [***] and all proceedings and communications shall be in English.</w:t>
      </w:r>
    </w:p>
    <w:p>
      <w:pPr>
        <w:spacing w:after="0" w:line="49"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14.1.3 Either Party may apply to the arbitrators for interim injunctive relief until the arbitration award is rendered or the controversy is otherwise resolved. Either Party also may, without waiving any remedy under this Agreement, seek from any court having jurisdiction any injunctive or provisional relief necessary to protect the rights or property of that Party pending the arbitration award. Each Party shall bear its own costs and expenses and attorneys’ fees and an equal share of the arbitrators’ and any administrative fees of arbitration.</w:t>
      </w:r>
    </w:p>
    <w:p>
      <w:pPr>
        <w:spacing w:after="0" w:line="63"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14.1.4 Except to the extent necessary to confirm an award or as may be required by law, and subject to the exceptions for disclosure of Confidential Information under Sections 10.1, 10.2 and 10.3, neither a Party nor an arbitrator may disclose the existence, content, or results of an arbitration without the prior written consent of both Parties. In no event shall an arbitration be initiated after the date when commencement of a legal or equitable proceeding based on the dispute, controversy or claim would be barred by the applicable Illinois statute of limitations.</w:t>
      </w:r>
    </w:p>
    <w:p>
      <w:pPr>
        <w:spacing w:after="0" w:line="49"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14.1.5 The parties further agree that any payments made pursuant to this Agreement pending resolution of the dispute shall be refunded if an arbitrator or court determines that such payments are not due.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440" w:top="270" w:right="499" w:bottom="1440" w:gutter="0" w:footer="0" w:header="0"/>
        </w:sectPr>
      </w:pPr>
    </w:p>
    <w:bookmarkStart w:id="369" w:name="page370"/>
    <w:bookmarkEnd w:id="369"/>
    <w:p>
      <w:pPr>
        <w:ind w:right="8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14.1.6 As used in this Section 14.1, the term “</w:t>
      </w:r>
      <w:r>
        <w:rPr>
          <w:rFonts w:ascii="Arial" w:cs="Arial" w:eastAsia="Arial" w:hAnsi="Arial"/>
          <w:sz w:val="18"/>
          <w:szCs w:val="18"/>
          <w:b w:val="1"/>
          <w:bCs w:val="1"/>
          <w:color w:val="auto"/>
        </w:rPr>
        <w:t>Excluded Claim</w:t>
      </w:r>
      <w:r>
        <w:rPr>
          <w:rFonts w:ascii="Arial" w:cs="Arial" w:eastAsia="Arial" w:hAnsi="Arial"/>
          <w:sz w:val="18"/>
          <w:szCs w:val="18"/>
          <w:color w:val="auto"/>
        </w:rPr>
        <w:t>” shall mean a dispute, controversy or claim that concerns [***]</w:t>
      </w:r>
    </w:p>
    <w:p>
      <w:pPr>
        <w:spacing w:after="0" w:line="117" w:lineRule="exact"/>
        <w:rPr>
          <w:sz w:val="20"/>
          <w:szCs w:val="20"/>
          <w:color w:val="auto"/>
        </w:rPr>
      </w:pPr>
    </w:p>
    <w:p>
      <w:pPr>
        <w:ind w:right="300" w:firstLine="440"/>
        <w:spacing w:after="0" w:line="261"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u w:val="single" w:color="auto"/>
          <w:color w:val="auto"/>
        </w:rPr>
        <w:t>Expedited Arbitration of Certain Disputes</w:t>
      </w:r>
      <w:r>
        <w:rPr>
          <w:rFonts w:ascii="Arial" w:cs="Arial" w:eastAsia="Arial" w:hAnsi="Arial"/>
          <w:sz w:val="18"/>
          <w:szCs w:val="18"/>
          <w:color w:val="auto"/>
        </w:rPr>
        <w:t>. In the event that the Parties are unable to reach agreement regarding: [***], and the Parties have not resolved such dispute through good faith negotiations, such dispute will be resolved by binding arbitration in the manner described in Section 14.1 above, except modified as follows. Notwithstanding Section 14.1 or the rules described in Section 14.1 above, the following provisions shall apply:</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14.2.1 [***]</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14.2.2 [***]</w:t>
      </w:r>
    </w:p>
    <w:p>
      <w:pPr>
        <w:spacing w:after="0" w:line="113" w:lineRule="exact"/>
        <w:rPr>
          <w:sz w:val="20"/>
          <w:szCs w:val="20"/>
          <w:color w:val="auto"/>
        </w:rPr>
      </w:pPr>
    </w:p>
    <w:p>
      <w:pPr>
        <w:ind w:right="300" w:firstLine="440"/>
        <w:spacing w:after="0" w:line="281"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b w:val="1"/>
          <w:bCs w:val="1"/>
          <w:u w:val="single" w:color="auto"/>
          <w:color w:val="auto"/>
        </w:rPr>
        <w:t>Injunctive Relief</w:t>
      </w:r>
      <w:r>
        <w:rPr>
          <w:rFonts w:ascii="Arial" w:cs="Arial" w:eastAsia="Arial" w:hAnsi="Arial"/>
          <w:sz w:val="17"/>
          <w:szCs w:val="17"/>
          <w:color w:val="auto"/>
        </w:rPr>
        <w:t>. Nothing in this Article 14 shall be construed to prohibit either Party from seeking preliminary or permanent injunctive relief, restraining order or degree of specific performance in any court of competent jurisdiction at any time, to the extent not prohibited by this Agreement. For avoidance of doubt, any such equitable remedies provided under this Article 14 shall be cumulative and not exclusive and are in addition to any other remedies, which either Party may have under this Agreement or applicable law.</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99"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u w:val="single" w:color="auto"/>
          <w:color w:val="auto"/>
        </w:rPr>
        <w:t>Governing Laws</w:t>
      </w:r>
      <w:r>
        <w:rPr>
          <w:rFonts w:ascii="Arial" w:cs="Arial" w:eastAsia="Arial" w:hAnsi="Arial"/>
          <w:sz w:val="18"/>
          <w:szCs w:val="18"/>
          <w:color w:val="auto"/>
        </w:rPr>
        <w:t>. This Agreement and any dispute arising from the construction, performance or breach hereof shall be governed by and construed, and enforced in accordance with, the laws of the state of [***] and the patent laws of the United States, without reference to conflicts of laws principles. The UN Convention on the International Sale of Goods or any another similar conventions or treaties shall not apply to this Agreement or activities in connection with this Agreement.</w:t>
      </w:r>
    </w:p>
    <w:p>
      <w:pPr>
        <w:spacing w:after="0" w:line="7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It is agreed that no waiver by either Party hereto of any breach or default of any of the covenants or agreements herein set forth shall be deemed a waiver as to any subsequent and/or similar breach or default.</w:t>
      </w:r>
    </w:p>
    <w:p>
      <w:pPr>
        <w:spacing w:after="0" w:line="54" w:lineRule="exact"/>
        <w:rPr>
          <w:sz w:val="20"/>
          <w:szCs w:val="20"/>
          <w:color w:val="auto"/>
        </w:rPr>
      </w:pPr>
    </w:p>
    <w:p>
      <w:pPr>
        <w:ind w:right="220" w:firstLine="440"/>
        <w:spacing w:after="0" w:line="347"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b w:val="1"/>
          <w:bCs w:val="1"/>
          <w:u w:val="single" w:color="auto"/>
          <w:color w:val="auto"/>
        </w:rPr>
        <w:t>Assignment</w:t>
      </w:r>
      <w:r>
        <w:rPr>
          <w:rFonts w:ascii="Arial" w:cs="Arial" w:eastAsia="Arial" w:hAnsi="Arial"/>
          <w:sz w:val="16"/>
          <w:szCs w:val="16"/>
          <w:color w:val="auto"/>
        </w:rPr>
        <w:t>. This Agreement shall not be assignable by either Party, including through a Change of Control, without the prior written consent of the other Party hereto, except as set forth in this Section 15.3, and any attempted assignment in violation of this Section 15.3 shall be void.</w:t>
      </w:r>
    </w:p>
    <w:p>
      <w:pPr>
        <w:spacing w:after="0" w:line="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15.3.1 [***]</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15.3.2 [***]</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15.3.3 [***]</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15.3.4 Any permitted assignee shall assume all assigned obligations of its assignor under this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0" w:right="479" w:bottom="1440" w:gutter="0" w:footer="0" w:header="0"/>
        </w:sectPr>
      </w:pPr>
    </w:p>
    <w:bookmarkStart w:id="370" w:name="page371"/>
    <w:bookmarkEnd w:id="370"/>
    <w:p>
      <w:pPr>
        <w:ind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ind w:right="120" w:firstLine="440"/>
        <w:spacing w:after="0" w:line="347"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b w:val="1"/>
          <w:bCs w:val="1"/>
          <w:u w:val="single" w:color="auto"/>
          <w:color w:val="auto"/>
        </w:rPr>
        <w:t>Independent Contractors</w:t>
      </w:r>
      <w:r>
        <w:rPr>
          <w:rFonts w:ascii="Arial" w:cs="Arial" w:eastAsia="Arial" w:hAnsi="Arial"/>
          <w:sz w:val="16"/>
          <w:szCs w:val="16"/>
          <w:color w:val="auto"/>
        </w:rPr>
        <w:t>. The relationship of the Parties hereto is that of independent contractors. The Parties hereto are not deemed to be agents, partners or joint venturers of the others for any purpose as a result of this Agreement or the transactions contemplated thereby.</w:t>
      </w:r>
    </w:p>
    <w:p>
      <w:pPr>
        <w:spacing w:after="0" w:line="8"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 In exercising their rights and performing their obligations under this Agreement, the Parties shall fully comply in all material respects with the requirements of any and all applicable laws, regulations, rules and orders of any governmental body having jurisdiction over the exercise of such rights or performance of such obligations including, without limitation, those applicable to the discovery, development, manufacture, distribution, import and export and sale of Products pursuant to this Agreement.</w:t>
      </w:r>
    </w:p>
    <w:p>
      <w:pPr>
        <w:spacing w:after="0" w:line="72" w:lineRule="exact"/>
        <w:rPr>
          <w:sz w:val="20"/>
          <w:szCs w:val="20"/>
          <w:color w:val="auto"/>
        </w:rPr>
      </w:pPr>
    </w:p>
    <w:p>
      <w:pPr>
        <w:jc w:val="both"/>
        <w:ind w:right="40" w:firstLine="440"/>
        <w:spacing w:after="0" w:line="347" w:lineRule="auto"/>
        <w:rPr>
          <w:sz w:val="20"/>
          <w:szCs w:val="20"/>
          <w:color w:val="auto"/>
        </w:rPr>
      </w:pPr>
      <w:r>
        <w:rPr>
          <w:rFonts w:ascii="Arial" w:cs="Arial" w:eastAsia="Arial" w:hAnsi="Arial"/>
          <w:sz w:val="16"/>
          <w:szCs w:val="16"/>
          <w:color w:val="auto"/>
        </w:rPr>
        <w:t xml:space="preserve">15.6 </w:t>
      </w:r>
      <w:r>
        <w:rPr>
          <w:rFonts w:ascii="Arial" w:cs="Arial" w:eastAsia="Arial" w:hAnsi="Arial"/>
          <w:sz w:val="16"/>
          <w:szCs w:val="16"/>
          <w:b w:val="1"/>
          <w:bCs w:val="1"/>
          <w:u w:val="single" w:color="auto"/>
          <w:color w:val="auto"/>
        </w:rPr>
        <w:t>Patent Marking</w:t>
      </w:r>
      <w:r>
        <w:rPr>
          <w:rFonts w:ascii="Arial" w:cs="Arial" w:eastAsia="Arial" w:hAnsi="Arial"/>
          <w:sz w:val="16"/>
          <w:szCs w:val="16"/>
          <w:color w:val="auto"/>
        </w:rPr>
        <w:t>. Merck agrees to mark, and to ensure that its Affiliates and Sublicensees mark, all Products sold pursuant to this Agreement in accordance with the applicable statute or regulations relating to patent marking in the country or countries of manufacture, use, import or sale thereof.</w:t>
      </w:r>
    </w:p>
    <w:p>
      <w:pPr>
        <w:spacing w:after="0" w:line="8" w:lineRule="exact"/>
        <w:rPr>
          <w:sz w:val="20"/>
          <w:szCs w:val="20"/>
          <w:color w:val="auto"/>
        </w:rPr>
      </w:pPr>
    </w:p>
    <w:p>
      <w:pPr>
        <w:ind w:right="240" w:firstLine="440"/>
        <w:spacing w:after="0" w:line="261"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and other communications hereunder shall be in writing and shall be personally delivered, by registered or certified mail, return receipt requested, postage prepaid, or by a recognized overnight courier, or by facsimile with written confirmation by one of the other methods set forth above, in each case to the respective address specified below, or such other address as may be specified in writing to the other Party hereto and shall be deemed to have been given upon receipt:</w:t>
      </w:r>
    </w:p>
    <w:p>
      <w:pPr>
        <w:sectPr>
          <w:pgSz w:w="11900" w:h="16838" w:orient="portrait"/>
          <w:cols w:equalWidth="0" w:num="1">
            <w:col w:w="11000"/>
          </w:cols>
          <w:pgMar w:left="440" w:top="270" w:right="459" w:bottom="1440" w:gutter="0" w:footer="0" w:header="0"/>
        </w:sectPr>
      </w:pPr>
    </w:p>
    <w:p>
      <w:pPr>
        <w:spacing w:after="0" w:line="8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Acumen:</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Acumen Pharmaceuticals,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385 Oyster Point Blvd., Suite 9A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 94080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(415) 777-4363</w:t>
      </w:r>
    </w:p>
    <w:p>
      <w:pPr>
        <w:spacing w:after="0" w:line="103"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Cooley Godward,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Palo Alto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El Camino Real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Robert L. Jones,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(650) 849-7400</w:t>
      </w:r>
    </w:p>
    <w:p>
      <w:pPr>
        <w:spacing w:after="0" w:line="103"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ind w:left="1080"/>
        <w:spacing w:after="0"/>
        <w:rPr>
          <w:sz w:val="20"/>
          <w:szCs w:val="20"/>
          <w:color w:val="auto"/>
        </w:rPr>
      </w:pPr>
      <w:r>
        <w:rPr>
          <w:rFonts w:ascii="Arial" w:cs="Arial" w:eastAsia="Arial" w:hAnsi="Arial"/>
          <w:sz w:val="17"/>
          <w:szCs w:val="17"/>
          <w:color w:val="auto"/>
        </w:rPr>
        <w:t>Merck: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1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ind w:right="40" w:firstLine="440"/>
        <w:spacing w:after="0" w:line="261" w:lineRule="auto"/>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In the event that any provision of this Agreement becomes or is declared by a court of competent jurisdiction to be illegal, unenforceable or void, this Agreement shall continue in full force and effect to the fullest extent permitted by law without said provision, and the Parties shall amend the Agreement to the extent feasible to lawfully include the substance of the excluded term to as fully as possible realize the intent of the Parties and their commercial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0" w:right="459" w:bottom="1440" w:gutter="0" w:footer="0" w:header="0"/>
          <w:type w:val="continuous"/>
        </w:sectPr>
      </w:pPr>
    </w:p>
    <w:bookmarkStart w:id="371" w:name="page372"/>
    <w:bookmarkEnd w:id="371"/>
    <w:p>
      <w:pPr>
        <w:ind w:right="86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bargain. If a Party seeks to avoid a provision of this Agreement by asserting that such provision is invalid, illegal or otherwise unenforceable, the other Party shall have the right to terminate this Agreement upon sixty (60) days’ prior written notice to the asserting Party, unless such assertion is eliminated and cured within such sixty (60) day period. If Merck has sought to so avoid a provision of this Agreement, such termination shall be deemed a termination by Acumen for breach by Merck under Section 13.2 above, and if Acumen has sought such an avoidance, such termination shall be deemed a termination by Merck for breach by Acumen under Section 13.2 above, in each case not subject to mediation as described therein or in Section 14.3.</w:t>
      </w:r>
    </w:p>
    <w:p>
      <w:pPr>
        <w:spacing w:after="0" w:line="49" w:lineRule="exact"/>
        <w:rPr>
          <w:sz w:val="20"/>
          <w:szCs w:val="20"/>
          <w:color w:val="auto"/>
        </w:rPr>
      </w:pPr>
    </w:p>
    <w:p>
      <w:pPr>
        <w:ind w:right="120" w:firstLine="440"/>
        <w:spacing w:after="0" w:line="347" w:lineRule="auto"/>
        <w:rPr>
          <w:sz w:val="20"/>
          <w:szCs w:val="20"/>
          <w:color w:val="auto"/>
        </w:rPr>
      </w:pPr>
      <w:r>
        <w:rPr>
          <w:rFonts w:ascii="Arial" w:cs="Arial" w:eastAsia="Arial" w:hAnsi="Arial"/>
          <w:sz w:val="16"/>
          <w:szCs w:val="16"/>
          <w:color w:val="auto"/>
        </w:rPr>
        <w:t xml:space="preserve">15.9 </w:t>
      </w:r>
      <w:r>
        <w:rPr>
          <w:rFonts w:ascii="Arial" w:cs="Arial" w:eastAsia="Arial" w:hAnsi="Arial"/>
          <w:sz w:val="16"/>
          <w:szCs w:val="16"/>
          <w:b w:val="1"/>
          <w:bCs w:val="1"/>
          <w:u w:val="single" w:color="auto"/>
          <w:color w:val="auto"/>
        </w:rPr>
        <w:t>Advice of Counsel</w:t>
      </w:r>
      <w:r>
        <w:rPr>
          <w:rFonts w:ascii="Arial" w:cs="Arial" w:eastAsia="Arial" w:hAnsi="Arial"/>
          <w:sz w:val="16"/>
          <w:szCs w:val="16"/>
          <w:color w:val="auto"/>
        </w:rPr>
        <w:t>. Acumen and Merck have each consulted counsel of their choice regarding this Agreement, and each acknowledges and agrees that this Agreement shall not be deemed to have been drafted by one Party or another and will be construed accordingly.</w:t>
      </w:r>
    </w:p>
    <w:p>
      <w:pPr>
        <w:spacing w:after="0" w:line="8" w:lineRule="exact"/>
        <w:rPr>
          <w:sz w:val="20"/>
          <w:szCs w:val="20"/>
          <w:color w:val="auto"/>
        </w:rPr>
      </w:pPr>
    </w:p>
    <w:p>
      <w:pPr>
        <w:ind w:right="740" w:firstLine="440"/>
        <w:spacing w:after="0" w:line="282" w:lineRule="auto"/>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b w:val="1"/>
          <w:bCs w:val="1"/>
          <w:u w:val="single" w:color="auto"/>
          <w:color w:val="auto"/>
        </w:rPr>
        <w:t>Performance Warranty</w:t>
      </w:r>
      <w:r>
        <w:rPr>
          <w:rFonts w:ascii="Arial" w:cs="Arial" w:eastAsia="Arial" w:hAnsi="Arial"/>
          <w:sz w:val="18"/>
          <w:szCs w:val="18"/>
          <w:color w:val="auto"/>
        </w:rPr>
        <w:t>. Each Party hereby warrants and guarantees the performance of any and all rights and obligations of this Agreement by its Affiliates and Sublicensees.</w:t>
      </w:r>
    </w:p>
    <w:p>
      <w:pPr>
        <w:spacing w:after="0" w:line="54" w:lineRule="exact"/>
        <w:rPr>
          <w:sz w:val="20"/>
          <w:szCs w:val="20"/>
          <w:color w:val="auto"/>
        </w:rPr>
      </w:pPr>
    </w:p>
    <w:p>
      <w:pPr>
        <w:ind w:right="40" w:firstLine="440"/>
        <w:spacing w:after="0" w:line="298" w:lineRule="auto"/>
        <w:rPr>
          <w:sz w:val="20"/>
          <w:szCs w:val="20"/>
          <w:color w:val="auto"/>
        </w:rPr>
      </w:pPr>
      <w:r>
        <w:rPr>
          <w:rFonts w:ascii="Arial" w:cs="Arial" w:eastAsia="Arial" w:hAnsi="Arial"/>
          <w:sz w:val="16"/>
          <w:szCs w:val="16"/>
          <w:color w:val="auto"/>
        </w:rPr>
        <w:t xml:space="preserve">15.11 </w:t>
      </w:r>
      <w:r>
        <w:rPr>
          <w:rFonts w:ascii="Arial" w:cs="Arial" w:eastAsia="Arial" w:hAnsi="Arial"/>
          <w:sz w:val="16"/>
          <w:szCs w:val="16"/>
          <w:b w:val="1"/>
          <w:bCs w:val="1"/>
          <w:u w:val="single" w:color="auto"/>
          <w:color w:val="auto"/>
        </w:rPr>
        <w:t>Force Majeure</w:t>
      </w:r>
      <w:r>
        <w:rPr>
          <w:rFonts w:ascii="Arial" w:cs="Arial" w:eastAsia="Arial" w:hAnsi="Arial"/>
          <w:sz w:val="16"/>
          <w:szCs w:val="16"/>
          <w:color w:val="auto"/>
        </w:rPr>
        <w:t xml:space="preserve">. Neither Party shall lose any rights hereunder or be liable to the other Party for damages or losses (except for payment obligations) on account of failure of performance by the defaulting Party if the failure is occasioned by war, strike, fire, Act of God, earthquake, flood, lockout, embargo, governmental acts or orders or restrictions, failure of suppliers, or any other reason where failure to perform is beyond the reasonable control and not caused by the negligence, intentional conduct or misconduct of the non-performing Party and such Party has exerted all reasonable efforts to avoid or remedy such force majeure;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 Party be required to settle any labor dispute or disturbance.</w:t>
      </w:r>
    </w:p>
    <w:p>
      <w:pPr>
        <w:spacing w:after="0" w:line="46"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color w:val="auto"/>
        </w:rPr>
        <w:t xml:space="preserve">15.12 </w:t>
      </w:r>
      <w:r>
        <w:rPr>
          <w:rFonts w:ascii="Arial" w:cs="Arial" w:eastAsia="Arial" w:hAnsi="Arial"/>
          <w:sz w:val="17"/>
          <w:szCs w:val="17"/>
          <w:b w:val="1"/>
          <w:bCs w:val="1"/>
          <w:u w:val="single" w:color="auto"/>
          <w:color w:val="auto"/>
        </w:rPr>
        <w:t>Complete Agreement</w:t>
      </w:r>
      <w:r>
        <w:rPr>
          <w:rFonts w:ascii="Arial" w:cs="Arial" w:eastAsia="Arial" w:hAnsi="Arial"/>
          <w:sz w:val="17"/>
          <w:szCs w:val="17"/>
          <w:color w:val="auto"/>
        </w:rPr>
        <w:t>. This Agreement with its Exhibits, constitutes the entire agreement, both written and oral, between the Parties with respect to the subject matter hereof, and all prior and contemporaneous agreements respecting the subject matter hereof, either written or oral, express or implied, shall be abrogated, canceled, and are null and void and of no effect. Any confidential disclosures made prior to the Effective Date pursuant to a non-disclosure agreement shall be deemed to be Confidential Information disclosed pursuant to the confidentiality and non-use provisions of this Agreement. No amendment or change hereof or addition hereto shall be effective or binding on either of the Parties hereto unless reduced to writing and executed by the respective duly authorized representatives of Acumen and Merck.</w:t>
      </w:r>
    </w:p>
    <w:p>
      <w:pPr>
        <w:spacing w:after="0" w:line="65"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color w:val="auto"/>
        </w:rPr>
        <w:t xml:space="preserve">15.13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captions to the several Sections hereof are not a part of this Agreement, but are included merely for convenience of reference and shall not affect its meaning or interpretation.</w:t>
      </w:r>
    </w:p>
    <w:p>
      <w:pPr>
        <w:spacing w:after="0" w:line="54"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counterparts, each of which shall be deemed to be an original and all of which together shall be deemed to be one and the same agreement.</w:t>
      </w:r>
    </w:p>
    <w:p>
      <w:pPr>
        <w:spacing w:after="0" w:line="54" w:lineRule="exact"/>
        <w:rPr>
          <w:sz w:val="20"/>
          <w:szCs w:val="20"/>
          <w:color w:val="auto"/>
        </w:rPr>
      </w:pPr>
    </w:p>
    <w:p>
      <w:pPr>
        <w:ind w:right="340" w:firstLine="440"/>
        <w:spacing w:after="0" w:line="347" w:lineRule="auto"/>
        <w:rPr>
          <w:sz w:val="20"/>
          <w:szCs w:val="20"/>
          <w:color w:val="auto"/>
        </w:rPr>
      </w:pPr>
      <w:r>
        <w:rPr>
          <w:rFonts w:ascii="Arial" w:cs="Arial" w:eastAsia="Arial" w:hAnsi="Arial"/>
          <w:sz w:val="16"/>
          <w:szCs w:val="16"/>
          <w:color w:val="auto"/>
        </w:rPr>
        <w:t xml:space="preserve">15.15 </w:t>
      </w:r>
      <w:r>
        <w:rPr>
          <w:rFonts w:ascii="Arial" w:cs="Arial" w:eastAsia="Arial" w:hAnsi="Arial"/>
          <w:sz w:val="16"/>
          <w:szCs w:val="16"/>
          <w:b w:val="1"/>
          <w:bCs w:val="1"/>
          <w:u w:val="single" w:color="auto"/>
          <w:color w:val="auto"/>
        </w:rPr>
        <w:t>Bankruptcy</w:t>
      </w:r>
      <w:r>
        <w:rPr>
          <w:rFonts w:ascii="Arial" w:cs="Arial" w:eastAsia="Arial" w:hAnsi="Arial"/>
          <w:sz w:val="16"/>
          <w:szCs w:val="16"/>
          <w:color w:val="auto"/>
        </w:rPr>
        <w:t>. All rights and licenses granted under or pursuant to this Agreement by each Party as a licensor are, and shall otherwise be deemed to be, for purposes of Section 365(n) of Title 11, U.S. Code (the “</w:t>
      </w:r>
      <w:r>
        <w:rPr>
          <w:rFonts w:ascii="Arial" w:cs="Arial" w:eastAsia="Arial" w:hAnsi="Arial"/>
          <w:sz w:val="16"/>
          <w:szCs w:val="16"/>
          <w:b w:val="1"/>
          <w:bCs w:val="1"/>
          <w:color w:val="auto"/>
        </w:rPr>
        <w:t>Bankruptcy Code</w:t>
      </w:r>
      <w:r>
        <w:rPr>
          <w:rFonts w:ascii="Arial" w:cs="Arial" w:eastAsia="Arial" w:hAnsi="Arial"/>
          <w:sz w:val="16"/>
          <w:szCs w:val="16"/>
          <w:color w:val="auto"/>
        </w:rPr>
        <w:t>”), licenses of rights to “intellectual property” as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0" w:right="479" w:bottom="1440" w:gutter="0" w:footer="0" w:header="0"/>
        </w:sectPr>
      </w:pPr>
    </w:p>
    <w:bookmarkStart w:id="372" w:name="page373"/>
    <w:bookmarkEnd w:id="372"/>
    <w:p>
      <w:pPr>
        <w:ind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defined under section 101(35A) of the Bankruptcy Code. The Parties agree that each licensee of such rights under this Agreement, shall retain and may fully exercise all rights and elections it would have in the case of a licensor bankruptcy under the Bankruptcy Code. Each Party agrees during the term of this Agreement to create or maintain current copies, or if not amenable to copying, detailed descriptions or other appropriate embodiments, of all such intellectual property licensed to the other Party.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0" w:right="459" w:bottom="1440" w:gutter="0" w:footer="0" w:header="0"/>
        </w:sectPr>
      </w:pPr>
    </w:p>
    <w:bookmarkStart w:id="373" w:name="page374"/>
    <w:bookmarkEnd w:id="373"/>
    <w:p>
      <w:pPr>
        <w:ind w:right="9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authorized representatives and delivered in duplicate originals as of the Effective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MERCK &amp; CO., INC.</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ACUMEN PHARMACEUTICALS,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4"/>
                <w:szCs w:val="24"/>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4"/>
                <w:szCs w:val="24"/>
                <w:color w:val="auto"/>
              </w:rPr>
            </w:pPr>
          </w:p>
        </w:tc>
      </w:tr>
      <w:tr>
        <w:trPr>
          <w:trHeight w:val="43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4"/>
                <w:szCs w:val="24"/>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4"/>
                <w:szCs w:val="24"/>
                <w:color w:val="auto"/>
              </w:rPr>
            </w:pP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Title:</w:t>
            </w:r>
          </w:p>
        </w:tc>
      </w:tr>
      <w:tr>
        <w:trPr>
          <w:trHeight w:val="372"/>
        </w:trPr>
        <w:tc>
          <w:tcPr>
            <w:tcW w:w="640" w:type="dxa"/>
            <w:vAlign w:val="bottom"/>
          </w:tcPr>
          <w:p>
            <w:pPr>
              <w:spacing w:after="0"/>
              <w:rPr>
                <w:sz w:val="24"/>
                <w:szCs w:val="24"/>
                <w:color w:val="auto"/>
              </w:rPr>
            </w:pPr>
          </w:p>
        </w:tc>
        <w:tc>
          <w:tcPr>
            <w:tcW w:w="4520" w:type="dxa"/>
            <w:vAlign w:val="bottom"/>
            <w:tcBorders>
              <w:top w:val="single" w:sz="8" w:color="auto"/>
            </w:tcBorders>
          </w:tcPr>
          <w:p>
            <w:pPr>
              <w:spacing w:after="0"/>
              <w:rPr>
                <w:sz w:val="24"/>
                <w:szCs w:val="24"/>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-49-</w:t>
            </w:r>
          </w:p>
        </w:tc>
        <w:tc>
          <w:tcPr>
            <w:tcW w:w="4520" w:type="dxa"/>
            <w:vAlign w:val="bottom"/>
            <w:tcBorders>
              <w:top w:val="single" w:sz="8" w:color="auto"/>
            </w:tcBorders>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74" w:name="page375"/>
    <w:bookmarkEnd w:id="374"/>
    <w:p>
      <w:pPr>
        <w:ind w:right="9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1.3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ACUMEN PATENT RIGHTS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Patent Application No.</w:t>
            </w:r>
          </w:p>
        </w:tc>
        <w:tc>
          <w:tcPr>
            <w:tcW w:w="1920" w:type="dxa"/>
            <w:vAlign w:val="bottom"/>
            <w:vMerge w:val="restart"/>
          </w:tcPr>
          <w:p>
            <w:pPr>
              <w:jc w:val="center"/>
              <w:ind w:left="631"/>
              <w:spacing w:after="0"/>
              <w:rPr>
                <w:sz w:val="20"/>
                <w:szCs w:val="20"/>
                <w:color w:val="auto"/>
              </w:rPr>
            </w:pPr>
            <w:r>
              <w:rPr>
                <w:rFonts w:ascii="Arial" w:cs="Arial" w:eastAsia="Arial" w:hAnsi="Arial"/>
                <w:sz w:val="14"/>
                <w:szCs w:val="14"/>
                <w:b w:val="1"/>
                <w:bCs w:val="1"/>
                <w:color w:val="auto"/>
                <w:w w:val="94"/>
              </w:rPr>
              <w:t>Filing Date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Country</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185"/>
        </w:trPr>
        <w:tc>
          <w:tcPr>
            <w:tcW w:w="3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Patent No.</w:t>
            </w:r>
          </w:p>
        </w:tc>
        <w:tc>
          <w:tcPr>
            <w:tcW w:w="19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2"/>
            <w:vMerge w:val="continue"/>
          </w:tcPr>
          <w:p>
            <w:pPr>
              <w:spacing w:after="0"/>
              <w:rPr>
                <w:sz w:val="16"/>
                <w:szCs w:val="16"/>
                <w:color w:val="auto"/>
              </w:rPr>
            </w:pP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920" w:type="dxa"/>
            <w:vAlign w:val="bottom"/>
            <w:tcBorders>
              <w:top w:val="single" w:sz="8" w:color="auto"/>
            </w:tcBorders>
          </w:tcPr>
          <w:p>
            <w:pPr>
              <w:jc w:val="center"/>
              <w:ind w:left="631"/>
              <w:spacing w:after="0" w:line="195"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20" w:type="dxa"/>
            <w:vAlign w:val="bottom"/>
          </w:tcPr>
          <w:p>
            <w:pPr>
              <w:jc w:val="center"/>
              <w:ind w:left="631"/>
              <w:spacing w:after="0"/>
              <w:rPr>
                <w:sz w:val="20"/>
                <w:szCs w:val="20"/>
                <w:color w:val="auto"/>
              </w:rPr>
            </w:pPr>
            <w:r>
              <w:rPr>
                <w:rFonts w:ascii="Arial" w:cs="Arial" w:eastAsia="Arial" w:hAnsi="Arial"/>
                <w:sz w:val="18"/>
                <w:szCs w:val="18"/>
                <w:color w:val="auto"/>
              </w:rPr>
              <w:t>[***]</w:t>
            </w:r>
          </w:p>
        </w:tc>
        <w:tc>
          <w:tcPr>
            <w:tcW w:w="3460" w:type="dxa"/>
            <w:vAlign w:val="bottom"/>
            <w:gridSpan w:val="3"/>
          </w:tcPr>
          <w:p>
            <w:pPr>
              <w:jc w:val="center"/>
              <w:ind w:left="7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20" w:type="dxa"/>
            <w:vAlign w:val="bottom"/>
          </w:tcPr>
          <w:p>
            <w:pPr>
              <w:jc w:val="center"/>
              <w:ind w:left="631"/>
              <w:spacing w:after="0"/>
              <w:rPr>
                <w:sz w:val="20"/>
                <w:szCs w:val="20"/>
                <w:color w:val="auto"/>
              </w:rPr>
            </w:pPr>
            <w:r>
              <w:rPr>
                <w:rFonts w:ascii="Arial" w:cs="Arial" w:eastAsia="Arial" w:hAnsi="Arial"/>
                <w:sz w:val="18"/>
                <w:szCs w:val="18"/>
                <w:color w:val="auto"/>
              </w:rPr>
              <w:t>[***]</w:t>
            </w:r>
          </w:p>
        </w:tc>
        <w:tc>
          <w:tcPr>
            <w:tcW w:w="3460" w:type="dxa"/>
            <w:vAlign w:val="bottom"/>
            <w:gridSpan w:val="3"/>
          </w:tcPr>
          <w:p>
            <w:pPr>
              <w:jc w:val="center"/>
              <w:ind w:left="7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20" w:type="dxa"/>
            <w:vAlign w:val="bottom"/>
          </w:tcPr>
          <w:p>
            <w:pPr>
              <w:jc w:val="center"/>
              <w:ind w:left="631"/>
              <w:spacing w:after="0"/>
              <w:rPr>
                <w:sz w:val="20"/>
                <w:szCs w:val="20"/>
                <w:color w:val="auto"/>
              </w:rPr>
            </w:pPr>
            <w:r>
              <w:rPr>
                <w:rFonts w:ascii="Arial" w:cs="Arial" w:eastAsia="Arial" w:hAnsi="Arial"/>
                <w:sz w:val="18"/>
                <w:szCs w:val="18"/>
                <w:color w:val="auto"/>
              </w:rPr>
              <w:t>[***]</w:t>
            </w:r>
          </w:p>
        </w:tc>
        <w:tc>
          <w:tcPr>
            <w:tcW w:w="3460" w:type="dxa"/>
            <w:vAlign w:val="bottom"/>
            <w:gridSpan w:val="3"/>
          </w:tcPr>
          <w:p>
            <w:pPr>
              <w:jc w:val="center"/>
              <w:ind w:left="7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20" w:type="dxa"/>
            <w:vAlign w:val="bottom"/>
          </w:tcPr>
          <w:p>
            <w:pPr>
              <w:jc w:val="center"/>
              <w:ind w:left="631"/>
              <w:spacing w:after="0"/>
              <w:rPr>
                <w:sz w:val="20"/>
                <w:szCs w:val="20"/>
                <w:color w:val="auto"/>
              </w:rPr>
            </w:pPr>
            <w:r>
              <w:rPr>
                <w:rFonts w:ascii="Arial" w:cs="Arial" w:eastAsia="Arial" w:hAnsi="Arial"/>
                <w:sz w:val="18"/>
                <w:szCs w:val="18"/>
                <w:color w:val="auto"/>
              </w:rPr>
              <w:t>[***]</w:t>
            </w:r>
          </w:p>
        </w:tc>
        <w:tc>
          <w:tcPr>
            <w:tcW w:w="3460" w:type="dxa"/>
            <w:vAlign w:val="bottom"/>
            <w:gridSpan w:val="3"/>
          </w:tcPr>
          <w:p>
            <w:pPr>
              <w:jc w:val="center"/>
              <w:ind w:left="7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20" w:type="dxa"/>
            <w:vAlign w:val="bottom"/>
          </w:tcPr>
          <w:p>
            <w:pPr>
              <w:jc w:val="center"/>
              <w:ind w:left="631"/>
              <w:spacing w:after="0"/>
              <w:rPr>
                <w:sz w:val="20"/>
                <w:szCs w:val="20"/>
                <w:color w:val="auto"/>
              </w:rPr>
            </w:pPr>
            <w:r>
              <w:rPr>
                <w:rFonts w:ascii="Arial" w:cs="Arial" w:eastAsia="Arial" w:hAnsi="Arial"/>
                <w:sz w:val="18"/>
                <w:szCs w:val="18"/>
                <w:color w:val="auto"/>
              </w:rPr>
              <w:t>[***]</w:t>
            </w:r>
          </w:p>
        </w:tc>
        <w:tc>
          <w:tcPr>
            <w:tcW w:w="3460" w:type="dxa"/>
            <w:vAlign w:val="bottom"/>
            <w:gridSpan w:val="3"/>
          </w:tcPr>
          <w:p>
            <w:pPr>
              <w:jc w:val="center"/>
              <w:ind w:left="7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20" w:type="dxa"/>
            <w:vAlign w:val="bottom"/>
          </w:tcPr>
          <w:p>
            <w:pPr>
              <w:jc w:val="center"/>
              <w:ind w:left="631"/>
              <w:spacing w:after="0"/>
              <w:rPr>
                <w:sz w:val="20"/>
                <w:szCs w:val="20"/>
                <w:color w:val="auto"/>
              </w:rPr>
            </w:pPr>
            <w:r>
              <w:rPr>
                <w:rFonts w:ascii="Arial" w:cs="Arial" w:eastAsia="Arial" w:hAnsi="Arial"/>
                <w:sz w:val="18"/>
                <w:szCs w:val="18"/>
                <w:color w:val="auto"/>
              </w:rPr>
              <w:t>[***]</w:t>
            </w:r>
          </w:p>
        </w:tc>
        <w:tc>
          <w:tcPr>
            <w:tcW w:w="3460" w:type="dxa"/>
            <w:vAlign w:val="bottom"/>
            <w:gridSpan w:val="3"/>
          </w:tcPr>
          <w:p>
            <w:pPr>
              <w:jc w:val="center"/>
              <w:ind w:left="7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20" w:type="dxa"/>
            <w:vAlign w:val="bottom"/>
          </w:tcPr>
          <w:p>
            <w:pPr>
              <w:jc w:val="center"/>
              <w:ind w:left="631"/>
              <w:spacing w:after="0"/>
              <w:rPr>
                <w:sz w:val="20"/>
                <w:szCs w:val="20"/>
                <w:color w:val="auto"/>
              </w:rPr>
            </w:pPr>
            <w:r>
              <w:rPr>
                <w:rFonts w:ascii="Arial" w:cs="Arial" w:eastAsia="Arial" w:hAnsi="Arial"/>
                <w:sz w:val="18"/>
                <w:szCs w:val="18"/>
                <w:color w:val="auto"/>
              </w:rPr>
              <w:t>[***]</w:t>
            </w:r>
          </w:p>
        </w:tc>
        <w:tc>
          <w:tcPr>
            <w:tcW w:w="3460" w:type="dxa"/>
            <w:vAlign w:val="bottom"/>
            <w:gridSpan w:val="3"/>
          </w:tcPr>
          <w:p>
            <w:pPr>
              <w:jc w:val="center"/>
              <w:ind w:left="7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20" w:type="dxa"/>
            <w:vAlign w:val="bottom"/>
          </w:tcPr>
          <w:p>
            <w:pPr>
              <w:jc w:val="center"/>
              <w:ind w:left="631"/>
              <w:spacing w:after="0"/>
              <w:rPr>
                <w:sz w:val="20"/>
                <w:szCs w:val="20"/>
                <w:color w:val="auto"/>
              </w:rPr>
            </w:pPr>
            <w:r>
              <w:rPr>
                <w:rFonts w:ascii="Arial" w:cs="Arial" w:eastAsia="Arial" w:hAnsi="Arial"/>
                <w:sz w:val="18"/>
                <w:szCs w:val="18"/>
                <w:color w:val="auto"/>
              </w:rPr>
              <w:t>[***]</w:t>
            </w:r>
          </w:p>
        </w:tc>
        <w:tc>
          <w:tcPr>
            <w:tcW w:w="3460" w:type="dxa"/>
            <w:vAlign w:val="bottom"/>
            <w:gridSpan w:val="3"/>
          </w:tcPr>
          <w:p>
            <w:pPr>
              <w:jc w:val="center"/>
              <w:ind w:left="7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20" w:type="dxa"/>
            <w:vAlign w:val="bottom"/>
          </w:tcPr>
          <w:p>
            <w:pPr>
              <w:jc w:val="center"/>
              <w:ind w:left="631"/>
              <w:spacing w:after="0"/>
              <w:rPr>
                <w:sz w:val="20"/>
                <w:szCs w:val="20"/>
                <w:color w:val="auto"/>
              </w:rPr>
            </w:pPr>
            <w:r>
              <w:rPr>
                <w:rFonts w:ascii="Arial" w:cs="Arial" w:eastAsia="Arial" w:hAnsi="Arial"/>
                <w:sz w:val="18"/>
                <w:szCs w:val="18"/>
                <w:color w:val="auto"/>
              </w:rPr>
              <w:t>[***]</w:t>
            </w:r>
          </w:p>
        </w:tc>
        <w:tc>
          <w:tcPr>
            <w:tcW w:w="3460" w:type="dxa"/>
            <w:vAlign w:val="bottom"/>
            <w:gridSpan w:val="3"/>
          </w:tcPr>
          <w:p>
            <w:pPr>
              <w:jc w:val="center"/>
              <w:ind w:left="7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20" w:type="dxa"/>
            <w:vAlign w:val="bottom"/>
          </w:tcPr>
          <w:p>
            <w:pPr>
              <w:jc w:val="center"/>
              <w:ind w:left="631"/>
              <w:spacing w:after="0"/>
              <w:rPr>
                <w:sz w:val="20"/>
                <w:szCs w:val="20"/>
                <w:color w:val="auto"/>
              </w:rPr>
            </w:pPr>
            <w:r>
              <w:rPr>
                <w:rFonts w:ascii="Arial" w:cs="Arial" w:eastAsia="Arial" w:hAnsi="Arial"/>
                <w:sz w:val="18"/>
                <w:szCs w:val="18"/>
                <w:color w:val="auto"/>
              </w:rPr>
              <w:t>[***]</w:t>
            </w:r>
          </w:p>
        </w:tc>
        <w:tc>
          <w:tcPr>
            <w:tcW w:w="3460" w:type="dxa"/>
            <w:vAlign w:val="bottom"/>
            <w:gridSpan w:val="3"/>
          </w:tcPr>
          <w:p>
            <w:pPr>
              <w:jc w:val="center"/>
              <w:ind w:left="7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20" w:type="dxa"/>
            <w:vAlign w:val="bottom"/>
          </w:tcPr>
          <w:p>
            <w:pPr>
              <w:jc w:val="center"/>
              <w:ind w:left="631"/>
              <w:spacing w:after="0"/>
              <w:rPr>
                <w:sz w:val="20"/>
                <w:szCs w:val="20"/>
                <w:color w:val="auto"/>
              </w:rPr>
            </w:pPr>
            <w:r>
              <w:rPr>
                <w:rFonts w:ascii="Arial" w:cs="Arial" w:eastAsia="Arial" w:hAnsi="Arial"/>
                <w:sz w:val="18"/>
                <w:szCs w:val="18"/>
                <w:color w:val="auto"/>
              </w:rPr>
              <w:t>[***]</w:t>
            </w:r>
          </w:p>
        </w:tc>
        <w:tc>
          <w:tcPr>
            <w:tcW w:w="3460" w:type="dxa"/>
            <w:vAlign w:val="bottom"/>
            <w:gridSpan w:val="3"/>
          </w:tcPr>
          <w:p>
            <w:pPr>
              <w:jc w:val="center"/>
              <w:ind w:left="7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20" w:type="dxa"/>
            <w:vAlign w:val="bottom"/>
          </w:tcPr>
          <w:p>
            <w:pPr>
              <w:jc w:val="center"/>
              <w:ind w:left="631"/>
              <w:spacing w:after="0"/>
              <w:rPr>
                <w:sz w:val="20"/>
                <w:szCs w:val="20"/>
                <w:color w:val="auto"/>
              </w:rPr>
            </w:pPr>
            <w:r>
              <w:rPr>
                <w:rFonts w:ascii="Arial" w:cs="Arial" w:eastAsia="Arial" w:hAnsi="Arial"/>
                <w:sz w:val="18"/>
                <w:szCs w:val="18"/>
                <w:color w:val="auto"/>
              </w:rPr>
              <w:t>[***]</w:t>
            </w:r>
          </w:p>
        </w:tc>
        <w:tc>
          <w:tcPr>
            <w:tcW w:w="3460" w:type="dxa"/>
            <w:vAlign w:val="bottom"/>
            <w:gridSpan w:val="3"/>
          </w:tcPr>
          <w:p>
            <w:pPr>
              <w:jc w:val="center"/>
              <w:ind w:left="7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20" w:type="dxa"/>
            <w:vAlign w:val="bottom"/>
          </w:tcPr>
          <w:p>
            <w:pPr>
              <w:jc w:val="center"/>
              <w:ind w:left="631"/>
              <w:spacing w:after="0"/>
              <w:rPr>
                <w:sz w:val="20"/>
                <w:szCs w:val="20"/>
                <w:color w:val="auto"/>
              </w:rPr>
            </w:pPr>
            <w:r>
              <w:rPr>
                <w:rFonts w:ascii="Arial" w:cs="Arial" w:eastAsia="Arial" w:hAnsi="Arial"/>
                <w:sz w:val="18"/>
                <w:szCs w:val="18"/>
                <w:color w:val="auto"/>
              </w:rPr>
              <w:t>[***]</w:t>
            </w:r>
          </w:p>
        </w:tc>
        <w:tc>
          <w:tcPr>
            <w:tcW w:w="3460" w:type="dxa"/>
            <w:vAlign w:val="bottom"/>
            <w:gridSpan w:val="3"/>
          </w:tcPr>
          <w:p>
            <w:pPr>
              <w:jc w:val="center"/>
              <w:ind w:left="7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20" w:type="dxa"/>
            <w:vAlign w:val="bottom"/>
          </w:tcPr>
          <w:p>
            <w:pPr>
              <w:jc w:val="center"/>
              <w:ind w:left="631"/>
              <w:spacing w:after="0"/>
              <w:rPr>
                <w:sz w:val="20"/>
                <w:szCs w:val="20"/>
                <w:color w:val="auto"/>
              </w:rPr>
            </w:pPr>
            <w:r>
              <w:rPr>
                <w:rFonts w:ascii="Arial" w:cs="Arial" w:eastAsia="Arial" w:hAnsi="Arial"/>
                <w:sz w:val="18"/>
                <w:szCs w:val="18"/>
                <w:color w:val="auto"/>
              </w:rPr>
              <w:t>[***]</w:t>
            </w:r>
          </w:p>
        </w:tc>
        <w:tc>
          <w:tcPr>
            <w:tcW w:w="3460" w:type="dxa"/>
            <w:vAlign w:val="bottom"/>
            <w:gridSpan w:val="3"/>
          </w:tcPr>
          <w:p>
            <w:pPr>
              <w:jc w:val="center"/>
              <w:ind w:left="7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75" w:name="page376"/>
    <w:bookmarkEnd w:id="375"/>
    <w:p>
      <w:pP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u w:val="single" w:color="auto"/>
          <w:color w:val="auto"/>
        </w:rPr>
        <w:t>Exhibit 1.7</w:t>
      </w:r>
    </w:p>
    <w:p>
      <w:pPr>
        <w:spacing w:after="0" w:line="117"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120"/>
          </w:cols>
          <w:pgMar w:left="440" w:top="270" w:right="1339" w:bottom="1440" w:gutter="0" w:footer="0" w:header="0"/>
        </w:sectPr>
      </w:pPr>
    </w:p>
    <w:bookmarkStart w:id="376" w:name="page377"/>
    <w:bookmarkEnd w:id="376"/>
    <w:p>
      <w:pP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u w:val="single" w:color="auto"/>
          <w:color w:val="auto"/>
        </w:rPr>
        <w:t>Exhibit 1.40</w:t>
      </w:r>
    </w:p>
    <w:p>
      <w:pPr>
        <w:spacing w:after="0" w:line="117"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u w:val="single" w:color="auto"/>
          <w:color w:val="auto"/>
        </w:rPr>
        <w:t>NORTHWESTERN LICENSE</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120"/>
          </w:cols>
          <w:pgMar w:left="440" w:top="270" w:right="1339" w:bottom="1440" w:gutter="0" w:footer="0" w:header="0"/>
        </w:sectPr>
      </w:pPr>
    </w:p>
    <w:bookmarkStart w:id="377" w:name="page378"/>
    <w:bookmarkEnd w:id="377"/>
    <w:p>
      <w:pP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u w:val="single" w:color="auto"/>
          <w:color w:val="auto"/>
        </w:rPr>
        <w:t>Exhibit 1.57</w:t>
      </w:r>
    </w:p>
    <w:p>
      <w:pPr>
        <w:spacing w:after="0" w:line="117"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u w:val="single" w:color="auto"/>
          <w:color w:val="auto"/>
        </w:rPr>
        <w:t>USC LICENSE</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120"/>
          </w:cols>
          <w:pgMar w:left="440" w:top="270" w:right="1339" w:bottom="1440" w:gutter="0" w:footer="0" w:header="0"/>
        </w:sectPr>
      </w:pPr>
    </w:p>
    <w:bookmarkStart w:id="378" w:name="page379"/>
    <w:bookmarkEnd w:id="378"/>
    <w:p>
      <w:pPr>
        <w:ind w:left="4"/>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jc w:val="center"/>
        <w:ind w:right="-883"/>
        <w:spacing w:after="0"/>
        <w:rPr>
          <w:sz w:val="20"/>
          <w:szCs w:val="20"/>
          <w:color w:val="auto"/>
        </w:rPr>
      </w:pPr>
      <w:r>
        <w:rPr>
          <w:rFonts w:ascii="Arial" w:cs="Arial" w:eastAsia="Arial" w:hAnsi="Arial"/>
          <w:sz w:val="18"/>
          <w:szCs w:val="18"/>
          <w:b w:val="1"/>
          <w:bCs w:val="1"/>
          <w:u w:val="single" w:color="auto"/>
          <w:color w:val="auto"/>
        </w:rPr>
        <w:t>EXHIBIT 3.2</w:t>
      </w:r>
    </w:p>
    <w:p>
      <w:pPr>
        <w:spacing w:after="0" w:line="225" w:lineRule="exact"/>
        <w:rPr>
          <w:sz w:val="20"/>
          <w:szCs w:val="20"/>
          <w:color w:val="auto"/>
        </w:rPr>
      </w:pPr>
    </w:p>
    <w:p>
      <w:pPr>
        <w:jc w:val="center"/>
        <w:ind w:right="-883"/>
        <w:spacing w:after="0"/>
        <w:rPr>
          <w:sz w:val="20"/>
          <w:szCs w:val="20"/>
          <w:color w:val="auto"/>
        </w:rPr>
      </w:pPr>
      <w:r>
        <w:rPr>
          <w:rFonts w:ascii="Arial" w:cs="Arial" w:eastAsia="Arial" w:hAnsi="Arial"/>
          <w:sz w:val="18"/>
          <w:szCs w:val="18"/>
          <w:b w:val="1"/>
          <w:bCs w:val="1"/>
          <w:u w:val="single" w:color="auto"/>
          <w:color w:val="auto"/>
        </w:rPr>
        <w:t>RESEARCH PLAN OUTLINE</w:t>
      </w:r>
    </w:p>
    <w:p>
      <w:pPr>
        <w:spacing w:after="0" w:line="225" w:lineRule="exact"/>
        <w:rPr>
          <w:sz w:val="20"/>
          <w:szCs w:val="20"/>
          <w:color w:val="auto"/>
        </w:rPr>
      </w:pPr>
    </w:p>
    <w:p>
      <w:pPr>
        <w:ind w:left="5304"/>
        <w:spacing w:after="0"/>
        <w:rPr>
          <w:sz w:val="20"/>
          <w:szCs w:val="20"/>
          <w:color w:val="auto"/>
        </w:rPr>
      </w:pP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424" w:hanging="424"/>
        <w:spacing w:after="0"/>
        <w:tabs>
          <w:tab w:leader="none" w:pos="42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24" w:hanging="424"/>
        <w:spacing w:after="0"/>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t>
      </w:r>
    </w:p>
    <w:p>
      <w:pPr>
        <w:spacing w:after="0" w:line="103" w:lineRule="exact"/>
        <w:rPr>
          <w:sz w:val="20"/>
          <w:szCs w:val="20"/>
          <w:color w:val="auto"/>
        </w:rPr>
      </w:pPr>
    </w:p>
    <w:p>
      <w:pPr>
        <w:ind w:left="5304"/>
        <w:spacing w:after="0"/>
        <w:rPr>
          <w:sz w:val="20"/>
          <w:szCs w:val="20"/>
          <w:color w:val="auto"/>
        </w:rPr>
      </w:pPr>
      <w:r>
        <w:rPr>
          <w:rFonts w:ascii="Arial" w:cs="Arial" w:eastAsia="Arial" w:hAnsi="Arial"/>
          <w:sz w:val="18"/>
          <w:szCs w:val="18"/>
          <w:u w:val="single" w:color="auto"/>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24" w:hanging="424"/>
        <w:spacing w:after="0"/>
        <w:tabs>
          <w:tab w:leader="none" w:pos="42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24" w:hanging="424"/>
        <w:spacing w:after="0"/>
        <w:tabs>
          <w:tab w:leader="none" w:pos="42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t>
      </w:r>
    </w:p>
    <w:p>
      <w:pPr>
        <w:spacing w:after="0" w:line="143"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124"/>
          </w:cols>
          <w:pgMar w:left="436" w:top="270" w:right="1339" w:bottom="1440" w:gutter="0" w:footer="0" w:header="0"/>
        </w:sectPr>
      </w:pPr>
    </w:p>
    <w:bookmarkStart w:id="379" w:name="page380"/>
    <w:bookmarkEnd w:id="379"/>
    <w:p>
      <w:pP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u w:val="single" w:color="auto"/>
          <w:color w:val="auto"/>
        </w:rPr>
        <w:t>EXHIBIT 3.3</w:t>
      </w:r>
    </w:p>
    <w:p>
      <w:pPr>
        <w:spacing w:after="0" w:line="117"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u w:val="single" w:color="auto"/>
          <w:color w:val="auto"/>
        </w:rPr>
        <w:t>MERCK RESEARCH DATA PACKAGE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120"/>
          </w:cols>
          <w:pgMar w:left="440" w:top="270" w:right="1339" w:bottom="1440" w:gutter="0" w:footer="0" w:header="0"/>
        </w:sectPr>
      </w:pPr>
    </w:p>
    <w:bookmarkStart w:id="380" w:name="page381"/>
    <w:bookmarkEnd w:id="380"/>
    <w:p>
      <w:pPr>
        <w:ind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10.3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PRESS RELEASE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Acumen and Merck enter into Alzheimer’s Collaboration</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Acumen Pharmaceuticals announced today it has entered into a research collaboration and license agreement with Merck &amp; Co., Inc. (NYSE: MRK) to research and develop disease-modifying therapeutic drugs for Alzheimer’s disease and other memory related disorders. Merck has acquired the worldwide exclusive rights to Acumen’s ADDL technology for monoclonal antibodies and vaccines.</w:t>
      </w:r>
    </w:p>
    <w:p>
      <w:pPr>
        <w:spacing w:after="0" w:line="76"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Under the terms of the agreement, Acumen will receive an upfront payment and annual research funding, and will be eligible to receive</w:t>
      </w:r>
    </w:p>
    <w:p>
      <w:pPr>
        <w:spacing w:after="0" w:line="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$48 million in research, development and approval milestones for the first antibody product that is commercialized. Acumen will also be eligible to receive equivalent milestone payments for the research, development and approval of vaccine products. Merck will fund research and development and will have exclusive responsibility for commercializing collaboration products. Merck will pay to Acumen royalties on the sale of products from the collaboration and milestones payments for the attainment of certain sales levels.</w:t>
      </w:r>
    </w:p>
    <w:p>
      <w:pPr>
        <w:spacing w:after="0" w:line="85"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ADDLs (amyloid-derived diffusible ligands) are soluble oligomeric assemblies of amyloid beta 1-42 protein. They are increasingly implicated as the molecular structures that cause Alzheimer’s disease and trigger early memory-related disorders. ADDLs are a validated target, and antibodies targeting ADDLs have prevented and even reversed memory deficits in animal models. Acumen’s founders at Northwestern University and the University of Southern California discovered ADDLs, and they have worked for the past seven years to elucidate the ADDL mechanism and the direct involvement of ADDLs in Alzheimer’s disease.</w:t>
      </w:r>
    </w:p>
    <w:p>
      <w:pPr>
        <w:spacing w:after="0" w:line="8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is a significant day in the battle against Alzheimer’s,” said David Summa, President &amp; CEO of Acumen. “It marks the shift from research on ADDLs and how they operate in Alzheimer’s disease, to the development of effective therapeutic and preventative drugs. This collaboration will target the development and commercialization of drugs that stop and prevent Alzheimer’s disease, and even reverse lost memory function, extending far beyond today’s drugs that only provide modest symptomatic relief,” he added.</w:t>
      </w:r>
    </w:p>
    <w:p>
      <w:pPr>
        <w:spacing w:after="0" w:line="79"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“Acumen is extraordinarily pleased to partner with the scientific team at Merck. They are the hallmark of scientific excellence in pharmaceutical R &amp; D, and we have come to know Merck as a highly professional organization. They respect their partners and they know how to create a win for patients, a win for their shareholders and a win for their partners,” said Dr. Grant Krafft, Chairman and Chief Science Officer of Acumen, and company co-founder.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0" w:right="459" w:bottom="1440" w:gutter="0" w:footer="0" w:header="0"/>
        </w:sectPr>
      </w:pPr>
    </w:p>
    <w:bookmarkStart w:id="381" w:name="page382"/>
    <w:bookmarkEnd w:id="381"/>
    <w:p>
      <w:pPr>
        <w:ind w:right="8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CONFIDENTIAL INFORMATION CONTAINED IN THIS DOCUMENT, MARKED BY [***], HAS BEEN OMITTED BECAUSE IT IS BOTH (I) NOT MATERIAL AND (II) IS THE TYPE THAT THE REGISTRANT TREATS AS PRIVATE OR CONFIDENTIAL.</w:t>
      </w:r>
    </w:p>
    <w:p>
      <w:pPr>
        <w:spacing w:after="0" w:line="11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“Merck recognizes Acumen’s leadership in the field of ADDL research, and we are pleased to enter into this collaboration to discover and develop breakthrough medicines for what is a significant unmet medical need, said Mervyn Turner, Ph.D., Senior Vice President Worldwide Licensing and External Research for Merck.”</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About Acumen</w:t>
      </w:r>
    </w:p>
    <w:p>
      <w:pPr>
        <w:spacing w:after="0" w:line="117" w:lineRule="exact"/>
        <w:rPr>
          <w:sz w:val="20"/>
          <w:szCs w:val="20"/>
          <w:color w:val="auto"/>
        </w:rPr>
      </w:pPr>
    </w:p>
    <w:p>
      <w:pPr>
        <w:ind w:right="80" w:firstLine="440"/>
        <w:spacing w:after="0" w:line="303" w:lineRule="auto"/>
        <w:rPr>
          <w:sz w:val="20"/>
          <w:szCs w:val="20"/>
          <w:color w:val="auto"/>
        </w:rPr>
      </w:pPr>
      <w:r>
        <w:rPr>
          <w:rFonts w:ascii="Arial" w:cs="Arial" w:eastAsia="Arial" w:hAnsi="Arial"/>
          <w:sz w:val="16"/>
          <w:szCs w:val="16"/>
          <w:b w:val="1"/>
          <w:bCs w:val="1"/>
          <w:color w:val="auto"/>
        </w:rPr>
        <w:t xml:space="preserve">Acumen Pharmaceuticals Inc. www.acumenpharm.com </w:t>
      </w:r>
      <w:r>
        <w:rPr>
          <w:rFonts w:ascii="Arial" w:cs="Arial" w:eastAsia="Arial" w:hAnsi="Arial"/>
          <w:sz w:val="16"/>
          <w:szCs w:val="16"/>
          <w:color w:val="auto"/>
        </w:rPr>
        <w:t>is a privately held, pre-clinical biotech company with operations in San Francisco and</w:t>
      </w:r>
      <w:r>
        <w:rPr>
          <w:rFonts w:ascii="Arial" w:cs="Arial" w:eastAsia="Arial" w:hAnsi="Arial"/>
          <w:sz w:val="16"/>
          <w:szCs w:val="16"/>
          <w:b w:val="1"/>
          <w:bCs w:val="1"/>
          <w:color w:val="auto"/>
        </w:rPr>
        <w:t xml:space="preserve"> </w:t>
      </w:r>
      <w:r>
        <w:rPr>
          <w:rFonts w:ascii="Arial" w:cs="Arial" w:eastAsia="Arial" w:hAnsi="Arial"/>
          <w:sz w:val="16"/>
          <w:szCs w:val="16"/>
          <w:color w:val="auto"/>
        </w:rPr>
        <w:t>Chicago. The company is focused on developing the first effective therapeutics and diagnostics for Alzheimer’s disease and other memory-related disorders. Founded in 1996, Acumen owns or has licensed the critical patents underlying the ADDL mechanism now widely believed to cause Alzheimer’s disease. In addition to an ELISA-based diagnostic, Acumen has several therapeutic approaches to stop ADDL-related diseases.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Acumen Contact:</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David W. Summa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 415-281-1392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info@acumenpharm.com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0" w:right="459" w:bottom="1440" w:gutter="0" w:footer="0" w:header="0"/>
        </w:sectPr>
      </w:pPr>
    </w:p>
    <w:bookmarkStart w:id="382" w:name="page383"/>
    <w:bookmarkEnd w:id="382"/>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ACUMEN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STOCK PERFORMANCE PLAN</w:t>
      </w:r>
    </w:p>
    <w:p>
      <w:pPr>
        <w:spacing w:after="0" w:line="207"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Section 1. Purposes of the Plan. </w:t>
      </w:r>
      <w:r>
        <w:rPr>
          <w:rFonts w:ascii="Arial" w:cs="Arial" w:eastAsia="Arial" w:hAnsi="Arial"/>
          <w:sz w:val="16"/>
          <w:szCs w:val="16"/>
          <w:color w:val="auto"/>
        </w:rPr>
        <w:t>The purposes of this Plan are to promote the interests of the Company and its stockholders by using equity interests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to attract, retain and motive its management and other persons and to encourage and reward their contributions to the performance of the Company. Certain capitalized terms that are not otherwise defined herein have the meaning set forth in the Company’s Amended and Restated Certificate of Incorporation which was filed with the Secretary of State of Delaware on or about April 11, 2013 (the “Restated Charter”).</w:t>
      </w:r>
    </w:p>
    <w:p>
      <w:pPr>
        <w:spacing w:after="0" w:line="151"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Section 2. Definitions. </w:t>
      </w:r>
      <w:r>
        <w:rPr>
          <w:rFonts w:ascii="Arial" w:cs="Arial" w:eastAsia="Arial" w:hAnsi="Arial"/>
          <w:sz w:val="18"/>
          <w:szCs w:val="18"/>
          <w:color w:val="auto"/>
        </w:rPr>
        <w:t>The following capitalized terms shall have the following respective meanings when used in this Plan (subject to Section 1</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66" w:lineRule="exact"/>
        <w:rPr>
          <w:sz w:val="20"/>
          <w:szCs w:val="20"/>
          <w:color w:val="auto"/>
        </w:rPr>
      </w:pPr>
    </w:p>
    <w:p>
      <w:pPr>
        <w:ind w:left="700" w:hanging="264"/>
        <w:spacing w:after="0"/>
        <w:tabs>
          <w:tab w:leader="none" w:pos="700"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means the Board or any of its Committees as shall be administering the Plan, in accordance with Section 4 of the Plan.</w:t>
      </w:r>
    </w:p>
    <w:p>
      <w:pPr>
        <w:spacing w:after="0" w:line="236" w:lineRule="exact"/>
        <w:rPr>
          <w:rFonts w:ascii="Arial" w:cs="Arial" w:eastAsia="Arial" w:hAnsi="Arial"/>
          <w:sz w:val="17"/>
          <w:szCs w:val="17"/>
          <w:b w:val="1"/>
          <w:bCs w:val="1"/>
          <w:color w:val="auto"/>
        </w:rPr>
      </w:pPr>
    </w:p>
    <w:p>
      <w:pPr>
        <w:ind w:left="700" w:hanging="264"/>
        <w:spacing w:after="0"/>
        <w:tabs>
          <w:tab w:leader="none" w:pos="700"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the Company or any Subsidiary of the Company.</w:t>
      </w:r>
    </w:p>
    <w:p>
      <w:pPr>
        <w:spacing w:after="0" w:line="225" w:lineRule="exact"/>
        <w:rPr>
          <w:rFonts w:ascii="Arial" w:cs="Arial" w:eastAsia="Arial" w:hAnsi="Arial"/>
          <w:sz w:val="18"/>
          <w:szCs w:val="18"/>
          <w:b w:val="1"/>
          <w:bCs w:val="1"/>
          <w:color w:val="auto"/>
        </w:rPr>
      </w:pPr>
    </w:p>
    <w:p>
      <w:pPr>
        <w:ind w:right="120" w:firstLine="436"/>
        <w:spacing w:after="0" w:line="311" w:lineRule="auto"/>
        <w:tabs>
          <w:tab w:leader="none" w:pos="685" w:val="left"/>
        </w:tabs>
        <w:numPr>
          <w:ilvl w:val="0"/>
          <w:numId w:val="2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Laws</w:t>
      </w:r>
      <w:r>
        <w:rPr>
          <w:rFonts w:ascii="Arial" w:cs="Arial" w:eastAsia="Arial" w:hAnsi="Arial"/>
          <w:sz w:val="16"/>
          <w:szCs w:val="16"/>
          <w:color w:val="auto"/>
        </w:rPr>
        <w:t>” means the legal requirements relating to the administration of plans providing one or more of the types of Awards described in this Plan and the issuance of Shares thereunder pursuant to U.S. state corporate laws, U.S. federal and state securities laws, the Code and the applicable laws of any foreign country or jurisdiction where Options, Stock Purchase Rights or other Awards are, or will be, granted under the Plan.</w:t>
      </w:r>
    </w:p>
    <w:p>
      <w:pPr>
        <w:spacing w:after="0" w:line="148" w:lineRule="exact"/>
        <w:rPr>
          <w:rFonts w:ascii="Arial" w:cs="Arial" w:eastAsia="Arial" w:hAnsi="Arial"/>
          <w:sz w:val="16"/>
          <w:szCs w:val="16"/>
          <w:b w:val="1"/>
          <w:bCs w:val="1"/>
          <w:color w:val="auto"/>
        </w:rPr>
      </w:pPr>
    </w:p>
    <w:p>
      <w:pPr>
        <w:ind w:right="60" w:firstLine="436"/>
        <w:spacing w:after="0" w:line="259" w:lineRule="auto"/>
        <w:tabs>
          <w:tab w:leader="none" w:pos="705"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includes, without limitation, Incentive Stock Options, Non-statutory Stock Options, Stock Purchase Rights, stock appreciation rights, performance share or unit awards, dividend or equivalent rights, stock awards, restricted share or unit awards, or other awards that are valued in whole or in part by reference to, or are otherwise based on, the Common Stock (“other Common Stock-based Awards), all on a standalone, combination or tandem basis, as described in or granted under the Plan.</w:t>
      </w:r>
    </w:p>
    <w:p>
      <w:pPr>
        <w:spacing w:after="0" w:line="186" w:lineRule="exact"/>
        <w:rPr>
          <w:rFonts w:ascii="Arial" w:cs="Arial" w:eastAsia="Arial" w:hAnsi="Arial"/>
          <w:sz w:val="18"/>
          <w:szCs w:val="18"/>
          <w:b w:val="1"/>
          <w:bCs w:val="1"/>
          <w:color w:val="auto"/>
        </w:rPr>
      </w:pPr>
    </w:p>
    <w:p>
      <w:pPr>
        <w:ind w:right="140" w:firstLine="436"/>
        <w:spacing w:after="0" w:line="277" w:lineRule="auto"/>
        <w:tabs>
          <w:tab w:leader="none" w:pos="685"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between the Company and a Participant evidencing the terms and conditions of an individual Award grant. The Award Agreement is subject to the terms and conditions of the Plan.</w:t>
      </w:r>
    </w:p>
    <w:p>
      <w:pPr>
        <w:spacing w:after="0" w:line="170" w:lineRule="exact"/>
        <w:rPr>
          <w:rFonts w:ascii="Arial" w:cs="Arial" w:eastAsia="Arial" w:hAnsi="Arial"/>
          <w:sz w:val="18"/>
          <w:szCs w:val="18"/>
          <w:b w:val="1"/>
          <w:bCs w:val="1"/>
          <w:color w:val="auto"/>
        </w:rPr>
      </w:pPr>
    </w:p>
    <w:p>
      <w:pPr>
        <w:ind w:left="660" w:hanging="224"/>
        <w:spacing w:after="0"/>
        <w:tabs>
          <w:tab w:leader="none" w:pos="660"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Awarded Stock</w:t>
      </w:r>
      <w:r>
        <w:rPr>
          <w:rFonts w:ascii="Arial" w:cs="Arial" w:eastAsia="Arial" w:hAnsi="Arial"/>
          <w:sz w:val="18"/>
          <w:szCs w:val="18"/>
          <w:color w:val="auto"/>
        </w:rPr>
        <w:t>” means the Common Stock subject to an Award.</w:t>
      </w:r>
    </w:p>
    <w:p>
      <w:pPr>
        <w:spacing w:after="0" w:line="225" w:lineRule="exact"/>
        <w:rPr>
          <w:rFonts w:ascii="Arial" w:cs="Arial" w:eastAsia="Arial" w:hAnsi="Arial"/>
          <w:sz w:val="18"/>
          <w:szCs w:val="18"/>
          <w:b w:val="1"/>
          <w:bCs w:val="1"/>
          <w:color w:val="auto"/>
        </w:rPr>
      </w:pPr>
    </w:p>
    <w:p>
      <w:pPr>
        <w:ind w:left="700" w:hanging="264"/>
        <w:spacing w:after="0"/>
        <w:tabs>
          <w:tab w:leader="none" w:pos="700"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ind w:right="160" w:firstLine="436"/>
        <w:spacing w:after="0" w:line="301" w:lineRule="auto"/>
        <w:tabs>
          <w:tab w:leader="none" w:pos="705" w:val="left"/>
        </w:tabs>
        <w:numPr>
          <w:ilvl w:val="0"/>
          <w:numId w:val="26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the occurrence at any time of any one or more of the following events or circumstances,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such event or circumstance is susceptible to cure by the Recipient without damage to the Company, such event or circumstance will not constitute Cause unless Recipient has failed to cure such event or circumstance within fifteen (15) days after receipt by Recipient of written notice thereof: (i) Recipient engages in any wrongful conduct or knowingly violates any reasonable rule or regulation of the Board that results in material damage or risk of legal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83" w:name="page384"/>
    <w:bookmarkEnd w:id="383"/>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liability to an Affiliate; (ii) any willful misconduct or gross negligence by Recipient in the responsibilities assigned to Recipient; (iii) any willful and material failure to perform Recipient’s job as required to meet the lawful objectives of an Affiliate or any repeated failure to achieve reasonable performance standards that have been described by the Company in writing and communicated to Recipient in reasonable detail; (iv) Recipient fails to comply with all material applicable laws and regulations in performing Recipient’s duties and responsibilities to the Company; (v) any criminal conduct by Recipient (other than misdemeanors that do not meet the criteria set forth in subsection (vi)); (vi) any actions by Recipient involving moral turpitude or injurious to the business or reputation of an Affiliate; (vii) any legal action by Recipient or Recipient’s representatives or successors against an Affiliate or any person or entity that an Affiliate would be obligated to indemnify or defend in connection with such action; or (viii) Recipient does any of the things described in (1)-(3) below.</w:t>
      </w:r>
    </w:p>
    <w:p>
      <w:pPr>
        <w:spacing w:after="0" w:line="84" w:lineRule="exact"/>
        <w:rPr>
          <w:sz w:val="20"/>
          <w:szCs w:val="20"/>
          <w:color w:val="auto"/>
        </w:rPr>
      </w:pPr>
    </w:p>
    <w:p>
      <w:pPr>
        <w:jc w:val="both"/>
        <w:ind w:left="440" w:firstLine="419"/>
        <w:spacing w:after="0" w:line="259" w:lineRule="auto"/>
        <w:tabs>
          <w:tab w:leader="none" w:pos="1118" w:val="left"/>
        </w:tabs>
        <w:numPr>
          <w:ilvl w:val="1"/>
          <w:numId w:val="264"/>
        </w:numPr>
        <w:rPr>
          <w:rFonts w:ascii="Arial" w:cs="Arial" w:eastAsia="Arial" w:hAnsi="Arial"/>
          <w:sz w:val="18"/>
          <w:szCs w:val="18"/>
          <w:b w:val="1"/>
          <w:bCs w:val="1"/>
          <w:color w:val="auto"/>
        </w:rPr>
      </w:pPr>
      <w:r>
        <w:rPr>
          <w:rFonts w:ascii="Arial" w:cs="Arial" w:eastAsia="Arial" w:hAnsi="Arial"/>
          <w:sz w:val="18"/>
          <w:szCs w:val="18"/>
          <w:color w:val="auto"/>
        </w:rPr>
        <w:t>The Recipient renders services for any organization or engages directly or indirectly in any business that, in the reasonable judgment of the Chief Executive Officer of the Company or other senior officer designated by the Chief Executive Officer, is or becomes competitive with an Affiliate, or which organization or business, or the rendering of services to such organization or business, is or becomes otherwise prejudicial to or in conflict with the business or interests of an Affiliate.</w:t>
      </w:r>
    </w:p>
    <w:p>
      <w:pPr>
        <w:spacing w:after="0" w:line="78" w:lineRule="exact"/>
        <w:rPr>
          <w:rFonts w:ascii="Arial" w:cs="Arial" w:eastAsia="Arial" w:hAnsi="Arial"/>
          <w:sz w:val="18"/>
          <w:szCs w:val="18"/>
          <w:b w:val="1"/>
          <w:bCs w:val="1"/>
          <w:color w:val="auto"/>
        </w:rPr>
      </w:pPr>
    </w:p>
    <w:p>
      <w:pPr>
        <w:jc w:val="both"/>
        <w:ind w:left="440" w:right="40" w:firstLine="419"/>
        <w:spacing w:after="0" w:line="259" w:lineRule="auto"/>
        <w:tabs>
          <w:tab w:leader="none" w:pos="1118" w:val="left"/>
        </w:tabs>
        <w:numPr>
          <w:ilvl w:val="1"/>
          <w:numId w:val="264"/>
        </w:numPr>
        <w:rPr>
          <w:rFonts w:ascii="Arial" w:cs="Arial" w:eastAsia="Arial" w:hAnsi="Arial"/>
          <w:sz w:val="18"/>
          <w:szCs w:val="18"/>
          <w:b w:val="1"/>
          <w:bCs w:val="1"/>
          <w:color w:val="auto"/>
        </w:rPr>
      </w:pPr>
      <w:r>
        <w:rPr>
          <w:rFonts w:ascii="Arial" w:cs="Arial" w:eastAsia="Arial" w:hAnsi="Arial"/>
          <w:sz w:val="18"/>
          <w:szCs w:val="18"/>
          <w:color w:val="auto"/>
        </w:rPr>
        <w:t>The Recipient fails to comply with any confidentiality agreement with the Affiliate which employs Recipient or with the lawful policies of any Affiliate regarding nondisclosure of confidential information, or without prior written authorization from any Affiliate discloses to anyone outside any Affiliate or uses for any purpose or in any context other than in performance of the Recipient’s duties to any Affiliate any confidential or trade secret information of any Affiliate.</w:t>
      </w:r>
    </w:p>
    <w:p>
      <w:pPr>
        <w:spacing w:after="0" w:line="78" w:lineRule="exact"/>
        <w:rPr>
          <w:rFonts w:ascii="Arial" w:cs="Arial" w:eastAsia="Arial" w:hAnsi="Arial"/>
          <w:sz w:val="18"/>
          <w:szCs w:val="18"/>
          <w:b w:val="1"/>
          <w:bCs w:val="1"/>
          <w:color w:val="auto"/>
        </w:rPr>
      </w:pPr>
    </w:p>
    <w:p>
      <w:pPr>
        <w:ind w:left="1120" w:hanging="261"/>
        <w:spacing w:after="0"/>
        <w:tabs>
          <w:tab w:leader="none" w:pos="1120" w:val="left"/>
        </w:tabs>
        <w:numPr>
          <w:ilvl w:val="1"/>
          <w:numId w:val="264"/>
        </w:numPr>
        <w:rPr>
          <w:rFonts w:ascii="Arial" w:cs="Arial" w:eastAsia="Arial" w:hAnsi="Arial"/>
          <w:sz w:val="18"/>
          <w:szCs w:val="18"/>
          <w:b w:val="1"/>
          <w:bCs w:val="1"/>
          <w:color w:val="auto"/>
        </w:rPr>
      </w:pPr>
      <w:r>
        <w:rPr>
          <w:rFonts w:ascii="Arial" w:cs="Arial" w:eastAsia="Arial" w:hAnsi="Arial"/>
          <w:sz w:val="18"/>
          <w:szCs w:val="18"/>
          <w:color w:val="auto"/>
        </w:rPr>
        <w:t>The Recipient breaches in any material respect any agreement with or legal duty to any Affiliate.</w:t>
      </w:r>
    </w:p>
    <w:p>
      <w:pPr>
        <w:spacing w:after="0" w:line="225" w:lineRule="exact"/>
        <w:rPr>
          <w:rFonts w:ascii="Arial" w:cs="Arial" w:eastAsia="Arial" w:hAnsi="Arial"/>
          <w:sz w:val="18"/>
          <w:szCs w:val="18"/>
          <w:b w:val="1"/>
          <w:bCs w:val="1"/>
          <w:color w:val="auto"/>
        </w:rPr>
      </w:pPr>
    </w:p>
    <w:p>
      <w:pPr>
        <w:ind w:left="660" w:hanging="224"/>
        <w:spacing w:after="0"/>
        <w:tabs>
          <w:tab w:leader="none" w:pos="66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or replaced from time to time.</w:t>
      </w:r>
    </w:p>
    <w:p>
      <w:pPr>
        <w:spacing w:after="0" w:line="225" w:lineRule="exact"/>
        <w:rPr>
          <w:rFonts w:ascii="Arial" w:cs="Arial" w:eastAsia="Arial" w:hAnsi="Arial"/>
          <w:sz w:val="18"/>
          <w:szCs w:val="18"/>
          <w:b w:val="1"/>
          <w:bCs w:val="1"/>
          <w:color w:val="auto"/>
        </w:rPr>
      </w:pPr>
    </w:p>
    <w:p>
      <w:pPr>
        <w:ind w:left="660" w:hanging="224"/>
        <w:spacing w:after="0"/>
        <w:tabs>
          <w:tab w:leader="none" w:pos="66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appointed by the Board in accordance with Section 4 of the Plan.</w:t>
      </w:r>
    </w:p>
    <w:p>
      <w:pPr>
        <w:spacing w:after="0" w:line="225" w:lineRule="exact"/>
        <w:rPr>
          <w:rFonts w:ascii="Arial" w:cs="Arial" w:eastAsia="Arial" w:hAnsi="Arial"/>
          <w:sz w:val="18"/>
          <w:szCs w:val="18"/>
          <w:b w:val="1"/>
          <w:bCs w:val="1"/>
          <w:color w:val="auto"/>
        </w:rPr>
      </w:pPr>
    </w:p>
    <w:p>
      <w:pPr>
        <w:ind w:left="700" w:hanging="264"/>
        <w:spacing w:after="0"/>
        <w:tabs>
          <w:tab w:leader="none" w:pos="70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b w:val="1"/>
          <w:bCs w:val="1"/>
          <w:color w:val="auto"/>
        </w:rPr>
      </w:pPr>
    </w:p>
    <w:p>
      <w:pPr>
        <w:ind w:left="660" w:hanging="224"/>
        <w:spacing w:after="0"/>
        <w:tabs>
          <w:tab w:leader="none" w:pos="66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Acumen Pharmaceuticals, Inc., a Delaware corporation.</w:t>
      </w:r>
    </w:p>
    <w:p>
      <w:pPr>
        <w:spacing w:after="0" w:line="225" w:lineRule="exact"/>
        <w:rPr>
          <w:rFonts w:ascii="Arial" w:cs="Arial" w:eastAsia="Arial" w:hAnsi="Arial"/>
          <w:sz w:val="18"/>
          <w:szCs w:val="18"/>
          <w:b w:val="1"/>
          <w:bCs w:val="1"/>
          <w:color w:val="auto"/>
        </w:rPr>
      </w:pPr>
    </w:p>
    <w:p>
      <w:pPr>
        <w:ind w:right="320" w:firstLine="436"/>
        <w:spacing w:after="0" w:line="263" w:lineRule="auto"/>
        <w:tabs>
          <w:tab w:leader="none" w:pos="755"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engaged by the Company or a Parent or Subsidiary to render services and who is compensated for such services. The term “Consultant” shall not include Directors who are paid only a director’s fee by the Company or who are not compensated by the Company for their services as Directors.</w:t>
      </w:r>
    </w:p>
    <w:p>
      <w:pPr>
        <w:spacing w:after="0" w:line="183" w:lineRule="exact"/>
        <w:rPr>
          <w:rFonts w:ascii="Arial" w:cs="Arial" w:eastAsia="Arial" w:hAnsi="Arial"/>
          <w:sz w:val="18"/>
          <w:szCs w:val="18"/>
          <w:b w:val="1"/>
          <w:bCs w:val="1"/>
          <w:color w:val="auto"/>
        </w:rPr>
      </w:pPr>
    </w:p>
    <w:p>
      <w:pPr>
        <w:ind w:left="700" w:hanging="264"/>
        <w:spacing w:after="0"/>
        <w:tabs>
          <w:tab w:leader="none" w:pos="70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84" w:name="page385"/>
    <w:bookmarkEnd w:id="384"/>
    <w:p>
      <w:pPr>
        <w:ind w:left="700" w:hanging="264"/>
        <w:spacing w:after="0"/>
        <w:tabs>
          <w:tab w:leader="none" w:pos="70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permanent and total disability as that term is described in Section 22(e)(3) of the Code.</w:t>
      </w:r>
    </w:p>
    <w:p>
      <w:pPr>
        <w:spacing w:after="0" w:line="225" w:lineRule="exact"/>
        <w:rPr>
          <w:rFonts w:ascii="Arial" w:cs="Arial" w:eastAsia="Arial" w:hAnsi="Arial"/>
          <w:sz w:val="18"/>
          <w:szCs w:val="18"/>
          <w:b w:val="1"/>
          <w:bCs w:val="1"/>
          <w:color w:val="auto"/>
        </w:rPr>
      </w:pPr>
    </w:p>
    <w:p>
      <w:pPr>
        <w:ind w:right="340" w:firstLine="436"/>
        <w:spacing w:after="0" w:line="342" w:lineRule="auto"/>
        <w:tabs>
          <w:tab w:leader="none" w:pos="705" w:val="left"/>
        </w:tabs>
        <w:numPr>
          <w:ilvl w:val="0"/>
          <w:numId w:val="26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person, including Officers and Directors, employed by the Company or any Parent or Subsidiary of the Company. Neither service as a Director nor payment of a director’s fee by the Company, without more, shall constitute “employment” by the Company.</w:t>
      </w:r>
    </w:p>
    <w:p>
      <w:pPr>
        <w:spacing w:after="0" w:line="123" w:lineRule="exact"/>
        <w:rPr>
          <w:rFonts w:ascii="Arial" w:cs="Arial" w:eastAsia="Arial" w:hAnsi="Arial"/>
          <w:sz w:val="16"/>
          <w:szCs w:val="16"/>
          <w:b w:val="1"/>
          <w:bCs w:val="1"/>
          <w:color w:val="auto"/>
        </w:rPr>
      </w:pPr>
    </w:p>
    <w:p>
      <w:pPr>
        <w:ind w:left="700" w:hanging="264"/>
        <w:spacing w:after="0"/>
        <w:tabs>
          <w:tab w:leader="none" w:pos="70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b w:val="1"/>
          <w:bCs w:val="1"/>
          <w:color w:val="auto"/>
        </w:rPr>
      </w:pPr>
    </w:p>
    <w:p>
      <w:pPr>
        <w:ind w:left="680" w:hanging="244"/>
        <w:spacing w:after="0"/>
        <w:tabs>
          <w:tab w:leader="none" w:pos="68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Common Stock determined as follows:</w:t>
      </w:r>
    </w:p>
    <w:p>
      <w:pPr>
        <w:spacing w:after="0" w:line="117" w:lineRule="exact"/>
        <w:rPr>
          <w:rFonts w:ascii="Arial" w:cs="Arial" w:eastAsia="Arial" w:hAnsi="Arial"/>
          <w:sz w:val="18"/>
          <w:szCs w:val="18"/>
          <w:b w:val="1"/>
          <w:bCs w:val="1"/>
          <w:color w:val="auto"/>
        </w:rPr>
      </w:pPr>
    </w:p>
    <w:p>
      <w:pPr>
        <w:ind w:left="440" w:right="40" w:firstLine="419"/>
        <w:spacing w:after="0" w:line="259" w:lineRule="auto"/>
        <w:tabs>
          <w:tab w:leader="none" w:pos="1118" w:val="left"/>
        </w:tabs>
        <w:numPr>
          <w:ilvl w:val="1"/>
          <w:numId w:val="266"/>
        </w:numPr>
        <w:rPr>
          <w:rFonts w:ascii="Arial" w:cs="Arial" w:eastAsia="Arial" w:hAnsi="Arial"/>
          <w:sz w:val="18"/>
          <w:szCs w:val="18"/>
          <w:b w:val="1"/>
          <w:bCs w:val="1"/>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Nasdaq National Market or The Nasdaq SmallCap Market of The Nasdaq Stock Market, its Fair Market Value shall be the mean of the highest and lowest sale prices of the stock on the day of determination, as reported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or such other source as the Administrator deems reliable;</w:t>
      </w:r>
    </w:p>
    <w:p>
      <w:pPr>
        <w:spacing w:after="0" w:line="78" w:lineRule="exact"/>
        <w:rPr>
          <w:rFonts w:ascii="Arial" w:cs="Arial" w:eastAsia="Arial" w:hAnsi="Arial"/>
          <w:sz w:val="18"/>
          <w:szCs w:val="18"/>
          <w:b w:val="1"/>
          <w:bCs w:val="1"/>
          <w:color w:val="auto"/>
        </w:rPr>
      </w:pPr>
    </w:p>
    <w:p>
      <w:pPr>
        <w:ind w:left="440" w:right="60" w:firstLine="419"/>
        <w:spacing w:after="0" w:line="263" w:lineRule="auto"/>
        <w:tabs>
          <w:tab w:leader="none" w:pos="1118" w:val="left"/>
        </w:tabs>
        <w:numPr>
          <w:ilvl w:val="1"/>
          <w:numId w:val="266"/>
        </w:numPr>
        <w:rPr>
          <w:rFonts w:ascii="Arial" w:cs="Arial" w:eastAsia="Arial" w:hAnsi="Arial"/>
          <w:sz w:val="18"/>
          <w:szCs w:val="18"/>
          <w:b w:val="1"/>
          <w:bCs w:val="1"/>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of Common Stock shall be the mean between the high bid and low asked prices for the Common Stock on the day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75" w:lineRule="exact"/>
        <w:rPr>
          <w:rFonts w:ascii="Arial" w:cs="Arial" w:eastAsia="Arial" w:hAnsi="Arial"/>
          <w:sz w:val="18"/>
          <w:szCs w:val="18"/>
          <w:b w:val="1"/>
          <w:bCs w:val="1"/>
          <w:color w:val="auto"/>
        </w:rPr>
      </w:pPr>
    </w:p>
    <w:p>
      <w:pPr>
        <w:ind w:left="440" w:right="760" w:firstLine="419"/>
        <w:spacing w:after="0" w:line="277" w:lineRule="auto"/>
        <w:tabs>
          <w:tab w:leader="none" w:pos="1118" w:val="left"/>
        </w:tabs>
        <w:numPr>
          <w:ilvl w:val="1"/>
          <w:numId w:val="266"/>
        </w:numPr>
        <w:rPr>
          <w:rFonts w:ascii="Arial" w:cs="Arial" w:eastAsia="Arial" w:hAnsi="Arial"/>
          <w:sz w:val="18"/>
          <w:szCs w:val="18"/>
          <w:b w:val="1"/>
          <w:bCs w:val="1"/>
          <w:color w:val="auto"/>
        </w:rPr>
      </w:pPr>
      <w:r>
        <w:rPr>
          <w:rFonts w:ascii="Arial" w:cs="Arial" w:eastAsia="Arial" w:hAnsi="Arial"/>
          <w:sz w:val="18"/>
          <w:szCs w:val="18"/>
          <w:color w:val="auto"/>
        </w:rPr>
        <w:t>In the absence of an established market for the Common Stock, the Fair Market Value shall be determined in good faith by the Administrator.</w:t>
      </w:r>
    </w:p>
    <w:p>
      <w:pPr>
        <w:spacing w:after="0" w:line="170" w:lineRule="exact"/>
        <w:rPr>
          <w:rFonts w:ascii="Arial" w:cs="Arial" w:eastAsia="Arial" w:hAnsi="Arial"/>
          <w:sz w:val="18"/>
          <w:szCs w:val="18"/>
          <w:b w:val="1"/>
          <w:bCs w:val="1"/>
          <w:color w:val="auto"/>
        </w:rPr>
      </w:pPr>
    </w:p>
    <w:p>
      <w:pPr>
        <w:ind w:firstLine="436"/>
        <w:spacing w:after="0" w:line="277" w:lineRule="auto"/>
        <w:tabs>
          <w:tab w:leader="none" w:pos="675"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170" w:lineRule="exact"/>
        <w:rPr>
          <w:rFonts w:ascii="Arial" w:cs="Arial" w:eastAsia="Arial" w:hAnsi="Arial"/>
          <w:sz w:val="18"/>
          <w:szCs w:val="18"/>
          <w:b w:val="1"/>
          <w:bCs w:val="1"/>
          <w:color w:val="auto"/>
        </w:rPr>
      </w:pPr>
    </w:p>
    <w:p>
      <w:pPr>
        <w:ind w:left="660" w:hanging="224"/>
        <w:spacing w:after="0"/>
        <w:tabs>
          <w:tab w:leader="none" w:pos="66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 Option not intended to qualify as an Incentive Stock Option.</w:t>
      </w:r>
    </w:p>
    <w:p>
      <w:pPr>
        <w:spacing w:after="0" w:line="225" w:lineRule="exact"/>
        <w:rPr>
          <w:rFonts w:ascii="Arial" w:cs="Arial" w:eastAsia="Arial" w:hAnsi="Arial"/>
          <w:sz w:val="18"/>
          <w:szCs w:val="18"/>
          <w:b w:val="1"/>
          <w:bCs w:val="1"/>
          <w:color w:val="auto"/>
        </w:rPr>
      </w:pPr>
    </w:p>
    <w:p>
      <w:pPr>
        <w:ind w:right="420" w:firstLine="436"/>
        <w:spacing w:after="0" w:line="277" w:lineRule="auto"/>
        <w:tabs>
          <w:tab w:leader="none" w:pos="705"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Grant</w:t>
      </w:r>
      <w:r>
        <w:rPr>
          <w:rFonts w:ascii="Arial" w:cs="Arial" w:eastAsia="Arial" w:hAnsi="Arial"/>
          <w:sz w:val="18"/>
          <w:szCs w:val="18"/>
          <w:color w:val="auto"/>
        </w:rPr>
        <w:t>” means a written notice evidencing certain terms and conditions of an Award. The Notice of Grant is part of the Award Agreement.</w:t>
      </w:r>
    </w:p>
    <w:p>
      <w:pPr>
        <w:spacing w:after="0" w:line="170" w:lineRule="exact"/>
        <w:rPr>
          <w:rFonts w:ascii="Arial" w:cs="Arial" w:eastAsia="Arial" w:hAnsi="Arial"/>
          <w:sz w:val="18"/>
          <w:szCs w:val="18"/>
          <w:b w:val="1"/>
          <w:bCs w:val="1"/>
          <w:color w:val="auto"/>
        </w:rPr>
      </w:pPr>
    </w:p>
    <w:p>
      <w:pPr>
        <w:ind w:right="400" w:firstLine="436"/>
        <w:spacing w:after="0" w:line="277" w:lineRule="auto"/>
        <w:tabs>
          <w:tab w:leader="none" w:pos="695"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unless otherwise noted herein, means a person who is an officer of the Company, a Parent or Subsidiary within the meaning of Section 16 of the Exchange Act and the rules and regulations promulgated thereunder.</w:t>
      </w:r>
    </w:p>
    <w:p>
      <w:pPr>
        <w:spacing w:after="0" w:line="170" w:lineRule="exact"/>
        <w:rPr>
          <w:rFonts w:ascii="Arial" w:cs="Arial" w:eastAsia="Arial" w:hAnsi="Arial"/>
          <w:sz w:val="18"/>
          <w:szCs w:val="18"/>
          <w:b w:val="1"/>
          <w:bCs w:val="1"/>
          <w:color w:val="auto"/>
        </w:rPr>
      </w:pPr>
    </w:p>
    <w:p>
      <w:pPr>
        <w:ind w:left="740" w:hanging="304"/>
        <w:spacing w:after="0"/>
        <w:tabs>
          <w:tab w:leader="none" w:pos="74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stock option granted pursuant to the Plan.</w:t>
      </w:r>
    </w:p>
    <w:p>
      <w:pPr>
        <w:spacing w:after="0" w:line="225" w:lineRule="exact"/>
        <w:rPr>
          <w:rFonts w:ascii="Arial" w:cs="Arial" w:eastAsia="Arial" w:hAnsi="Arial"/>
          <w:sz w:val="18"/>
          <w:szCs w:val="18"/>
          <w:b w:val="1"/>
          <w:bCs w:val="1"/>
          <w:color w:val="auto"/>
        </w:rPr>
      </w:pPr>
    </w:p>
    <w:p>
      <w:pPr>
        <w:ind w:left="700" w:hanging="264"/>
        <w:spacing w:after="0"/>
        <w:tabs>
          <w:tab w:leader="none" w:pos="700" w:val="left"/>
        </w:tabs>
        <w:numPr>
          <w:ilvl w:val="0"/>
          <w:numId w:val="26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 Exchange Program</w:t>
      </w:r>
      <w:r>
        <w:rPr>
          <w:rFonts w:ascii="Arial" w:cs="Arial" w:eastAsia="Arial" w:hAnsi="Arial"/>
          <w:sz w:val="16"/>
          <w:szCs w:val="16"/>
          <w:color w:val="auto"/>
        </w:rPr>
        <w:t>” means a program whereby outstanding options are surrendered in exchange for options with a lower exercise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price.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385" w:name="page386"/>
    <w:bookmarkEnd w:id="385"/>
    <w:p>
      <w:pPr>
        <w:ind w:left="700" w:hanging="264"/>
        <w:spacing w:after="0"/>
        <w:tabs>
          <w:tab w:leader="none" w:pos="700"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b w:val="1"/>
          <w:bCs w:val="1"/>
          <w:color w:val="auto"/>
        </w:rPr>
      </w:pPr>
    </w:p>
    <w:p>
      <w:pPr>
        <w:ind w:left="680" w:hanging="244"/>
        <w:spacing w:after="0"/>
        <w:tabs>
          <w:tab w:leader="none" w:pos="680"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Employee, Director or a Consultant who holds an outstanding Award.</w:t>
      </w:r>
    </w:p>
    <w:p>
      <w:pPr>
        <w:spacing w:after="0" w:line="225" w:lineRule="exact"/>
        <w:rPr>
          <w:sz w:val="20"/>
          <w:szCs w:val="20"/>
          <w:color w:val="auto"/>
        </w:rPr>
      </w:pPr>
    </w:p>
    <w:p>
      <w:pPr>
        <w:ind w:left="780" w:hanging="344"/>
        <w:spacing w:after="0"/>
        <w:tabs>
          <w:tab w:leader="none" w:pos="780"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Stock Performance Plan as amended from time to time.</w:t>
      </w:r>
    </w:p>
    <w:p>
      <w:pPr>
        <w:spacing w:after="0" w:line="225" w:lineRule="exact"/>
        <w:rPr>
          <w:rFonts w:ascii="Arial" w:cs="Arial" w:eastAsia="Arial" w:hAnsi="Arial"/>
          <w:sz w:val="18"/>
          <w:szCs w:val="18"/>
          <w:b w:val="1"/>
          <w:bCs w:val="1"/>
          <w:color w:val="auto"/>
        </w:rPr>
      </w:pPr>
    </w:p>
    <w:p>
      <w:pPr>
        <w:ind w:left="800" w:hanging="364"/>
        <w:spacing w:after="0"/>
        <w:tabs>
          <w:tab w:leader="none" w:pos="800"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Recipient</w:t>
      </w:r>
      <w:r>
        <w:rPr>
          <w:rFonts w:ascii="Arial" w:cs="Arial" w:eastAsia="Arial" w:hAnsi="Arial"/>
          <w:sz w:val="18"/>
          <w:szCs w:val="18"/>
          <w:color w:val="auto"/>
        </w:rPr>
        <w:t>” means a Service Provider who holds an outstanding Award.</w:t>
      </w:r>
    </w:p>
    <w:p>
      <w:pPr>
        <w:spacing w:after="0" w:line="225" w:lineRule="exact"/>
        <w:rPr>
          <w:rFonts w:ascii="Arial" w:cs="Arial" w:eastAsia="Arial" w:hAnsi="Arial"/>
          <w:sz w:val="18"/>
          <w:szCs w:val="18"/>
          <w:b w:val="1"/>
          <w:bCs w:val="1"/>
          <w:color w:val="auto"/>
        </w:rPr>
      </w:pPr>
    </w:p>
    <w:p>
      <w:pPr>
        <w:ind w:left="760" w:hanging="324"/>
        <w:spacing w:after="0"/>
        <w:tabs>
          <w:tab w:leader="none" w:pos="760" w:val="left"/>
        </w:tabs>
        <w:numPr>
          <w:ilvl w:val="0"/>
          <w:numId w:val="26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means shares of Common Stock acquired pursuant to a grant of Stock Purchase Rights under Section 11 below.</w:t>
      </w:r>
    </w:p>
    <w:p>
      <w:pPr>
        <w:spacing w:after="0" w:line="236" w:lineRule="exact"/>
        <w:rPr>
          <w:rFonts w:ascii="Arial" w:cs="Arial" w:eastAsia="Arial" w:hAnsi="Arial"/>
          <w:sz w:val="17"/>
          <w:szCs w:val="17"/>
          <w:b w:val="1"/>
          <w:bCs w:val="1"/>
          <w:color w:val="auto"/>
        </w:rPr>
      </w:pPr>
    </w:p>
    <w:p>
      <w:pPr>
        <w:ind w:right="100" w:firstLine="436"/>
        <w:spacing w:after="0" w:line="263" w:lineRule="auto"/>
        <w:tabs>
          <w:tab w:leader="none" w:pos="805"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Purchase Agreement</w:t>
      </w:r>
      <w:r>
        <w:rPr>
          <w:rFonts w:ascii="Arial" w:cs="Arial" w:eastAsia="Arial" w:hAnsi="Arial"/>
          <w:sz w:val="18"/>
          <w:szCs w:val="18"/>
          <w:color w:val="auto"/>
        </w:rPr>
        <w:t>” means a written agreement between the Company and the Recipient evidencing the terms and restrictions applying to stock purchased under a Stock Purchase Right. The Restricted Stock Purchase Agreement is subject to the terms and conditions of the Plan and the Notice of Grant</w:t>
      </w:r>
    </w:p>
    <w:p>
      <w:pPr>
        <w:spacing w:after="0" w:line="183" w:lineRule="exact"/>
        <w:rPr>
          <w:rFonts w:ascii="Arial" w:cs="Arial" w:eastAsia="Arial" w:hAnsi="Arial"/>
          <w:sz w:val="18"/>
          <w:szCs w:val="18"/>
          <w:b w:val="1"/>
          <w:bCs w:val="1"/>
          <w:color w:val="auto"/>
        </w:rPr>
      </w:pPr>
    </w:p>
    <w:p>
      <w:pPr>
        <w:ind w:right="400" w:firstLine="436"/>
        <w:spacing w:after="0" w:line="277" w:lineRule="auto"/>
        <w:tabs>
          <w:tab w:leader="none" w:pos="765"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Retirement</w:t>
      </w:r>
      <w:r>
        <w:rPr>
          <w:rFonts w:ascii="Arial" w:cs="Arial" w:eastAsia="Arial" w:hAnsi="Arial"/>
          <w:sz w:val="18"/>
          <w:szCs w:val="18"/>
          <w:color w:val="auto"/>
        </w:rPr>
        <w:t>” means the termination of a Service Provider’s relationship with the Company, other than for Cause, on or after the Service Provider’s attainment of age 65.</w:t>
      </w:r>
    </w:p>
    <w:p>
      <w:pPr>
        <w:spacing w:after="0" w:line="170" w:lineRule="exact"/>
        <w:rPr>
          <w:rFonts w:ascii="Arial" w:cs="Arial" w:eastAsia="Arial" w:hAnsi="Arial"/>
          <w:sz w:val="18"/>
          <w:szCs w:val="18"/>
          <w:b w:val="1"/>
          <w:bCs w:val="1"/>
          <w:color w:val="auto"/>
        </w:rPr>
      </w:pPr>
    </w:p>
    <w:p>
      <w:pPr>
        <w:ind w:right="20" w:firstLine="436"/>
        <w:spacing w:after="0" w:line="293" w:lineRule="auto"/>
        <w:tabs>
          <w:tab w:leader="none" w:pos="725" w:val="left"/>
        </w:tabs>
        <w:numPr>
          <w:ilvl w:val="0"/>
          <w:numId w:val="2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Service Provider</w:t>
      </w:r>
      <w:r>
        <w:rPr>
          <w:rFonts w:ascii="Arial" w:cs="Arial" w:eastAsia="Arial" w:hAnsi="Arial"/>
          <w:sz w:val="16"/>
          <w:szCs w:val="16"/>
          <w:color w:val="auto"/>
        </w:rPr>
        <w:t xml:space="preserve">” means an Employee, Director, Officer or a Consultant. A Service Provider who is an Employee or Consultant shall not cease such status (i) during any leave of absence approved by the Company; </w:t>
      </w:r>
      <w:r>
        <w:rPr>
          <w:rFonts w:ascii="Arial" w:cs="Arial" w:eastAsia="Arial" w:hAnsi="Arial"/>
          <w:sz w:val="16"/>
          <w:szCs w:val="16"/>
          <w:i w:val="1"/>
          <w:iCs w:val="1"/>
          <w:color w:val="auto"/>
        </w:rPr>
        <w:t>provided that</w:t>
      </w:r>
      <w:r>
        <w:rPr>
          <w:rFonts w:ascii="Arial" w:cs="Arial" w:eastAsia="Arial" w:hAnsi="Arial"/>
          <w:sz w:val="16"/>
          <w:szCs w:val="16"/>
          <w:color w:val="auto"/>
        </w:rPr>
        <w:t>, for purposes of Incentive Stock Options, no such leave may exceed ninety days, unless reemployment upon expiration of such leave is guaranteed by statute or contract; or (ii) as a result of transfers between locations of the Company or between the Company, its Parent, any Subsidiary, or any successor. If reemployment upon expiration of a leave of absence approved by the Company is not guaranteed by statute or contract, on the 181,\ day of such leave any Incentive Stock Option held by the Recipient shall cease to be treated as an Incentive Stock Option and shall be treated for tax purposes as a Non-statutory Stock Option.</w:t>
      </w:r>
    </w:p>
    <w:p>
      <w:pPr>
        <w:spacing w:after="0" w:line="164" w:lineRule="exact"/>
        <w:rPr>
          <w:rFonts w:ascii="Arial" w:cs="Arial" w:eastAsia="Arial" w:hAnsi="Arial"/>
          <w:sz w:val="16"/>
          <w:szCs w:val="16"/>
          <w:b w:val="1"/>
          <w:bCs w:val="1"/>
          <w:color w:val="auto"/>
        </w:rPr>
      </w:pPr>
    </w:p>
    <w:p>
      <w:pPr>
        <w:ind w:left="780" w:hanging="344"/>
        <w:spacing w:after="0"/>
        <w:tabs>
          <w:tab w:leader="none" w:pos="780"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means a share of the Common Stock, as adjusted in accordance with Section 15 of the Plan.</w:t>
      </w:r>
    </w:p>
    <w:p>
      <w:pPr>
        <w:spacing w:after="0" w:line="225" w:lineRule="exact"/>
        <w:rPr>
          <w:rFonts w:ascii="Arial" w:cs="Arial" w:eastAsia="Arial" w:hAnsi="Arial"/>
          <w:sz w:val="18"/>
          <w:szCs w:val="18"/>
          <w:b w:val="1"/>
          <w:bCs w:val="1"/>
          <w:color w:val="auto"/>
        </w:rPr>
      </w:pPr>
    </w:p>
    <w:p>
      <w:pPr>
        <w:ind w:left="800" w:hanging="364"/>
        <w:spacing w:after="0"/>
        <w:tabs>
          <w:tab w:leader="none" w:pos="800" w:val="left"/>
        </w:tabs>
        <w:numPr>
          <w:ilvl w:val="0"/>
          <w:numId w:val="2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Purchase Right</w:t>
      </w:r>
      <w:r>
        <w:rPr>
          <w:rFonts w:ascii="Arial" w:cs="Arial" w:eastAsia="Arial" w:hAnsi="Arial"/>
          <w:sz w:val="16"/>
          <w:szCs w:val="16"/>
          <w:color w:val="auto"/>
        </w:rPr>
        <w:t>” means the right to purchase Common Stock pursuant to Section 11 of the Plan, as evidenced by a Notice of Grant.</w:t>
      </w:r>
    </w:p>
    <w:p>
      <w:pPr>
        <w:spacing w:after="0" w:line="248" w:lineRule="exact"/>
        <w:rPr>
          <w:rFonts w:ascii="Arial" w:cs="Arial" w:eastAsia="Arial" w:hAnsi="Arial"/>
          <w:sz w:val="16"/>
          <w:szCs w:val="16"/>
          <w:b w:val="1"/>
          <w:bCs w:val="1"/>
          <w:color w:val="auto"/>
        </w:rPr>
      </w:pPr>
    </w:p>
    <w:p>
      <w:pPr>
        <w:ind w:left="700" w:hanging="264"/>
        <w:spacing w:after="0"/>
        <w:tabs>
          <w:tab w:leader="none" w:pos="700" w:val="left"/>
        </w:tabs>
        <w:numPr>
          <w:ilvl w:val="0"/>
          <w:numId w:val="2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221"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 xml:space="preserve">Section 3. Stock Subject to the Plan. </w:t>
      </w:r>
      <w:r>
        <w:rPr>
          <w:rFonts w:ascii="Arial" w:cs="Arial" w:eastAsia="Arial" w:hAnsi="Arial"/>
          <w:sz w:val="17"/>
          <w:szCs w:val="17"/>
          <w:color w:val="auto"/>
        </w:rPr>
        <w:t>Subject to the provisions of Section 15 of the Plan, the maximum aggregate number of Shares available for grants</w:t>
      </w:r>
      <w:r>
        <w:rPr>
          <w:rFonts w:ascii="Arial" w:cs="Arial" w:eastAsia="Arial" w:hAnsi="Arial"/>
          <w:sz w:val="17"/>
          <w:szCs w:val="17"/>
          <w:b w:val="1"/>
          <w:bCs w:val="1"/>
          <w:color w:val="auto"/>
        </w:rPr>
        <w:t xml:space="preserve"> </w:t>
      </w:r>
      <w:r>
        <w:rPr>
          <w:rFonts w:ascii="Arial" w:cs="Arial" w:eastAsia="Arial" w:hAnsi="Arial"/>
          <w:sz w:val="17"/>
          <w:szCs w:val="17"/>
          <w:color w:val="auto"/>
        </w:rPr>
        <w:t>of Awards under the Plan is 6,227,011 Shares. The Shares may be authorized, but unissued, or reacquired Common Stock.</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386" w:name="page387"/>
    <w:bookmarkEnd w:id="386"/>
    <w:p>
      <w:pPr>
        <w:ind w:left="4" w:right="40" w:hanging="4"/>
        <w:spacing w:after="0" w:line="254" w:lineRule="auto"/>
        <w:tabs>
          <w:tab w:leader="none" w:pos="249" w:val="left"/>
        </w:tabs>
        <w:numPr>
          <w:ilvl w:val="0"/>
          <w:numId w:val="2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 Award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 however, that Shares that have actually been issued under the Plan, whether upon exercise of an Option, Stock Purchase Right or other Award, shall not be returned to the Plan and shall not become available for future distribution under the Plan, except that if Shares of Restricted Stock are repurchased by the Company at their original purchase price, and the original Recipient of such Shares did not receive any benefits of ownership of such Shares, such Shares shall become available for future grant under the Plan. For purposes of the preceding sentence, voting rights shall not be considered a benefit of Share ownership.</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 Administration of the Plan.</w:t>
      </w:r>
    </w:p>
    <w:p>
      <w:pPr>
        <w:spacing w:after="0" w:line="225" w:lineRule="exact"/>
        <w:rPr>
          <w:sz w:val="20"/>
          <w:szCs w:val="20"/>
          <w:color w:val="auto"/>
        </w:rPr>
      </w:pPr>
    </w:p>
    <w:p>
      <w:pPr>
        <w:jc w:val="both"/>
        <w:ind w:left="4" w:right="40" w:firstLine="436"/>
        <w:spacing w:after="0" w:line="261" w:lineRule="auto"/>
        <w:tabs>
          <w:tab w:leader="none" w:pos="699"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The Plan shall be administered by the Board or a Committee appointed by the Board, which Committee shall be constituted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Applicable Laws. Committee members shall serve for such term as the Board may determine, subject to removal by the Board at any time. Any such Committee shall act by a majority of its members, or if there are only two members of such Committee, by unanimous consent of both members.</w:t>
      </w:r>
    </w:p>
    <w:p>
      <w:pPr>
        <w:spacing w:after="0" w:line="179" w:lineRule="exact"/>
        <w:rPr>
          <w:rFonts w:ascii="Arial" w:cs="Arial" w:eastAsia="Arial" w:hAnsi="Arial"/>
          <w:sz w:val="18"/>
          <w:szCs w:val="18"/>
          <w:b w:val="1"/>
          <w:bCs w:val="1"/>
          <w:color w:val="auto"/>
        </w:rPr>
      </w:pPr>
    </w:p>
    <w:p>
      <w:pPr>
        <w:ind w:left="4" w:firstLine="436"/>
        <w:spacing w:after="0" w:line="288" w:lineRule="auto"/>
        <w:tabs>
          <w:tab w:leader="none" w:pos="709" w:val="left"/>
        </w:tabs>
        <w:numPr>
          <w:ilvl w:val="0"/>
          <w:numId w:val="2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Powers of the Administrator. </w:t>
      </w:r>
      <w:r>
        <w:rPr>
          <w:rFonts w:ascii="Arial" w:cs="Arial" w:eastAsia="Arial" w:hAnsi="Arial"/>
          <w:sz w:val="16"/>
          <w:szCs w:val="16"/>
          <w:color w:val="auto"/>
        </w:rPr>
        <w:t>Except for the terms and conditions explicitly set forth in the Plan, the Administrator shall have exclusive</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in its discretion, to determine the Fair Market Value of the Common Stock, in accordance with Section 2(r) of the Plan and to determine all matters relating to Awards under the Plan, including the selection of individuals to be granted an Award, the type of Award, the number of shares of Common Stock subject to an Award, all terms, conditions, restrictions and limitations, if any, of an Award and the terms of any instrument that evidences the Award. The Administrator shall also have authority, in its discretion, to reduce the exercise price of any Option, Stock Purchase Right or other Award to the then current Fair Market Value if the Fair Market Value of the Common Stock covered by such Option, Stock Purchase Right or other Award shall have declined since the date the Option, the Stock Purchase Right or other Award was granted; to modify or amend each Option, Stock Purchase Right or other Award, subject to Section 17(c) of the Plan; and to institute an Option Exchange Program. The Administrator shall also have exclusive authority to interpret the Plan and its rules and regulations, and to make all other determinations deemed necessary or advisable under or for administering the Plan. All actions taken and determinations made by the Administrator pursuant to the Plan shall be conclusive and binding on all parties involved or affected. The Administrator may delegate administrative duties to such of the Company’s officers as it so determines.</w:t>
      </w:r>
    </w:p>
    <w:p>
      <w:pPr>
        <w:spacing w:after="0" w:line="163" w:lineRule="exact"/>
        <w:rPr>
          <w:sz w:val="20"/>
          <w:szCs w:val="20"/>
          <w:color w:val="auto"/>
        </w:rPr>
      </w:pPr>
    </w:p>
    <w:p>
      <w:pPr>
        <w:ind w:left="4" w:right="140"/>
        <w:spacing w:after="0" w:line="277" w:lineRule="auto"/>
        <w:rPr>
          <w:sz w:val="20"/>
          <w:szCs w:val="20"/>
          <w:color w:val="auto"/>
        </w:rPr>
      </w:pPr>
      <w:r>
        <w:rPr>
          <w:rFonts w:ascii="Arial" w:cs="Arial" w:eastAsia="Arial" w:hAnsi="Arial"/>
          <w:sz w:val="17"/>
          <w:szCs w:val="17"/>
          <w:b w:val="1"/>
          <w:bCs w:val="1"/>
          <w:color w:val="auto"/>
        </w:rPr>
        <w:t xml:space="preserve">Section 5. Eligibility for Awards. </w:t>
      </w:r>
      <w:r>
        <w:rPr>
          <w:rFonts w:ascii="Arial" w:cs="Arial" w:eastAsia="Arial" w:hAnsi="Arial"/>
          <w:sz w:val="17"/>
          <w:szCs w:val="17"/>
          <w:color w:val="auto"/>
        </w:rPr>
        <w:t>Non-statutory Stock Options, Stock Purchase Rights, and other Awards may be granted to any Service Provider.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Incentive Stock Options may be granted only to Employees. In addition, an Award may also be granted to a person who is offered employment by the Company, its Parent or a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Award shall be immediately forfeited if such person does not accept such offer of employment within such time period as the Company, Parent or Subsidiary may establish. If otherwise eligible, a Service Provider who has been granted an Option, Stock Purchase Right or other Award may be granted additional Options, Stock Purchase Rights or Awards.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87" w:name="page388"/>
    <w:bookmarkEnd w:id="387"/>
    <w:p>
      <w:pPr>
        <w:ind w:right="2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Limitations on Options. </w:t>
      </w:r>
      <w:r>
        <w:rPr>
          <w:rFonts w:ascii="Arial" w:cs="Arial" w:eastAsia="Arial" w:hAnsi="Arial"/>
          <w:sz w:val="16"/>
          <w:szCs w:val="16"/>
          <w:color w:val="auto"/>
        </w:rPr>
        <w:t>Each Option shall be designated in the Notice of Grant as either an Incentive Stock Option or a Non-statutory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 However, notwithstanding such designation, to the extent that the aggregate Fair Market Value of the Shares with respect to which Incentive Stock Options are exercisable for the first time by the Recipient during any calendar year (under all plans of the Company and any Parent or Subsidiary) exceeds $100,000, such Options shall be treated as Non-statutory Stock Options. For purposes of this Section 6, Incentive Stock Options shall be taken into account in the order in which they were granted. The Fair Market Value of the Shares shall be determined as of the time the Option with respect to such Shares is granted. If an Option is granted hereunder that is part Incentive Stock Option and part Non-statutory Stock Option due to becoming first exercisable in any calendar year in excess of $100,000, the Incentive Stock Option portion of such Option shall become exercisable first in such calendar year, and the Non-statutory Stock Option portion shall commence becoming exercisable once the $100,000 limit has been reached.</w:t>
      </w:r>
    </w:p>
    <w:p>
      <w:pPr>
        <w:spacing w:after="0" w:line="159"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Section 7. Term of Plan. </w:t>
      </w:r>
      <w:r>
        <w:rPr>
          <w:rFonts w:ascii="Arial" w:cs="Arial" w:eastAsia="Arial" w:hAnsi="Arial"/>
          <w:sz w:val="18"/>
          <w:szCs w:val="18"/>
          <w:color w:val="auto"/>
        </w:rPr>
        <w:t>The Plan shall become effective upon the earlier to occur of its adoption by the Board or its approval by the stockholders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as described in Section 21 of the Plan. It shall continue in effect for a term of ten (10) years unless terminated earlier under Section 17 of the Plan.</w:t>
      </w:r>
    </w:p>
    <w:p>
      <w:pPr>
        <w:spacing w:after="0" w:line="17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Section 8. Term of Option. </w:t>
      </w:r>
      <w:r>
        <w:rPr>
          <w:rFonts w:ascii="Arial" w:cs="Arial" w:eastAsia="Arial" w:hAnsi="Arial"/>
          <w:sz w:val="18"/>
          <w:szCs w:val="18"/>
          <w:color w:val="auto"/>
        </w:rPr>
        <w:t>The term of each Option shall be stated in the Notice of Grant but shall be no later than ten (10) years from the date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or such shorter term as may be provided in the Notice of Grant. Moreover, in the case of an Incentive Stock Option granted to a Recipient who, at the time the Incentive Stock Option is granted, owns stock representing more than ten percent (10%) of the voting power of all classes of stock of the Company or any Parent or Subsidiary, the term of the Incentive Stock Option shall be five (5) years from the date of grant or such shorter term as may be provided in the Notice of Grant.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Option Exercise Price and Consideration.</w:t>
      </w:r>
    </w:p>
    <w:p>
      <w:pPr>
        <w:spacing w:after="0" w:line="225" w:lineRule="exact"/>
        <w:rPr>
          <w:sz w:val="20"/>
          <w:szCs w:val="20"/>
          <w:color w:val="auto"/>
        </w:rPr>
      </w:pPr>
    </w:p>
    <w:p>
      <w:pPr>
        <w:ind w:right="780" w:firstLine="436"/>
        <w:spacing w:after="0" w:line="282" w:lineRule="auto"/>
        <w:tabs>
          <w:tab w:leader="none" w:pos="695"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per share exercise price for the Shares to be issued pursuant (0 exercise of an Option shall be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subject to the following:</w:t>
      </w:r>
    </w:p>
    <w:p>
      <w:pPr>
        <w:spacing w:after="0" w:line="57" w:lineRule="exact"/>
        <w:rPr>
          <w:rFonts w:ascii="Arial" w:cs="Arial" w:eastAsia="Arial" w:hAnsi="Arial"/>
          <w:sz w:val="18"/>
          <w:szCs w:val="18"/>
          <w:b w:val="1"/>
          <w:bCs w:val="1"/>
          <w:color w:val="auto"/>
        </w:rPr>
      </w:pPr>
    </w:p>
    <w:p>
      <w:pPr>
        <w:ind w:left="1120" w:hanging="261"/>
        <w:spacing w:after="0"/>
        <w:tabs>
          <w:tab w:leader="none" w:pos="1120" w:val="left"/>
        </w:tabs>
        <w:numPr>
          <w:ilvl w:val="1"/>
          <w:numId w:val="271"/>
        </w:numPr>
        <w:rPr>
          <w:rFonts w:ascii="Arial" w:cs="Arial" w:eastAsia="Arial" w:hAnsi="Arial"/>
          <w:sz w:val="18"/>
          <w:szCs w:val="18"/>
          <w:b w:val="1"/>
          <w:bCs w:val="1"/>
          <w:color w:val="auto"/>
        </w:rPr>
      </w:pPr>
      <w:r>
        <w:rPr>
          <w:rFonts w:ascii="Arial" w:cs="Arial" w:eastAsia="Arial" w:hAnsi="Arial"/>
          <w:sz w:val="18"/>
          <w:szCs w:val="18"/>
          <w:color w:val="auto"/>
        </w:rPr>
        <w:t>In the case of an Incentive Stock Option,</w:t>
      </w:r>
    </w:p>
    <w:p>
      <w:pPr>
        <w:spacing w:after="0" w:line="117" w:lineRule="exact"/>
        <w:rPr>
          <w:rFonts w:ascii="Arial" w:cs="Arial" w:eastAsia="Arial" w:hAnsi="Arial"/>
          <w:sz w:val="18"/>
          <w:szCs w:val="18"/>
          <w:b w:val="1"/>
          <w:bCs w:val="1"/>
          <w:color w:val="auto"/>
        </w:rPr>
      </w:pPr>
    </w:p>
    <w:p>
      <w:pPr>
        <w:jc w:val="both"/>
        <w:ind w:left="760" w:firstLine="417"/>
        <w:spacing w:after="0" w:line="263" w:lineRule="auto"/>
        <w:tabs>
          <w:tab w:leader="none" w:pos="1384" w:val="left"/>
        </w:tabs>
        <w:numPr>
          <w:ilvl w:val="2"/>
          <w:numId w:val="271"/>
        </w:numPr>
        <w:rPr>
          <w:rFonts w:ascii="Arial" w:cs="Arial" w:eastAsia="Arial" w:hAnsi="Arial"/>
          <w:sz w:val="18"/>
          <w:szCs w:val="18"/>
          <w:b w:val="1"/>
          <w:bCs w:val="1"/>
          <w:color w:val="auto"/>
        </w:rPr>
      </w:pPr>
      <w:r>
        <w:rPr>
          <w:rFonts w:ascii="Arial" w:cs="Arial" w:eastAsia="Arial" w:hAnsi="Arial"/>
          <w:sz w:val="18"/>
          <w:szCs w:val="18"/>
          <w:color w:val="auto"/>
        </w:rPr>
        <w:t>granted to an Employee who, at the time the Incentive Stock Option is granted, owns stock representing more than ten percent (10%) of the voting power of all classes of stock of the Company or any Parent or Subsidiary, the per Share exercise price shall be no less than 110% of the Fair Market Value per Share on the date of grant.</w:t>
      </w:r>
    </w:p>
    <w:p>
      <w:pPr>
        <w:spacing w:after="0" w:line="75" w:lineRule="exact"/>
        <w:rPr>
          <w:rFonts w:ascii="Arial" w:cs="Arial" w:eastAsia="Arial" w:hAnsi="Arial"/>
          <w:sz w:val="18"/>
          <w:szCs w:val="18"/>
          <w:b w:val="1"/>
          <w:bCs w:val="1"/>
          <w:color w:val="auto"/>
        </w:rPr>
      </w:pPr>
    </w:p>
    <w:p>
      <w:pPr>
        <w:ind w:left="760" w:firstLine="417"/>
        <w:spacing w:after="0" w:line="277" w:lineRule="auto"/>
        <w:tabs>
          <w:tab w:leader="none" w:pos="1434" w:val="left"/>
        </w:tabs>
        <w:numPr>
          <w:ilvl w:val="2"/>
          <w:numId w:val="271"/>
        </w:numPr>
        <w:rPr>
          <w:rFonts w:ascii="Arial" w:cs="Arial" w:eastAsia="Arial" w:hAnsi="Arial"/>
          <w:sz w:val="18"/>
          <w:szCs w:val="18"/>
          <w:b w:val="1"/>
          <w:bCs w:val="1"/>
          <w:color w:val="auto"/>
        </w:rPr>
      </w:pPr>
      <w:r>
        <w:rPr>
          <w:rFonts w:ascii="Arial" w:cs="Arial" w:eastAsia="Arial" w:hAnsi="Arial"/>
          <w:sz w:val="18"/>
          <w:szCs w:val="18"/>
          <w:color w:val="auto"/>
        </w:rPr>
        <w:t>granted to any Employee other than an Employee described in paragraph (i) immediately above, the per Share exercise price shall be no less than 100% of the Fair Market Value per Share on the date of grant.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88" w:name="page389"/>
    <w:bookmarkEnd w:id="388"/>
    <w:p>
      <w:pPr>
        <w:ind w:left="1124" w:hanging="261"/>
        <w:spacing w:after="0"/>
        <w:tabs>
          <w:tab w:leader="none" w:pos="1124" w:val="left"/>
        </w:tabs>
        <w:numPr>
          <w:ilvl w:val="1"/>
          <w:numId w:val="27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 Non-statutory Stock Option, the per Share exercise price shall be no less than the Fair Market Value per Share on the date</w:t>
      </w:r>
    </w:p>
    <w:p>
      <w:pPr>
        <w:spacing w:after="0" w:line="46" w:lineRule="exact"/>
        <w:rPr>
          <w:rFonts w:ascii="Arial" w:cs="Arial" w:eastAsia="Arial" w:hAnsi="Arial"/>
          <w:sz w:val="16"/>
          <w:szCs w:val="16"/>
          <w:b w:val="1"/>
          <w:bCs w:val="1"/>
          <w:color w:val="auto"/>
        </w:rPr>
      </w:pPr>
    </w:p>
    <w:p>
      <w:pPr>
        <w:ind w:left="444"/>
        <w:spacing w:after="0"/>
        <w:rPr>
          <w:rFonts w:ascii="Arial" w:cs="Arial" w:eastAsia="Arial" w:hAnsi="Arial"/>
          <w:sz w:val="16"/>
          <w:szCs w:val="16"/>
          <w:b w:val="1"/>
          <w:bCs w:val="1"/>
          <w:color w:val="auto"/>
        </w:rPr>
      </w:pPr>
      <w:r>
        <w:rPr>
          <w:rFonts w:ascii="Arial" w:cs="Arial" w:eastAsia="Arial" w:hAnsi="Arial"/>
          <w:sz w:val="18"/>
          <w:szCs w:val="18"/>
          <w:color w:val="auto"/>
        </w:rPr>
        <w:t>of grant.</w:t>
      </w:r>
    </w:p>
    <w:p>
      <w:pPr>
        <w:spacing w:after="0" w:line="206" w:lineRule="exact"/>
        <w:rPr>
          <w:rFonts w:ascii="Arial" w:cs="Arial" w:eastAsia="Arial" w:hAnsi="Arial"/>
          <w:sz w:val="16"/>
          <w:szCs w:val="16"/>
          <w:b w:val="1"/>
          <w:bCs w:val="1"/>
          <w:color w:val="auto"/>
        </w:rPr>
      </w:pPr>
    </w:p>
    <w:p>
      <w:pPr>
        <w:ind w:left="4" w:right="620" w:firstLine="436"/>
        <w:spacing w:after="0" w:line="282" w:lineRule="auto"/>
        <w:tabs>
          <w:tab w:leader="none" w:pos="709"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Waiting Period and Exercise Dates. </w:t>
      </w:r>
      <w:r>
        <w:rPr>
          <w:rFonts w:ascii="Arial" w:cs="Arial" w:eastAsia="Arial" w:hAnsi="Arial"/>
          <w:sz w:val="18"/>
          <w:szCs w:val="18"/>
          <w:color w:val="auto"/>
        </w:rPr>
        <w:t>A Recipient shall become vested in his or her Option on such terms as are set forth in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1" w:lineRule="exact"/>
        <w:rPr>
          <w:rFonts w:ascii="Arial" w:cs="Arial" w:eastAsia="Arial" w:hAnsi="Arial"/>
          <w:sz w:val="18"/>
          <w:szCs w:val="18"/>
          <w:b w:val="1"/>
          <w:bCs w:val="1"/>
          <w:color w:val="auto"/>
        </w:rPr>
      </w:pPr>
    </w:p>
    <w:p>
      <w:pPr>
        <w:jc w:val="both"/>
        <w:ind w:left="4" w:right="440" w:firstLine="436"/>
        <w:spacing w:after="0" w:line="266" w:lineRule="auto"/>
        <w:tabs>
          <w:tab w:leader="none" w:pos="689"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Form of Consideration. </w:t>
      </w:r>
      <w:r>
        <w:rPr>
          <w:rFonts w:ascii="Arial" w:cs="Arial" w:eastAsia="Arial" w:hAnsi="Arial"/>
          <w:sz w:val="18"/>
          <w:szCs w:val="18"/>
          <w:color w:val="auto"/>
        </w:rPr>
        <w:t>The Administrator shall determine the acceptable form of consideration for exercising an Option,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method of payment. In the case of an Incentive Stock Option, the Administrator shall determine the acceptable form of consideration at the time of grant. Such consideration may consist entirely of:</w:t>
      </w:r>
    </w:p>
    <w:p>
      <w:pPr>
        <w:spacing w:after="0" w:line="71" w:lineRule="exact"/>
        <w:rPr>
          <w:rFonts w:ascii="Arial" w:cs="Arial" w:eastAsia="Arial" w:hAnsi="Arial"/>
          <w:sz w:val="18"/>
          <w:szCs w:val="18"/>
          <w:b w:val="1"/>
          <w:bCs w:val="1"/>
          <w:color w:val="auto"/>
        </w:rPr>
      </w:pPr>
    </w:p>
    <w:p>
      <w:pPr>
        <w:ind w:left="1124" w:hanging="261"/>
        <w:spacing w:after="0"/>
        <w:tabs>
          <w:tab w:leader="none" w:pos="1124" w:val="left"/>
        </w:tabs>
        <w:numPr>
          <w:ilvl w:val="1"/>
          <w:numId w:val="273"/>
        </w:numPr>
        <w:rPr>
          <w:rFonts w:ascii="Arial" w:cs="Arial" w:eastAsia="Arial" w:hAnsi="Arial"/>
          <w:sz w:val="18"/>
          <w:szCs w:val="18"/>
          <w:b w:val="1"/>
          <w:bCs w:val="1"/>
          <w:color w:val="auto"/>
        </w:rPr>
      </w:pPr>
      <w:r>
        <w:rPr>
          <w:rFonts w:ascii="Arial" w:cs="Arial" w:eastAsia="Arial" w:hAnsi="Arial"/>
          <w:sz w:val="18"/>
          <w:szCs w:val="18"/>
          <w:color w:val="auto"/>
        </w:rPr>
        <w:t>cash;</w:t>
      </w:r>
    </w:p>
    <w:p>
      <w:pPr>
        <w:spacing w:after="0" w:line="117" w:lineRule="exact"/>
        <w:rPr>
          <w:rFonts w:ascii="Arial" w:cs="Arial" w:eastAsia="Arial" w:hAnsi="Arial"/>
          <w:sz w:val="18"/>
          <w:szCs w:val="18"/>
          <w:b w:val="1"/>
          <w:bCs w:val="1"/>
          <w:color w:val="auto"/>
        </w:rPr>
      </w:pPr>
    </w:p>
    <w:p>
      <w:pPr>
        <w:ind w:left="1124" w:hanging="261"/>
        <w:spacing w:after="0"/>
        <w:tabs>
          <w:tab w:leader="none" w:pos="1124" w:val="left"/>
        </w:tabs>
        <w:numPr>
          <w:ilvl w:val="1"/>
          <w:numId w:val="273"/>
        </w:numPr>
        <w:rPr>
          <w:rFonts w:ascii="Arial" w:cs="Arial" w:eastAsia="Arial" w:hAnsi="Arial"/>
          <w:sz w:val="18"/>
          <w:szCs w:val="18"/>
          <w:b w:val="1"/>
          <w:bCs w:val="1"/>
          <w:color w:val="auto"/>
        </w:rPr>
      </w:pPr>
      <w:r>
        <w:rPr>
          <w:rFonts w:ascii="Arial" w:cs="Arial" w:eastAsia="Arial" w:hAnsi="Arial"/>
          <w:sz w:val="18"/>
          <w:szCs w:val="18"/>
          <w:color w:val="auto"/>
        </w:rPr>
        <w:t>check;</w:t>
      </w:r>
    </w:p>
    <w:p>
      <w:pPr>
        <w:spacing w:after="0" w:line="117" w:lineRule="exact"/>
        <w:rPr>
          <w:rFonts w:ascii="Arial" w:cs="Arial" w:eastAsia="Arial" w:hAnsi="Arial"/>
          <w:sz w:val="18"/>
          <w:szCs w:val="18"/>
          <w:b w:val="1"/>
          <w:bCs w:val="1"/>
          <w:color w:val="auto"/>
        </w:rPr>
      </w:pPr>
    </w:p>
    <w:p>
      <w:pPr>
        <w:ind w:left="444" w:right="220" w:firstLine="419"/>
        <w:spacing w:after="0" w:line="277" w:lineRule="auto"/>
        <w:tabs>
          <w:tab w:leader="none" w:pos="1122" w:val="left"/>
        </w:tabs>
        <w:numPr>
          <w:ilvl w:val="1"/>
          <w:numId w:val="273"/>
        </w:numPr>
        <w:rPr>
          <w:rFonts w:ascii="Arial" w:cs="Arial" w:eastAsia="Arial" w:hAnsi="Arial"/>
          <w:sz w:val="18"/>
          <w:szCs w:val="18"/>
          <w:b w:val="1"/>
          <w:bCs w:val="1"/>
          <w:color w:val="auto"/>
        </w:rPr>
      </w:pPr>
      <w:r>
        <w:rPr>
          <w:rFonts w:ascii="Arial" w:cs="Arial" w:eastAsia="Arial" w:hAnsi="Arial"/>
          <w:sz w:val="18"/>
          <w:szCs w:val="18"/>
          <w:color w:val="auto"/>
        </w:rPr>
        <w:t>other Shares which (A) in the case of Shares acquired upon exercise of an option, have been owned by the Recipient for more than six months on the date of surrender,</w:t>
      </w:r>
    </w:p>
    <w:p>
      <w:pPr>
        <w:spacing w:after="0" w:line="62" w:lineRule="exact"/>
        <w:rPr>
          <w:sz w:val="20"/>
          <w:szCs w:val="20"/>
          <w:color w:val="auto"/>
        </w:rPr>
      </w:pPr>
    </w:p>
    <w:p>
      <w:pPr>
        <w:ind w:left="444" w:right="400"/>
        <w:spacing w:after="0" w:line="277" w:lineRule="auto"/>
        <w:rPr>
          <w:sz w:val="20"/>
          <w:szCs w:val="20"/>
          <w:color w:val="auto"/>
        </w:rPr>
      </w:pPr>
      <w:r>
        <w:rPr>
          <w:rFonts w:ascii="Arial" w:cs="Arial" w:eastAsia="Arial" w:hAnsi="Arial"/>
          <w:sz w:val="18"/>
          <w:szCs w:val="18"/>
          <w:color w:val="auto"/>
        </w:rPr>
        <w:t>and (B) have a Fair Market Value on the date of surrender equal to the aggregate exercise price of the Shares as to which said Option shall be exercised;</w:t>
      </w:r>
    </w:p>
    <w:p>
      <w:pPr>
        <w:spacing w:after="0" w:line="62" w:lineRule="exact"/>
        <w:rPr>
          <w:sz w:val="20"/>
          <w:szCs w:val="20"/>
          <w:color w:val="auto"/>
        </w:rPr>
      </w:pPr>
    </w:p>
    <w:p>
      <w:pPr>
        <w:ind w:left="444" w:firstLine="419"/>
        <w:spacing w:after="0" w:line="342" w:lineRule="auto"/>
        <w:tabs>
          <w:tab w:leader="none" w:pos="1122" w:val="left"/>
        </w:tabs>
        <w:numPr>
          <w:ilvl w:val="2"/>
          <w:numId w:val="274"/>
        </w:numPr>
        <w:rPr>
          <w:rFonts w:ascii="Arial" w:cs="Arial" w:eastAsia="Arial" w:hAnsi="Arial"/>
          <w:sz w:val="16"/>
          <w:szCs w:val="16"/>
          <w:b w:val="1"/>
          <w:bCs w:val="1"/>
          <w:color w:val="auto"/>
        </w:rPr>
      </w:pPr>
      <w:r>
        <w:rPr>
          <w:rFonts w:ascii="Arial" w:cs="Arial" w:eastAsia="Arial" w:hAnsi="Arial"/>
          <w:sz w:val="16"/>
          <w:szCs w:val="16"/>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5" w:lineRule="exact"/>
        <w:rPr>
          <w:rFonts w:ascii="Arial" w:cs="Arial" w:eastAsia="Arial" w:hAnsi="Arial"/>
          <w:sz w:val="16"/>
          <w:szCs w:val="16"/>
          <w:b w:val="1"/>
          <w:bCs w:val="1"/>
          <w:color w:val="auto"/>
        </w:rPr>
      </w:pPr>
    </w:p>
    <w:p>
      <w:pPr>
        <w:ind w:left="1124" w:hanging="261"/>
        <w:spacing w:after="0"/>
        <w:tabs>
          <w:tab w:leader="none" w:pos="1124" w:val="left"/>
        </w:tabs>
        <w:numPr>
          <w:ilvl w:val="2"/>
          <w:numId w:val="274"/>
        </w:numPr>
        <w:rPr>
          <w:rFonts w:ascii="Arial" w:cs="Arial" w:eastAsia="Arial" w:hAnsi="Arial"/>
          <w:sz w:val="18"/>
          <w:szCs w:val="18"/>
          <w:b w:val="1"/>
          <w:bCs w:val="1"/>
          <w:color w:val="auto"/>
        </w:rPr>
      </w:pPr>
      <w:r>
        <w:rPr>
          <w:rFonts w:ascii="Arial" w:cs="Arial" w:eastAsia="Arial" w:hAnsi="Arial"/>
          <w:sz w:val="18"/>
          <w:szCs w:val="18"/>
          <w:color w:val="auto"/>
        </w:rPr>
        <w:t>a reduction in the amount of any Company liability to the Recipient;</w:t>
      </w:r>
    </w:p>
    <w:p>
      <w:pPr>
        <w:spacing w:after="0" w:line="117" w:lineRule="exact"/>
        <w:rPr>
          <w:rFonts w:ascii="Arial" w:cs="Arial" w:eastAsia="Arial" w:hAnsi="Arial"/>
          <w:sz w:val="18"/>
          <w:szCs w:val="18"/>
          <w:b w:val="1"/>
          <w:bCs w:val="1"/>
          <w:color w:val="auto"/>
        </w:rPr>
      </w:pPr>
    </w:p>
    <w:p>
      <w:pPr>
        <w:ind w:left="1124" w:hanging="261"/>
        <w:spacing w:after="0"/>
        <w:tabs>
          <w:tab w:leader="none" w:pos="1124" w:val="left"/>
        </w:tabs>
        <w:numPr>
          <w:ilvl w:val="2"/>
          <w:numId w:val="274"/>
        </w:numPr>
        <w:rPr>
          <w:rFonts w:ascii="Arial" w:cs="Arial" w:eastAsia="Arial" w:hAnsi="Arial"/>
          <w:sz w:val="18"/>
          <w:szCs w:val="18"/>
          <w:b w:val="1"/>
          <w:bCs w:val="1"/>
          <w:color w:val="auto"/>
        </w:rPr>
      </w:pPr>
      <w:r>
        <w:rPr>
          <w:rFonts w:ascii="Arial" w:cs="Arial" w:eastAsia="Arial" w:hAnsi="Arial"/>
          <w:sz w:val="18"/>
          <w:szCs w:val="18"/>
          <w:color w:val="auto"/>
        </w:rPr>
        <w:t>any combination of the foregoing methods of payment; or</w:t>
      </w:r>
    </w:p>
    <w:p>
      <w:pPr>
        <w:spacing w:after="0" w:line="117" w:lineRule="exact"/>
        <w:rPr>
          <w:rFonts w:ascii="Arial" w:cs="Arial" w:eastAsia="Arial" w:hAnsi="Arial"/>
          <w:sz w:val="18"/>
          <w:szCs w:val="18"/>
          <w:b w:val="1"/>
          <w:bCs w:val="1"/>
          <w:color w:val="auto"/>
        </w:rPr>
      </w:pPr>
    </w:p>
    <w:p>
      <w:pPr>
        <w:ind w:left="1124" w:hanging="261"/>
        <w:spacing w:after="0"/>
        <w:tabs>
          <w:tab w:leader="none" w:pos="1124" w:val="left"/>
        </w:tabs>
        <w:numPr>
          <w:ilvl w:val="2"/>
          <w:numId w:val="274"/>
        </w:numPr>
        <w:rPr>
          <w:rFonts w:ascii="Arial" w:cs="Arial" w:eastAsia="Arial" w:hAnsi="Arial"/>
          <w:sz w:val="18"/>
          <w:szCs w:val="18"/>
          <w:b w:val="1"/>
          <w:bCs w:val="1"/>
          <w:color w:val="auto"/>
        </w:rPr>
      </w:pPr>
      <w:r>
        <w:rPr>
          <w:rFonts w:ascii="Arial" w:cs="Arial" w:eastAsia="Arial" w:hAnsi="Arial"/>
          <w:sz w:val="18"/>
          <w:szCs w:val="18"/>
          <w:color w:val="auto"/>
        </w:rPr>
        <w:t>such other consideration and method of payment for the issuance of Shares to the extent permitted by Applicable Laws.</w:t>
      </w:r>
    </w:p>
    <w:p>
      <w:pPr>
        <w:spacing w:after="0" w:line="221" w:lineRule="exact"/>
        <w:rPr>
          <w:rFonts w:ascii="Arial" w:cs="Arial" w:eastAsia="Arial" w:hAnsi="Arial"/>
          <w:sz w:val="18"/>
          <w:szCs w:val="18"/>
          <w:b w:val="1"/>
          <w:bCs w:val="1"/>
          <w:color w:val="auto"/>
        </w:rPr>
      </w:pPr>
    </w:p>
    <w:p>
      <w:pPr>
        <w:ind w:left="4" w:right="60" w:firstLine="436"/>
        <w:spacing w:after="0" w:line="286" w:lineRule="auto"/>
        <w:tabs>
          <w:tab w:leader="none" w:pos="709" w:val="left"/>
        </w:tabs>
        <w:numPr>
          <w:ilvl w:val="1"/>
          <w:numId w:val="2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Early Exercise. </w:t>
      </w:r>
      <w:r>
        <w:rPr>
          <w:rFonts w:ascii="Arial" w:cs="Arial" w:eastAsia="Arial" w:hAnsi="Arial"/>
          <w:sz w:val="16"/>
          <w:szCs w:val="16"/>
          <w:color w:val="auto"/>
        </w:rPr>
        <w:t>The Administrator may permit a Recipient to exercise an Option, on terms acceptable to the Administrator, prior to vesting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Option and/or prior to the lapse of restrictions on the exercisability of the Option;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the stock so issuable in respect thereof shall remain subject to such vesting requirements and/or restrictions and shall be forfeited if the stock does not vest or if the restrictions do not lapse;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such early exercise of Options will generally only be permitted by the Administrator (a) at the time of the grant of the Option or if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not otherwise be required to recognize a compensation expense for financial reporting purposes as a result of such early exercise and</w:t>
      </w:r>
    </w:p>
    <w:p>
      <w:pPr>
        <w:spacing w:after="0" w:line="2" w:lineRule="exact"/>
        <w:rPr>
          <w:rFonts w:ascii="Arial" w:cs="Arial" w:eastAsia="Arial" w:hAnsi="Arial"/>
          <w:sz w:val="16"/>
          <w:szCs w:val="16"/>
          <w:b w:val="1"/>
          <w:bCs w:val="1"/>
          <w:color w:val="auto"/>
        </w:rPr>
      </w:pPr>
    </w:p>
    <w:p>
      <w:pPr>
        <w:ind w:left="264" w:hanging="264"/>
        <w:spacing w:after="0"/>
        <w:tabs>
          <w:tab w:leader="none" w:pos="26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Recipient commits to make an election under Section 83(b) of the Code within 30 days of exercise of the Option.</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389" w:name="page390"/>
    <w:bookmarkEnd w:id="3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 Exercise of Option.</w:t>
      </w:r>
    </w:p>
    <w:p>
      <w:pPr>
        <w:spacing w:after="0" w:line="225" w:lineRule="exact"/>
        <w:rPr>
          <w:sz w:val="20"/>
          <w:szCs w:val="20"/>
          <w:color w:val="auto"/>
        </w:rPr>
      </w:pPr>
    </w:p>
    <w:p>
      <w:pPr>
        <w:ind w:right="120" w:firstLine="436"/>
        <w:spacing w:after="0" w:line="282" w:lineRule="auto"/>
        <w:tabs>
          <w:tab w:leader="none" w:pos="695"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Procedure for Exercise: Rights as a Stockholder. </w:t>
      </w:r>
      <w:r>
        <w:rPr>
          <w:rFonts w:ascii="Arial" w:cs="Arial" w:eastAsia="Arial" w:hAnsi="Arial"/>
          <w:sz w:val="18"/>
          <w:szCs w:val="18"/>
          <w:color w:val="auto"/>
        </w:rPr>
        <w:t>Any Option granted hereunder shall be exercisable according to the terms of the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at such times and under such conditions as determined by the Administrator and set forth in the Award Agreement.</w:t>
      </w:r>
    </w:p>
    <w:p>
      <w:pPr>
        <w:spacing w:after="0" w:line="16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An Option shall be deemed exercised when the Company receives: (i) written notice of exercise (in accordance with the Award Agreement) from the person entitled to exercise the Option, and (ii) full payment for the Shares with respect to which the Option is exercised. Full payment may consist of any consideration and method of payment authorized by the Administrator and permitted by the Award Agreement and the Plan. Shares issued upon exercise of an Option shall be issued in the name of the Recipient or, if requested by the Recipient, in the name of the Recipient and his or her spouse. Until the stock certificate evidencing such Shares is issued (as evidenced by the appropriate entry on the books of the Company or of a duly authorized transfer agent of the Company), no right to vote or receive dividends or any other rights as a stockholder shall exist with respect to the optioned Stock, notwithstanding the exercise of the Option. The Company shall issue (or cause to be issued) such stock certificate promptly after the Option is exercised. No adjustment will be made for a dividend or other right for which the record date is prior to the date the stock certificate is issued, except as provided in Section 15 of the Plan.</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166" w:lineRule="exact"/>
        <w:rPr>
          <w:sz w:val="20"/>
          <w:szCs w:val="20"/>
          <w:color w:val="auto"/>
        </w:rPr>
      </w:pPr>
    </w:p>
    <w:p>
      <w:pPr>
        <w:ind w:right="60" w:firstLine="436"/>
        <w:spacing w:after="0" w:line="272" w:lineRule="auto"/>
        <w:tabs>
          <w:tab w:leader="none" w:pos="705" w:val="left"/>
        </w:tabs>
        <w:numPr>
          <w:ilvl w:val="0"/>
          <w:numId w:val="2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Relationship as Employee. </w:t>
      </w:r>
      <w:r>
        <w:rPr>
          <w:rFonts w:ascii="Arial" w:cs="Arial" w:eastAsia="Arial" w:hAnsi="Arial"/>
          <w:sz w:val="17"/>
          <w:szCs w:val="17"/>
          <w:color w:val="auto"/>
        </w:rPr>
        <w:t>Director or Consultant. If a Recipient ceases to be a Service Provider, other than for Cause or</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Recipient’s death or Disability, the Recipient, subject to the restrictions of Section 10(b),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shall remain exercisable for three (3) months following the Recipient’s termination of his relationship as a Service Provider (but in no event later than the expiration of the term of such Option as set forth in the Award Agreement). If, on the date of termination, the Recipient is not vested as to his or her entire Option, the Shares covered by the unvested portion of the Option shall revert to the Plan. If a Recipient ceases to be a Service Provider for Cause, the Option shall immediately terminate, and the Shares covered by such Option shall revert to the Plan.</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Notwithstanding the above, in the event of a Recipient’s change in status from such Recipient’s current status to an Employee, Director or Consultant, the Recipient shall not automatically be treated as if the Recipient terminated his relationship as a Service Provider, nor shall the Recipient be treated as ceasing to provide services to the Company solely as a result of such change in status. In the event a Recipient’s status changes from Employee to Director or Consultant, an Incentive Stock Option held by the Recipient shall cease to be treated as an Incentive Stock Option and shall be treated for tax purposes as a Non-statutory Stock Option three months and one day following such change of status.</w:t>
      </w:r>
    </w:p>
    <w:p>
      <w:pPr>
        <w:spacing w:after="0" w:line="172" w:lineRule="exact"/>
        <w:rPr>
          <w:sz w:val="20"/>
          <w:szCs w:val="20"/>
          <w:color w:val="auto"/>
        </w:rPr>
      </w:pPr>
    </w:p>
    <w:p>
      <w:pPr>
        <w:ind w:right="60" w:firstLine="436"/>
        <w:spacing w:after="0" w:line="282" w:lineRule="auto"/>
        <w:tabs>
          <w:tab w:leader="none" w:pos="685"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of Recipient. </w:t>
      </w:r>
      <w:r>
        <w:rPr>
          <w:rFonts w:ascii="Arial" w:cs="Arial" w:eastAsia="Arial" w:hAnsi="Arial"/>
          <w:sz w:val="18"/>
          <w:szCs w:val="18"/>
          <w:color w:val="auto"/>
        </w:rPr>
        <w:t>If, as a result of the Recipient’s Disability, a Recipient ceases to be a Service Provider, the Recipient may exercise his</w:t>
      </w:r>
      <w:r>
        <w:rPr>
          <w:rFonts w:ascii="Arial" w:cs="Arial" w:eastAsia="Arial" w:hAnsi="Arial"/>
          <w:sz w:val="18"/>
          <w:szCs w:val="18"/>
          <w:b w:val="1"/>
          <w:bCs w:val="1"/>
          <w:color w:val="auto"/>
        </w:rPr>
        <w:t xml:space="preserve"> </w:t>
      </w:r>
      <w:r>
        <w:rPr>
          <w:rFonts w:ascii="Arial" w:cs="Arial" w:eastAsia="Arial" w:hAnsi="Arial"/>
          <w:sz w:val="18"/>
          <w:szCs w:val="18"/>
          <w:color w:val="auto"/>
        </w:rPr>
        <w:t>or her Option subject to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390" w:name="page391"/>
    <w:bookmarkEnd w:id="390"/>
    <w:p>
      <w:pPr>
        <w:ind w:left="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restrictions of Section 10(b) and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shall remain exercisable for twelve (12) months following the Recipient’s termination (but in no event later than the expiration of the term of such Option as set forth in the Award Agreement). If, on the date of termination, the Recipient is not vested as to his or her entire Option, the Shares covered by the unvested portion of the Option shall revert to the Plan. If, after termination, the Recipient does not exercise his or her Option within the time specified herein, the Option shall terminate, and the Shares covered by such Option shall revert to the Plan.</w:t>
      </w:r>
    </w:p>
    <w:p>
      <w:pPr>
        <w:spacing w:after="0" w:line="160" w:lineRule="exact"/>
        <w:rPr>
          <w:sz w:val="20"/>
          <w:szCs w:val="20"/>
          <w:color w:val="auto"/>
        </w:rPr>
      </w:pPr>
    </w:p>
    <w:p>
      <w:pPr>
        <w:ind w:left="4" w:right="60" w:firstLine="436"/>
        <w:spacing w:after="0" w:line="287" w:lineRule="auto"/>
        <w:tabs>
          <w:tab w:leader="none" w:pos="709" w:val="left"/>
        </w:tabs>
        <w:numPr>
          <w:ilvl w:val="1"/>
          <w:numId w:val="2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of Recipient. </w:t>
      </w:r>
      <w:r>
        <w:rPr>
          <w:rFonts w:ascii="Arial" w:cs="Arial" w:eastAsia="Arial" w:hAnsi="Arial"/>
          <w:sz w:val="16"/>
          <w:szCs w:val="16"/>
          <w:color w:val="auto"/>
        </w:rPr>
        <w:t>If a Recipient dies while a Service Provider, the Option may be exercised subject to the restrictions of Section 10(b) and</w:t>
      </w:r>
      <w:r>
        <w:rPr>
          <w:rFonts w:ascii="Arial" w:cs="Arial" w:eastAsia="Arial" w:hAnsi="Arial"/>
          <w:sz w:val="16"/>
          <w:szCs w:val="16"/>
          <w:b w:val="1"/>
          <w:bCs w:val="1"/>
          <w:color w:val="auto"/>
        </w:rPr>
        <w:t xml:space="preserve"> </w:t>
      </w:r>
      <w:r>
        <w:rPr>
          <w:rFonts w:ascii="Arial" w:cs="Arial" w:eastAsia="Arial" w:hAnsi="Arial"/>
          <w:sz w:val="16"/>
          <w:szCs w:val="16"/>
          <w:color w:val="auto"/>
        </w:rPr>
        <w:t>within such period of time as is specified in the Award Agreement (but in no event later than the expiration of the term of such Option as set forth in the Notice of Grant), by the Recipient’s estate or by a person who acquires the right to exercise the Option by bequest or inheritance, but only to the extent that the Option is vested on the date of death. In the absence of a specified time in the Award Agreement, the Option shall remain exercisable for twelve</w:t>
      </w:r>
    </w:p>
    <w:p>
      <w:pPr>
        <w:spacing w:after="0" w:line="2" w:lineRule="exact"/>
        <w:rPr>
          <w:rFonts w:ascii="Arial" w:cs="Arial" w:eastAsia="Arial" w:hAnsi="Arial"/>
          <w:sz w:val="16"/>
          <w:szCs w:val="16"/>
          <w:b w:val="1"/>
          <w:bCs w:val="1"/>
          <w:color w:val="auto"/>
        </w:rPr>
      </w:pPr>
    </w:p>
    <w:p>
      <w:pPr>
        <w:ind w:left="4" w:right="40" w:hanging="4"/>
        <w:spacing w:after="0" w:line="271" w:lineRule="auto"/>
        <w:tabs>
          <w:tab w:leader="none" w:pos="349" w:val="left"/>
        </w:tabs>
        <w:numPr>
          <w:ilvl w:val="0"/>
          <w:numId w:val="281"/>
        </w:numPr>
        <w:rPr>
          <w:rFonts w:ascii="Arial" w:cs="Arial" w:eastAsia="Arial" w:hAnsi="Arial"/>
          <w:sz w:val="17"/>
          <w:szCs w:val="17"/>
          <w:color w:val="auto"/>
        </w:rPr>
      </w:pPr>
      <w:r>
        <w:rPr>
          <w:rFonts w:ascii="Arial" w:cs="Arial" w:eastAsia="Arial" w:hAnsi="Arial"/>
          <w:sz w:val="17"/>
          <w:szCs w:val="17"/>
          <w:color w:val="auto"/>
        </w:rPr>
        <w:t>months following the Recipient’s termination (but in no event later than the expiration of the term of such Option as set forth in the Award Agreement). If, at the time of death, the Recipient is not vested as to his or her entire Option, the Shares covered by the unvested portion of the Option shall immediately revert to the Plan. The Option may be exercised by the executor or administrator of the Recipient’s estate or, if none, by the person(s) entitled to exercise the Option under the Recipient’s will or the laws of descent or distribution. If the Option is not so exercised within the time specified herein, the Option shall terminate, and the Shares covered by such Option shall revert to the Plan.</w:t>
      </w:r>
    </w:p>
    <w:p>
      <w:pPr>
        <w:spacing w:after="0" w:line="174" w:lineRule="exact"/>
        <w:rPr>
          <w:rFonts w:ascii="Arial" w:cs="Arial" w:eastAsia="Arial" w:hAnsi="Arial"/>
          <w:sz w:val="17"/>
          <w:szCs w:val="17"/>
          <w:color w:val="auto"/>
        </w:rPr>
      </w:pPr>
    </w:p>
    <w:p>
      <w:pPr>
        <w:ind w:left="4" w:right="280" w:firstLine="436"/>
        <w:spacing w:after="0" w:line="312" w:lineRule="auto"/>
        <w:tabs>
          <w:tab w:leader="none" w:pos="689" w:val="left"/>
        </w:tabs>
        <w:numPr>
          <w:ilvl w:val="1"/>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Buyout Provisions. </w:t>
      </w:r>
      <w:r>
        <w:rPr>
          <w:rFonts w:ascii="Arial" w:cs="Arial" w:eastAsia="Arial" w:hAnsi="Arial"/>
          <w:sz w:val="17"/>
          <w:szCs w:val="17"/>
          <w:color w:val="auto"/>
        </w:rPr>
        <w:t>The Administrator may at any time offer to buy out for a payment in cash, an Option previously granted based on such</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as the Administrator shall establish and communicate to the Recipient at the time that such offer is made.</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11. Stock Purchase Rights.</w:t>
      </w:r>
    </w:p>
    <w:p>
      <w:pPr>
        <w:spacing w:after="0" w:line="225" w:lineRule="exact"/>
        <w:rPr>
          <w:sz w:val="20"/>
          <w:szCs w:val="20"/>
          <w:color w:val="auto"/>
        </w:rPr>
      </w:pPr>
    </w:p>
    <w:p>
      <w:pPr>
        <w:ind w:left="4" w:right="80" w:firstLine="436"/>
        <w:spacing w:after="0" w:line="273" w:lineRule="auto"/>
        <w:tabs>
          <w:tab w:leader="none" w:pos="699" w:val="left"/>
        </w:tabs>
        <w:numPr>
          <w:ilvl w:val="0"/>
          <w:numId w:val="2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to Purchase. </w:t>
      </w:r>
      <w:r>
        <w:rPr>
          <w:rFonts w:ascii="Arial" w:cs="Arial" w:eastAsia="Arial" w:hAnsi="Arial"/>
          <w:sz w:val="17"/>
          <w:szCs w:val="17"/>
          <w:color w:val="auto"/>
        </w:rPr>
        <w:t>Stock Purchase Rights may be issued either alone, in addition to, or in tandem with other Awards granted under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and/or cash awards made outside of the Plan. After the Administrator determines that it will offer Stock Purchase Rights under the Plan, it shall advise the offeree in writing, by means of a Notice of Grant, of the terms, conditions and restrictions related to the offer, including the number of Shares that the offeree shall be entitled to purchase, the price to be paid, and the time within which the offeree must accept such offer, which shall in no event exceed six (6) months from the date upon which the Administrator made the determination to grant the Stock Purchase Right. The offer shall be accepted by execution of a Restricted Stock Purchase Agreement in the form determined by the Administrator. The terms of the offer of Stock Purchase Rights under the Plan shall comply in all respects with Applicable Law.</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391" w:name="page392"/>
    <w:bookmarkEnd w:id="391"/>
    <w:p>
      <w:pPr>
        <w:ind w:right="120" w:firstLine="436"/>
        <w:spacing w:after="0" w:line="258" w:lineRule="auto"/>
        <w:tabs>
          <w:tab w:leader="none" w:pos="705"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Repurchase Option. </w:t>
      </w:r>
      <w:r>
        <w:rPr>
          <w:rFonts w:ascii="Arial" w:cs="Arial" w:eastAsia="Arial" w:hAnsi="Arial"/>
          <w:sz w:val="18"/>
          <w:szCs w:val="18"/>
          <w:color w:val="auto"/>
        </w:rPr>
        <w:t>Unless the Administrator determines otherwise, the Restricted Stock Purchase Agreement shall grant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option exercisable upon the voluntary or involuntary termination of the purchaser’s relationship with the Company as a Service Provider for any reason (including death or Disability). The purchase price for Shares repurchased pursuant to the Restricted Stock Purchase Agreement shall be the original price paid by the Recipient and may be paid by cancellation of any indebtedness of the purchaser to the Company. The repurchase option shall lapse at a rate determined by the Administrator.</w:t>
      </w:r>
    </w:p>
    <w:p>
      <w:pPr>
        <w:spacing w:after="0" w:line="183" w:lineRule="exact"/>
        <w:rPr>
          <w:rFonts w:ascii="Arial" w:cs="Arial" w:eastAsia="Arial" w:hAnsi="Arial"/>
          <w:sz w:val="18"/>
          <w:szCs w:val="18"/>
          <w:b w:val="1"/>
          <w:bCs w:val="1"/>
          <w:color w:val="auto"/>
        </w:rPr>
      </w:pPr>
    </w:p>
    <w:p>
      <w:pPr>
        <w:ind w:right="120" w:firstLine="436"/>
        <w:spacing w:after="0" w:line="266" w:lineRule="auto"/>
        <w:tabs>
          <w:tab w:leader="none" w:pos="685"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Provisions. </w:t>
      </w:r>
      <w:r>
        <w:rPr>
          <w:rFonts w:ascii="Arial" w:cs="Arial" w:eastAsia="Arial" w:hAnsi="Arial"/>
          <w:sz w:val="18"/>
          <w:szCs w:val="18"/>
          <w:color w:val="auto"/>
        </w:rPr>
        <w:t>The Restricted Stock Purchase Agreement shall contain such other terms, provisions and conditions not inconsistent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as may be determined by the Administrator in its sole discretion. In addition, the provisions of Restricted Stock Purchase Agreements need not be the same with respect to each purchaser.</w:t>
      </w:r>
    </w:p>
    <w:p>
      <w:pPr>
        <w:spacing w:after="0" w:line="175" w:lineRule="exact"/>
        <w:rPr>
          <w:rFonts w:ascii="Arial" w:cs="Arial" w:eastAsia="Arial" w:hAnsi="Arial"/>
          <w:sz w:val="18"/>
          <w:szCs w:val="18"/>
          <w:b w:val="1"/>
          <w:bCs w:val="1"/>
          <w:color w:val="auto"/>
        </w:rPr>
      </w:pPr>
    </w:p>
    <w:p>
      <w:pPr>
        <w:ind w:firstLine="436"/>
        <w:spacing w:after="0" w:line="261" w:lineRule="auto"/>
        <w:tabs>
          <w:tab w:leader="none" w:pos="705"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Once the Stock Purchase Right is exercised, the purchaser shall have the rights equivalent to those of a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be a stockholder when his or her purchase is entered upon the records of the duly authorized transfer agent of the Company. No adjustment will be made for a dividend or other right for which the record date is prior to the date the Stock Purchase Right is exercised, except as provided in Section 15 of the Plan.</w:t>
      </w:r>
    </w:p>
    <w:p>
      <w:pPr>
        <w:spacing w:after="0" w:line="180"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 xml:space="preserve">Section 12. Other Awards. </w:t>
      </w:r>
      <w:r>
        <w:rPr>
          <w:rFonts w:ascii="Arial" w:cs="Arial" w:eastAsia="Arial" w:hAnsi="Arial"/>
          <w:sz w:val="16"/>
          <w:szCs w:val="16"/>
          <w:color w:val="auto"/>
        </w:rPr>
        <w:t>The Administrator, in its sole discretion, but subject to the terms of the Plan, may grant the following types of Awards (in</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 to the Awards of Options and Stock Purchase Rights described above) under this Plan on a standalone, combination or tandem basis:</w:t>
      </w:r>
    </w:p>
    <w:p>
      <w:pPr>
        <w:spacing w:after="0" w:line="116" w:lineRule="exact"/>
        <w:rPr>
          <w:sz w:val="20"/>
          <w:szCs w:val="20"/>
          <w:color w:val="auto"/>
        </w:rPr>
      </w:pPr>
    </w:p>
    <w:p>
      <w:pPr>
        <w:ind w:right="800" w:firstLine="436"/>
        <w:spacing w:after="0" w:line="347" w:lineRule="auto"/>
        <w:tabs>
          <w:tab w:leader="none" w:pos="695" w:val="left"/>
        </w:tabs>
        <w:numPr>
          <w:ilvl w:val="0"/>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Appreciation Right. </w:t>
      </w:r>
      <w:r>
        <w:rPr>
          <w:rFonts w:ascii="Arial" w:cs="Arial" w:eastAsia="Arial" w:hAnsi="Arial"/>
          <w:sz w:val="16"/>
          <w:szCs w:val="16"/>
          <w:color w:val="auto"/>
        </w:rPr>
        <w:t>A right to receive the excess of the Fair Market Value of a share of Common Stock on the date the stock</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right is exercised over the Fair Market Value of a share of Common Stock on the date the stock appreciation right was granted.</w:t>
      </w:r>
    </w:p>
    <w:p>
      <w:pPr>
        <w:spacing w:after="0" w:line="115" w:lineRule="exact"/>
        <w:rPr>
          <w:rFonts w:ascii="Arial" w:cs="Arial" w:eastAsia="Arial" w:hAnsi="Arial"/>
          <w:sz w:val="16"/>
          <w:szCs w:val="16"/>
          <w:b w:val="1"/>
          <w:bCs w:val="1"/>
          <w:color w:val="auto"/>
        </w:rPr>
      </w:pPr>
    </w:p>
    <w:p>
      <w:pPr>
        <w:ind w:right="140" w:firstLine="436"/>
        <w:spacing w:after="0" w:line="312" w:lineRule="auto"/>
        <w:tabs>
          <w:tab w:leader="none" w:pos="705" w:val="left"/>
        </w:tabs>
        <w:numPr>
          <w:ilvl w:val="0"/>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and Performance Shares. </w:t>
      </w:r>
      <w:r>
        <w:rPr>
          <w:rFonts w:ascii="Arial" w:cs="Arial" w:eastAsia="Arial" w:hAnsi="Arial"/>
          <w:sz w:val="17"/>
          <w:szCs w:val="17"/>
          <w:color w:val="auto"/>
        </w:rPr>
        <w:t>A transfer of Common Stock to a Participant, subject to such restrictions on transfer or other incidents</w:t>
      </w:r>
      <w:r>
        <w:rPr>
          <w:rFonts w:ascii="Arial" w:cs="Arial" w:eastAsia="Arial" w:hAnsi="Arial"/>
          <w:sz w:val="17"/>
          <w:szCs w:val="17"/>
          <w:b w:val="1"/>
          <w:bCs w:val="1"/>
          <w:color w:val="auto"/>
        </w:rPr>
        <w:t xml:space="preserve"> </w:t>
      </w:r>
      <w:r>
        <w:rPr>
          <w:rFonts w:ascii="Arial" w:cs="Arial" w:eastAsia="Arial" w:hAnsi="Arial"/>
          <w:sz w:val="17"/>
          <w:szCs w:val="17"/>
          <w:color w:val="auto"/>
        </w:rPr>
        <w:t>of ownership, or subject to specified performance standards, for such periods of time as the Administrator may determine.</w:t>
      </w:r>
    </w:p>
    <w:p>
      <w:pPr>
        <w:spacing w:after="0" w:line="139" w:lineRule="exact"/>
        <w:rPr>
          <w:rFonts w:ascii="Arial" w:cs="Arial" w:eastAsia="Arial" w:hAnsi="Arial"/>
          <w:sz w:val="17"/>
          <w:szCs w:val="17"/>
          <w:b w:val="1"/>
          <w:bCs w:val="1"/>
          <w:color w:val="auto"/>
        </w:rPr>
      </w:pPr>
    </w:p>
    <w:p>
      <w:pPr>
        <w:ind w:right="740" w:firstLine="436"/>
        <w:spacing w:after="0" w:line="282" w:lineRule="auto"/>
        <w:tabs>
          <w:tab w:leader="none" w:pos="685"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and Performance Share Unit. </w:t>
      </w:r>
      <w:r>
        <w:rPr>
          <w:rFonts w:ascii="Arial" w:cs="Arial" w:eastAsia="Arial" w:hAnsi="Arial"/>
          <w:sz w:val="18"/>
          <w:szCs w:val="18"/>
          <w:color w:val="auto"/>
        </w:rPr>
        <w:t>A fixed or variable share or dollar denominated unit subject to such conditions of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and time of payment as the Administrator may determine.</w:t>
      </w:r>
    </w:p>
    <w:p>
      <w:pPr>
        <w:spacing w:after="0" w:line="161" w:lineRule="exact"/>
        <w:rPr>
          <w:rFonts w:ascii="Arial" w:cs="Arial" w:eastAsia="Arial" w:hAnsi="Arial"/>
          <w:sz w:val="18"/>
          <w:szCs w:val="18"/>
          <w:b w:val="1"/>
          <w:bCs w:val="1"/>
          <w:color w:val="auto"/>
        </w:rPr>
      </w:pPr>
    </w:p>
    <w:p>
      <w:pPr>
        <w:ind w:right="80" w:firstLine="436"/>
        <w:spacing w:after="0" w:line="282" w:lineRule="auto"/>
        <w:tabs>
          <w:tab w:leader="none" w:pos="705"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Stock-Based Awards. </w:t>
      </w:r>
      <w:r>
        <w:rPr>
          <w:rFonts w:ascii="Arial" w:cs="Arial" w:eastAsia="Arial" w:hAnsi="Arial"/>
          <w:sz w:val="18"/>
          <w:szCs w:val="18"/>
          <w:color w:val="auto"/>
        </w:rPr>
        <w:t>Other Common Stock-based Awards which are related to or serve a similar function to those Awards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12.</w:t>
      </w:r>
    </w:p>
    <w:p>
      <w:pPr>
        <w:spacing w:after="0" w:line="16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Section 13. Non-Transferability of Awards. </w:t>
      </w:r>
      <w:r>
        <w:rPr>
          <w:rFonts w:ascii="Arial" w:cs="Arial" w:eastAsia="Arial" w:hAnsi="Arial"/>
          <w:sz w:val="17"/>
          <w:szCs w:val="17"/>
          <w:color w:val="auto"/>
        </w:rPr>
        <w:t>Unless otherwise specified by the Administrator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determination shall occur,</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with respect to Permitted Transferees, as hereinafter defined in Section 14, only on or after the date the Common Stock is listed on any established stock exchange or a national market system) in the Notice of Grant,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0" w:right="439" w:bottom="1440" w:gutter="0" w:footer="0" w:header="0"/>
        </w:sectPr>
      </w:pPr>
    </w:p>
    <w:bookmarkStart w:id="392" w:name="page393"/>
    <w:bookmarkEnd w:id="392"/>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Award shall contain such additional terms and conditions as the Administrator deems appropriate. Any attempt to assign, pledge or otherwise transfer any Award or of any right or privileges conferred thereby, contrary to this Plan, or the sale or levy or similar process upon the rights and privileges conferred hereby, shall be void.</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Section 14. Effect of Change in Control. </w:t>
      </w:r>
      <w:r>
        <w:rPr>
          <w:rFonts w:ascii="Arial" w:cs="Arial" w:eastAsia="Arial" w:hAnsi="Arial"/>
          <w:sz w:val="16"/>
          <w:szCs w:val="16"/>
          <w:color w:val="auto"/>
        </w:rPr>
        <w:t>Notwithstanding anything contained herein to the contrary, in the event of a Change in Control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below), a Recipient shall become 100% vested in his or her Award unless otherwise provided in the Award Agreement. For purposes of this Agreement, Change in Control shall occur if (i) more than 50% of the Common Stock is acquired within a period of six months by persons other than (A) the current owners of Common Stock (as listed in Exhibit A hereto) or their Permitted Transferees (as hereinafter defined); (B) persons who would be considered owners of the Common Stock by virtue of Section 3J8(a) of the Code on the dale that such percentage is exceeded; (C) persons who acquire the Common Stock of any such current owner following the death of such current owner if the persons acquiring such Common Stock would have been considered owners of the Common Stock by virtue of Section 3 I 8(a) of the Code immediately prior 10 such death; or (D) trusts under which persons included under clauses (A) (B) or (C) are the primary beneficiaries; (ii) the Company is a party to a sale of all or substantially all of its assets; (iii) the Company is dissolved or liquidated; or (iv) a merger or consolidation of the Company occurs in which the Company is not the surviving corporation. A “</w:t>
      </w:r>
      <w:r>
        <w:rPr>
          <w:rFonts w:ascii="Arial" w:cs="Arial" w:eastAsia="Arial" w:hAnsi="Arial"/>
          <w:sz w:val="16"/>
          <w:szCs w:val="16"/>
          <w:b w:val="1"/>
          <w:bCs w:val="1"/>
          <w:i w:val="1"/>
          <w:iCs w:val="1"/>
          <w:color w:val="auto"/>
        </w:rPr>
        <w:t>Permitted Transferee</w:t>
      </w:r>
      <w:r>
        <w:rPr>
          <w:rFonts w:ascii="Arial" w:cs="Arial" w:eastAsia="Arial" w:hAnsi="Arial"/>
          <w:sz w:val="16"/>
          <w:szCs w:val="16"/>
          <w:color w:val="auto"/>
        </w:rPr>
        <w:t>” is any person to whom shares of Common Stock are transferred pursuant to applicable laws of descent and distribution or an owner’s parents, siblings, spouse and descendants (Whether natural or adopted) and any trust solely for the benefit of the owner and/or the owner’s parents, siblings, spouse and/or descendants (whether natural or adopted) who agrees in writing to be bound by any restrictions or agreements to which such owner is subject by virtue of his ownership of Common Stock. The foregoing notwithstanding, in no event shall the issuance of shares of the Company’s Series A-1 Preferred Stock, Series A-2 Preferred Stock and/or Series A-3 Preferred Stock (or the issuances of Common Stock upon the conversion thereof) be deemed to constitute a Change in Control.</w:t>
      </w:r>
    </w:p>
    <w:p>
      <w:pPr>
        <w:spacing w:after="0" w:line="16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color w:val="auto"/>
        </w:rPr>
        <w:t xml:space="preserve">Section 15. Adjustments Upon Changes in Capitalization. </w:t>
      </w:r>
      <w:r>
        <w:rPr>
          <w:rFonts w:ascii="Arial" w:cs="Arial" w:eastAsia="Arial" w:hAnsi="Arial"/>
          <w:sz w:val="17"/>
          <w:szCs w:val="17"/>
          <w:color w:val="auto"/>
        </w:rPr>
        <w:t>Subject to any required action by the stockholders of the Company, the 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Common Stock covered by each outstanding Award, and the number of shares of Common Stock which have been authorized for issuance under the Plan but as to which no Awards have yet been granted or which have been returned to the Plan upon cancellation or expiration of an Award, as well as the price per share of Common Stock covered by each such outstanding Award, shall be proportionately adjusted for any increase or decrease in the number of issued shares of Common Stock resulting from a stock split, reverse stock split, stock dividend, combination or reclassification of the Common Stock, or any other increase or decrease in the number of issued shares of Common Stock effected without receipt of consideration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conversion of any convertible securities of the Company shall not be deemed to have been “effected without receipt of consideration.” Such adjustment shall be made by the Board in its sole discretion,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Award.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393" w:name="page394"/>
    <w:bookmarkEnd w:id="393"/>
    <w:p>
      <w:pPr>
        <w:ind w:right="2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 Date of Grant. </w:t>
      </w:r>
      <w:r>
        <w:rPr>
          <w:rFonts w:ascii="Arial" w:cs="Arial" w:eastAsia="Arial" w:hAnsi="Arial"/>
          <w:sz w:val="18"/>
          <w:szCs w:val="18"/>
          <w:color w:val="auto"/>
        </w:rPr>
        <w:t>The date of grant of an Award shall be, for all purposes, the date on which the Administrator makes the determination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granting such Award, or such other later date as is determined by the Administrator. Notice of the determination shall be provided to each Participant within a reasonable time after the date of such grant.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Amendment and Termination of the Plan.</w:t>
      </w:r>
    </w:p>
    <w:p>
      <w:pPr>
        <w:spacing w:after="0" w:line="225" w:lineRule="exact"/>
        <w:rPr>
          <w:sz w:val="20"/>
          <w:szCs w:val="20"/>
          <w:color w:val="auto"/>
        </w:rPr>
      </w:pPr>
    </w:p>
    <w:p>
      <w:pPr>
        <w:ind w:left="700" w:hanging="264"/>
        <w:spacing w:after="0"/>
        <w:tabs>
          <w:tab w:leader="none" w:pos="70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The Board may at any time amend, alter, suspend or terminate the Plan.</w:t>
      </w:r>
    </w:p>
    <w:p>
      <w:pPr>
        <w:spacing w:after="0" w:line="225" w:lineRule="exact"/>
        <w:rPr>
          <w:rFonts w:ascii="Arial" w:cs="Arial" w:eastAsia="Arial" w:hAnsi="Arial"/>
          <w:sz w:val="18"/>
          <w:szCs w:val="18"/>
          <w:b w:val="1"/>
          <w:bCs w:val="1"/>
          <w:color w:val="auto"/>
        </w:rPr>
      </w:pPr>
    </w:p>
    <w:p>
      <w:pPr>
        <w:jc w:val="both"/>
        <w:ind w:right="440" w:firstLine="436"/>
        <w:spacing w:after="0" w:line="281" w:lineRule="auto"/>
        <w:tabs>
          <w:tab w:leader="none" w:pos="705" w:val="left"/>
        </w:tabs>
        <w:numPr>
          <w:ilvl w:val="0"/>
          <w:numId w:val="28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 Approval. </w:t>
      </w:r>
      <w:r>
        <w:rPr>
          <w:rFonts w:ascii="Arial" w:cs="Arial" w:eastAsia="Arial" w:hAnsi="Arial"/>
          <w:sz w:val="17"/>
          <w:szCs w:val="17"/>
          <w:color w:val="auto"/>
        </w:rPr>
        <w:t>The Company shall obtain stockholder approval of any Plan amendment to the extent necessary and desirable to</w:t>
      </w:r>
      <w:r>
        <w:rPr>
          <w:rFonts w:ascii="Arial" w:cs="Arial" w:eastAsia="Arial" w:hAnsi="Arial"/>
          <w:sz w:val="17"/>
          <w:szCs w:val="17"/>
          <w:b w:val="1"/>
          <w:bCs w:val="1"/>
          <w:color w:val="auto"/>
        </w:rPr>
        <w:t xml:space="preserve"> </w:t>
      </w:r>
      <w:r>
        <w:rPr>
          <w:rFonts w:ascii="Arial" w:cs="Arial" w:eastAsia="Arial" w:hAnsi="Arial"/>
          <w:sz w:val="17"/>
          <w:szCs w:val="17"/>
          <w:color w:val="auto"/>
        </w:rPr>
        <w:t>comply with Section 422 of the Code (or any successor rule or statute or other applicable law, rule or regulation, including the requirements of any exchange or quotation system on which the Common Stock is listed or quoted). Such stockholder approval, if required, shall be obtained in such a manner and to such a degree as is required by the applicable law, rule or regulation.</w:t>
      </w:r>
    </w:p>
    <w:p>
      <w:pPr>
        <w:spacing w:after="0" w:line="164" w:lineRule="exact"/>
        <w:rPr>
          <w:rFonts w:ascii="Arial" w:cs="Arial" w:eastAsia="Arial" w:hAnsi="Arial"/>
          <w:sz w:val="17"/>
          <w:szCs w:val="17"/>
          <w:b w:val="1"/>
          <w:bCs w:val="1"/>
          <w:color w:val="auto"/>
        </w:rPr>
      </w:pPr>
    </w:p>
    <w:p>
      <w:pPr>
        <w:ind w:right="380" w:firstLine="436"/>
        <w:spacing w:after="0" w:line="266" w:lineRule="auto"/>
        <w:tabs>
          <w:tab w:leader="none" w:pos="685"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Amendment or Termination. </w:t>
      </w:r>
      <w:r>
        <w:rPr>
          <w:rFonts w:ascii="Arial" w:cs="Arial" w:eastAsia="Arial" w:hAnsi="Arial"/>
          <w:sz w:val="18"/>
          <w:szCs w:val="18"/>
          <w:color w:val="auto"/>
        </w:rPr>
        <w:t>No amendment, alteration, suspension or termination of the Plan shall impair the rights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unless mutually agreed otherwise between the Participant and the Administrator, which agreement must be in writing and signed by the Participant and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Conditions Upon Issuance of Shares.</w:t>
      </w:r>
    </w:p>
    <w:p>
      <w:pPr>
        <w:spacing w:after="0" w:line="225" w:lineRule="exact"/>
        <w:rPr>
          <w:sz w:val="20"/>
          <w:szCs w:val="20"/>
          <w:color w:val="auto"/>
        </w:rPr>
      </w:pPr>
    </w:p>
    <w:p>
      <w:pPr>
        <w:ind w:right="280" w:firstLine="436"/>
        <w:spacing w:after="0" w:line="258" w:lineRule="auto"/>
        <w:tabs>
          <w:tab w:leader="none" w:pos="695"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Legal Compliance. </w:t>
      </w:r>
      <w:r>
        <w:rPr>
          <w:rFonts w:ascii="Arial" w:cs="Arial" w:eastAsia="Arial" w:hAnsi="Arial"/>
          <w:sz w:val="18"/>
          <w:szCs w:val="18"/>
          <w:color w:val="auto"/>
        </w:rPr>
        <w:t>Shares shall not be issued pursuant to the exercise of an Award unless the exercise of such Award and the issuance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83" w:lineRule="exact"/>
        <w:rPr>
          <w:rFonts w:ascii="Arial" w:cs="Arial" w:eastAsia="Arial" w:hAnsi="Arial"/>
          <w:sz w:val="18"/>
          <w:szCs w:val="18"/>
          <w:b w:val="1"/>
          <w:bCs w:val="1"/>
          <w:color w:val="auto"/>
        </w:rPr>
      </w:pPr>
    </w:p>
    <w:p>
      <w:pPr>
        <w:ind w:right="160" w:firstLine="436"/>
        <w:spacing w:after="0" w:line="289" w:lineRule="auto"/>
        <w:tabs>
          <w:tab w:leader="none" w:pos="705"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Investment Representations. </w:t>
      </w:r>
      <w:r>
        <w:rPr>
          <w:rFonts w:ascii="Arial" w:cs="Arial" w:eastAsia="Arial" w:hAnsi="Arial"/>
          <w:sz w:val="17"/>
          <w:szCs w:val="17"/>
          <w:color w:val="auto"/>
        </w:rPr>
        <w:t>As a condition to the exercise of an Award, the Company may require the person exercising such Award to</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57" w:lineRule="exact"/>
        <w:rPr>
          <w:rFonts w:ascii="Arial" w:cs="Arial" w:eastAsia="Arial" w:hAnsi="Arial"/>
          <w:sz w:val="17"/>
          <w:szCs w:val="17"/>
          <w:b w:val="1"/>
          <w:bCs w:val="1"/>
          <w:color w:val="auto"/>
        </w:rPr>
      </w:pPr>
    </w:p>
    <w:p>
      <w:pPr>
        <w:ind w:firstLine="436"/>
        <w:spacing w:after="0" w:line="256" w:lineRule="auto"/>
        <w:tabs>
          <w:tab w:leader="none" w:pos="685"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Obligations. </w:t>
      </w:r>
      <w:r>
        <w:rPr>
          <w:rFonts w:ascii="Arial" w:cs="Arial" w:eastAsia="Arial" w:hAnsi="Arial"/>
          <w:sz w:val="18"/>
          <w:szCs w:val="18"/>
          <w:color w:val="auto"/>
        </w:rPr>
        <w:t>No later than the date as of which an amount first becomes includible in the gross income of the Recipient for</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income tax purposes with respect to any Award under the Plan, the Recipient shall pay to the Company, or make arrangements satisfactory to the Company regarding the payment of, any Federal, state, local or foreign taxes of any kind required by law to be withheld with respect to such amount. Unless otherwise determined by the Administrator, withholding obligations may be settled with Common Stock, including Common Stock that is part of the Award that gives rise to the withholding requirement. The obligations of the Company under the Plan shall be conditioned on such payment or arrangements,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394" w:name="page395"/>
    <w:bookmarkEnd w:id="394"/>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Company, its Subsidiaries and its Affiliates shall, to the extent permitted by law, have the right to deduct any such taxes from any payment otherwise due to the Recipient. The Administrator may establish such procedures as it deems appropriate, including the making of irrevocable elections, for the settlement of withholding obligations with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Liability of Company.</w:t>
      </w:r>
    </w:p>
    <w:p>
      <w:pPr>
        <w:spacing w:after="0" w:line="225" w:lineRule="exact"/>
        <w:rPr>
          <w:sz w:val="20"/>
          <w:szCs w:val="20"/>
          <w:color w:val="auto"/>
        </w:rPr>
      </w:pPr>
    </w:p>
    <w:p>
      <w:pPr>
        <w:ind w:left="700" w:hanging="264"/>
        <w:spacing w:after="0"/>
        <w:tabs>
          <w:tab w:leader="none" w:pos="700" w:val="left"/>
        </w:tabs>
        <w:numPr>
          <w:ilvl w:val="0"/>
          <w:numId w:val="2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Inability to Obtain Authority. </w:t>
      </w:r>
      <w:r>
        <w:rPr>
          <w:rFonts w:ascii="Arial" w:cs="Arial" w:eastAsia="Arial" w:hAnsi="Arial"/>
          <w:sz w:val="17"/>
          <w:szCs w:val="17"/>
          <w:color w:val="auto"/>
        </w:rPr>
        <w:t>The inability of the Company to obtain authority from any regulatory body having jurisdiction, which</w:t>
      </w:r>
    </w:p>
    <w:p>
      <w:pPr>
        <w:spacing w:after="0" w:line="38" w:lineRule="exact"/>
        <w:rPr>
          <w:rFonts w:ascii="Arial" w:cs="Arial" w:eastAsia="Arial" w:hAnsi="Arial"/>
          <w:sz w:val="17"/>
          <w:szCs w:val="17"/>
          <w:b w:val="1"/>
          <w:bCs w:val="1"/>
          <w:color w:val="auto"/>
        </w:rPr>
      </w:pPr>
    </w:p>
    <w:p>
      <w:pPr>
        <w:spacing w:after="0" w:line="290" w:lineRule="auto"/>
        <w:rPr>
          <w:rFonts w:ascii="Arial" w:cs="Arial" w:eastAsia="Arial" w:hAnsi="Arial"/>
          <w:sz w:val="17"/>
          <w:szCs w:val="17"/>
          <w:b w:val="1"/>
          <w:bCs w:val="1"/>
          <w:color w:val="auto"/>
        </w:rPr>
      </w:pPr>
      <w:r>
        <w:rPr>
          <w:rFonts w:ascii="Arial" w:cs="Arial" w:eastAsia="Arial" w:hAnsi="Arial"/>
          <w:sz w:val="17"/>
          <w:szCs w:val="17"/>
          <w:color w:val="auto"/>
        </w:rPr>
        <w:t>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57" w:lineRule="exact"/>
        <w:rPr>
          <w:rFonts w:ascii="Arial" w:cs="Arial" w:eastAsia="Arial" w:hAnsi="Arial"/>
          <w:sz w:val="17"/>
          <w:szCs w:val="17"/>
          <w:b w:val="1"/>
          <w:bCs w:val="1"/>
          <w:color w:val="auto"/>
        </w:rPr>
      </w:pPr>
    </w:p>
    <w:p>
      <w:pPr>
        <w:ind w:right="140" w:firstLine="436"/>
        <w:spacing w:after="0" w:line="261" w:lineRule="auto"/>
        <w:tabs>
          <w:tab w:leader="none" w:pos="705"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Grants Exceeding Allotted Shares. </w:t>
      </w:r>
      <w:r>
        <w:rPr>
          <w:rFonts w:ascii="Arial" w:cs="Arial" w:eastAsia="Arial" w:hAnsi="Arial"/>
          <w:sz w:val="18"/>
          <w:szCs w:val="18"/>
          <w:color w:val="auto"/>
        </w:rPr>
        <w:t>If the Awarded Stock covered by an Award exceeds, as of the date of grant, the number of Shares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may be issued under the Plan without additional stockholder approval, such Award shall be void with respect to such excess Awarded Stock, unless stockholder approval of an amendment sufficiently increasing the number of Shares subject to the Plan is timely obtained in accordance with Section l7(b) of the Plan.</w:t>
      </w:r>
    </w:p>
    <w:p>
      <w:pPr>
        <w:spacing w:after="0" w:line="18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Section 20. Reservation of Shares. </w:t>
      </w:r>
      <w:r>
        <w:rPr>
          <w:rFonts w:ascii="Arial" w:cs="Arial" w:eastAsia="Arial" w:hAnsi="Arial"/>
          <w:sz w:val="18"/>
          <w:szCs w:val="18"/>
          <w:color w:val="auto"/>
        </w:rPr>
        <w:t>The Company, during the term of this Plan, will at all times reserve and keep available such number of Shares as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sufficient to satisfy the requirements of the Plan.</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21. Stockholder Approval. </w:t>
      </w:r>
      <w:r>
        <w:rPr>
          <w:rFonts w:ascii="Arial" w:cs="Arial" w:eastAsia="Arial" w:hAnsi="Arial"/>
          <w:sz w:val="18"/>
          <w:szCs w:val="18"/>
          <w:color w:val="auto"/>
        </w:rPr>
        <w:t>Continuance of the Plan shall be subject to approval by the stockholders of the Company within twelve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before or after the date the Plan is adopted. Such stockholder approval shall be obtained in the manner and to the degree required under Applicable Laws and the rules of any stock exchange upon which the Common Stock is listed.</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Section 22. No Contract of Employment. </w:t>
      </w:r>
      <w:r>
        <w:rPr>
          <w:rFonts w:ascii="Arial" w:cs="Arial" w:eastAsia="Arial" w:hAnsi="Arial"/>
          <w:sz w:val="18"/>
          <w:szCs w:val="18"/>
          <w:color w:val="auto"/>
        </w:rPr>
        <w:t>Neither the Plan nor any Award hereunder shall confer upon any individual any right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such individual’s employment or consulting relationship with the Company, nor shall they interfere in any way with such individual’s right or the Company’s right to terminate such employment or consulting relationship at any time, with or without cause.</w:t>
      </w:r>
    </w:p>
    <w:p>
      <w:pPr>
        <w:spacing w:after="0" w:line="176"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 xml:space="preserve">Section 23. Severability. </w:t>
      </w:r>
      <w:r>
        <w:rPr>
          <w:rFonts w:ascii="Arial" w:cs="Arial" w:eastAsia="Arial" w:hAnsi="Arial"/>
          <w:sz w:val="16"/>
          <w:szCs w:val="16"/>
          <w:color w:val="auto"/>
        </w:rPr>
        <w:t>In the event that any provision of the Plan shall be held illegal or invalid for any reason, the illegality or invalidity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remaining parts of the Plan, and the Plan shall be construed and enforced as if the illegal or invalid provision had not been included.</w:t>
      </w:r>
    </w:p>
    <w:p>
      <w:pPr>
        <w:spacing w:after="0" w:line="11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Section 24. Governing Law. </w:t>
      </w:r>
      <w:r>
        <w:rPr>
          <w:rFonts w:ascii="Arial" w:cs="Arial" w:eastAsia="Arial" w:hAnsi="Arial"/>
          <w:sz w:val="18"/>
          <w:szCs w:val="18"/>
          <w:color w:val="auto"/>
        </w:rPr>
        <w:t>The Plan and all Awards made and actions thereon thereunder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California.</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Section 25. No Right, Title, or Interest in Company Assets. </w:t>
      </w:r>
      <w:r>
        <w:rPr>
          <w:rFonts w:ascii="Arial" w:cs="Arial" w:eastAsia="Arial" w:hAnsi="Arial"/>
          <w:sz w:val="18"/>
          <w:szCs w:val="18"/>
          <w:color w:val="auto"/>
        </w:rPr>
        <w:t>No Participant shall have any right in any fund or in any specific asset of the Company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being a Participant under this Plan, nor any rights as a shareholder as a result of participation in the Plan until the date of issuance of a stock certificate in his name. To the extent any person acquires a right to receive payments from the Company under this Plan, such rights shall be no greater than the rights of an unsecured creditor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entered into effective </w:t>
      </w:r>
      <w:r>
        <w:rPr>
          <w:rFonts w:ascii="Arial" w:cs="Arial" w:eastAsia="Arial" w:hAnsi="Arial"/>
          <w:sz w:val="18"/>
          <w:szCs w:val="18"/>
          <w:b w:val="1"/>
          <w:bCs w:val="1"/>
          <w:color w:val="auto"/>
        </w:rPr>
        <w:t>January 1, 2021</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Daniel J.</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O’Connell </w:t>
      </w:r>
      <w:r>
        <w:rPr>
          <w:rFonts w:ascii="Arial" w:cs="Arial" w:eastAsia="Arial" w:hAnsi="Arial"/>
          <w:sz w:val="18"/>
          <w:szCs w:val="18"/>
          <w:color w:val="auto"/>
        </w:rPr>
        <w:t>(the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w:t>
      </w:r>
      <w:r>
        <w:rPr>
          <w:rFonts w:ascii="Arial" w:cs="Arial" w:eastAsia="Arial" w:hAnsi="Arial"/>
          <w:sz w:val="18"/>
          <w:szCs w:val="18"/>
          <w:b w:val="1"/>
          <w:bCs w:val="1"/>
          <w:color w:val="auto"/>
        </w:rPr>
        <w:t xml:space="preserve"> Acumen Pharmaceuticals, Inc. </w:t>
      </w:r>
      <w:r>
        <w:rPr>
          <w:rFonts w:ascii="Arial" w:cs="Arial" w:eastAsia="Arial" w:hAnsi="Arial"/>
          <w:sz w:val="18"/>
          <w:szCs w:val="18"/>
          <w:color w:val="auto"/>
        </w:rPr>
        <w:t>(the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supersedes and replaces any prior consulting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letter between the Parties and any of their affiliates.</w:t>
      </w:r>
    </w:p>
    <w:p>
      <w:pPr>
        <w:spacing w:after="0" w:line="18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WHEREAS, the Company desires to employ Executive and, in connection therewith, to compensate Executive for Executive’s personal services to the Company; and</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WHEREAS, Executive wishes to be employed by the Company and provide personal services and certain covenants to the Company in return for certain compensation and benefits.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in consideration of the mutual promises and covenants contained herein, the parties agree to the following:</w:t>
      </w:r>
    </w:p>
    <w:p>
      <w:pPr>
        <w:spacing w:after="0" w:line="329" w:lineRule="exact"/>
        <w:rPr>
          <w:sz w:val="20"/>
          <w:szCs w:val="20"/>
          <w:color w:val="auto"/>
        </w:rPr>
      </w:pPr>
    </w:p>
    <w:p>
      <w:pPr>
        <w:ind w:left="800" w:hanging="364"/>
        <w:spacing w:after="0"/>
        <w:tabs>
          <w:tab w:leader="none" w:pos="80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MPLOYMENT BY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OMPANY</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right="320" w:firstLine="991"/>
        <w:spacing w:after="0" w:line="289"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b w:val="1"/>
          <w:bCs w:val="1"/>
          <w:u w:val="single" w:color="auto"/>
          <w:color w:val="auto"/>
        </w:rPr>
        <w:t>Position</w:t>
      </w:r>
      <w:r>
        <w:rPr>
          <w:rFonts w:ascii="Arial" w:cs="Arial" w:eastAsia="Arial" w:hAnsi="Arial"/>
          <w:sz w:val="17"/>
          <w:szCs w:val="17"/>
          <w:color w:val="auto"/>
        </w:rPr>
        <w:t>. Subject to the terms set forth herein, the Company agrees to employ Executive, in the position of</w:t>
      </w:r>
      <w:r>
        <w:rPr>
          <w:rFonts w:ascii="Arial" w:cs="Arial" w:eastAsia="Arial" w:hAnsi="Arial"/>
          <w:sz w:val="17"/>
          <w:szCs w:val="17"/>
          <w:b w:val="1"/>
          <w:bCs w:val="1"/>
          <w:color w:val="auto"/>
        </w:rPr>
        <w:t xml:space="preserve"> President and Chief Executive Officer</w:t>
      </w:r>
      <w:r>
        <w:rPr>
          <w:rFonts w:ascii="Arial" w:cs="Arial" w:eastAsia="Arial" w:hAnsi="Arial"/>
          <w:sz w:val="17"/>
          <w:szCs w:val="17"/>
          <w:color w:val="auto"/>
        </w:rPr>
        <w:t>, and Executive hereby accepts such employment. During the term of Executive’s employment with the Company, Executive will</w:t>
      </w:r>
      <w:r>
        <w:rPr>
          <w:rFonts w:ascii="Arial" w:cs="Arial" w:eastAsia="Arial" w:hAnsi="Arial"/>
          <w:sz w:val="17"/>
          <w:szCs w:val="17"/>
          <w:b w:val="1"/>
          <w:bCs w:val="1"/>
          <w:color w:val="auto"/>
        </w:rPr>
        <w:t xml:space="preserve"> </w:t>
      </w:r>
      <w:r>
        <w:rPr>
          <w:rFonts w:ascii="Arial" w:cs="Arial" w:eastAsia="Arial" w:hAnsi="Arial"/>
          <w:sz w:val="17"/>
          <w:szCs w:val="17"/>
          <w:color w:val="auto"/>
        </w:rPr>
        <w:t>devote Executive’s best efforts and substantially all of his business time and attention to the business of the Company.</w:t>
      </w:r>
    </w:p>
    <w:p>
      <w:pPr>
        <w:spacing w:after="0" w:line="158"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Duties</w:t>
      </w:r>
      <w:r>
        <w:rPr>
          <w:rFonts w:ascii="Arial" w:cs="Arial" w:eastAsia="Arial" w:hAnsi="Arial"/>
          <w:sz w:val="18"/>
          <w:szCs w:val="18"/>
          <w:color w:val="auto"/>
        </w:rPr>
        <w:t>. Executive will initially report to the Board of Directors</w:t>
      </w:r>
      <w:r>
        <w:rPr>
          <w:rFonts w:ascii="Arial" w:cs="Arial" w:eastAsia="Arial" w:hAnsi="Arial"/>
          <w:sz w:val="18"/>
          <w:szCs w:val="18"/>
          <w:b w:val="1"/>
          <w:bCs w:val="1"/>
          <w:color w:val="auto"/>
        </w:rPr>
        <w:t xml:space="preserve"> (“Board)” </w:t>
      </w:r>
      <w:r>
        <w:rPr>
          <w:rFonts w:ascii="Arial" w:cs="Arial" w:eastAsia="Arial" w:hAnsi="Arial"/>
          <w:sz w:val="18"/>
          <w:szCs w:val="18"/>
          <w:color w:val="auto"/>
        </w:rPr>
        <w:t>of the Company. Executive shall perform his duties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initially principally out of his personal residence and the Company’s corporate office in Charlottesville, VA or such other location as assigned by the Company. In addition, Executive shall make business trips to such places as may be necessary or advisable for the efficient operations of the Company, including visits to the Company’s offices in Carmel, IN.</w:t>
      </w:r>
    </w:p>
    <w:p>
      <w:pPr>
        <w:spacing w:after="0" w:line="180"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b w:val="1"/>
          <w:bCs w:val="1"/>
          <w:color w:val="auto"/>
        </w:rPr>
        <w:t xml:space="preserve">1.3 </w:t>
      </w:r>
      <w:r>
        <w:rPr>
          <w:rFonts w:ascii="Arial" w:cs="Arial" w:eastAsia="Arial" w:hAnsi="Arial"/>
          <w:sz w:val="17"/>
          <w:szCs w:val="17"/>
          <w:b w:val="1"/>
          <w:bCs w:val="1"/>
          <w:u w:val="single" w:color="auto"/>
          <w:color w:val="auto"/>
        </w:rPr>
        <w:t>Company Policies and Benefits</w:t>
      </w:r>
      <w:r>
        <w:rPr>
          <w:rFonts w:ascii="Arial" w:cs="Arial" w:eastAsia="Arial" w:hAnsi="Arial"/>
          <w:sz w:val="17"/>
          <w:szCs w:val="17"/>
          <w:color w:val="auto"/>
        </w:rPr>
        <w:t>. The employment relationship between the parties shall also be subject to the Company’s personnel</w:t>
      </w:r>
      <w:r>
        <w:rPr>
          <w:rFonts w:ascii="Arial" w:cs="Arial" w:eastAsia="Arial" w:hAnsi="Arial"/>
          <w:sz w:val="17"/>
          <w:szCs w:val="17"/>
          <w:b w:val="1"/>
          <w:bCs w:val="1"/>
          <w:color w:val="auto"/>
        </w:rPr>
        <w:t xml:space="preserve"> </w:t>
      </w:r>
      <w:r>
        <w:rPr>
          <w:rFonts w:ascii="Arial" w:cs="Arial" w:eastAsia="Arial" w:hAnsi="Arial"/>
          <w:sz w:val="17"/>
          <w:szCs w:val="17"/>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the such plan. The Executive shall be entitled to paid vacation in accordance with the plans, policies, programs and practices of the Company applicable to its senior executives in effect from time to time, but in no event shall the Executive be entitled to less than four (4) weeks of vacation per calendar year (pro-rated for any partial year of service).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ectPr>
          <w:pgSz w:w="11900" w:h="16838" w:orient="portrait"/>
          <w:cols w:equalWidth="0" w:num="1">
            <w:col w:w="11020"/>
          </w:cols>
          <w:pgMar w:left="440" w:top="121" w:right="439" w:bottom="1440" w:gutter="0" w:footer="0" w:header="0"/>
        </w:sectPr>
      </w:pPr>
    </w:p>
    <w:bookmarkStart w:id="396" w:name="page397"/>
    <w:bookmarkEnd w:id="396"/>
    <w:p>
      <w:pPr>
        <w:ind w:left="800" w:hanging="364"/>
        <w:spacing w:after="0"/>
        <w:tabs>
          <w:tab w:leader="none" w:pos="80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4"/>
          <w:szCs w:val="14"/>
          <w:b w:val="1"/>
          <w:bCs w:val="1"/>
          <w:u w:val="single" w:color="auto"/>
          <w:color w:val="auto"/>
        </w:rPr>
        <w:t>OMPENSATION</w:t>
      </w:r>
      <w:r>
        <w:rPr>
          <w:rFonts w:ascii="Arial" w:cs="Arial" w:eastAsia="Arial" w:hAnsi="Arial"/>
          <w:sz w:val="18"/>
          <w:szCs w:val="18"/>
          <w:color w:val="auto"/>
        </w:rPr>
        <w:t>.</w:t>
      </w:r>
    </w:p>
    <w:p>
      <w:pPr>
        <w:spacing w:after="0" w:line="117" w:lineRule="exact"/>
        <w:rPr>
          <w:sz w:val="20"/>
          <w:szCs w:val="20"/>
          <w:color w:val="auto"/>
        </w:rPr>
      </w:pPr>
    </w:p>
    <w:p>
      <w:pPr>
        <w:ind w:right="100" w:firstLine="991"/>
        <w:spacing w:after="0" w:line="266"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Salary</w:t>
      </w:r>
      <w:r>
        <w:rPr>
          <w:rFonts w:ascii="Arial" w:cs="Arial" w:eastAsia="Arial" w:hAnsi="Arial"/>
          <w:sz w:val="18"/>
          <w:szCs w:val="18"/>
          <w:color w:val="auto"/>
        </w:rPr>
        <w:t>. Executive shall receive for services to be rendered hereunder an initial base salary of $ 512,000.00 on annualized basis,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review and adjustment from time to time by the Board, and payable subject to standard federal and state payroll withholding requirements in accordance with the Company’s standard payroll practices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w:t>
      </w:r>
    </w:p>
    <w:p>
      <w:pPr>
        <w:spacing w:after="0" w:line="176"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u w:val="single" w:color="auto"/>
          <w:color w:val="auto"/>
        </w:rPr>
        <w:t>Annual Discretionary Bonus</w:t>
      </w:r>
      <w:r>
        <w:rPr>
          <w:rFonts w:ascii="Arial" w:cs="Arial" w:eastAsia="Arial" w:hAnsi="Arial"/>
          <w:sz w:val="16"/>
          <w:szCs w:val="16"/>
          <w:color w:val="auto"/>
        </w:rPr>
        <w:t>. Executive shall be eligible for a discretionary annual calendar year performance bonus (the “</w:t>
      </w:r>
      <w:r>
        <w:rPr>
          <w:rFonts w:ascii="Arial" w:cs="Arial" w:eastAsia="Arial" w:hAnsi="Arial"/>
          <w:sz w:val="16"/>
          <w:szCs w:val="16"/>
          <w:b w:val="1"/>
          <w:bCs w:val="1"/>
          <w:i w:val="1"/>
          <w:iCs w:val="1"/>
          <w:color w:val="auto"/>
        </w:rPr>
        <w:t>Annual</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Bonus</w:t>
      </w:r>
      <w:r>
        <w:rPr>
          <w:rFonts w:ascii="Arial" w:cs="Arial" w:eastAsia="Arial" w:hAnsi="Arial"/>
          <w:sz w:val="16"/>
          <w:szCs w:val="16"/>
          <w:color w:val="auto"/>
        </w:rPr>
        <w:t>”) with an annual target of fifty percent (50%) of Executive’s then-current Base Salary (the “</w:t>
      </w:r>
      <w:r>
        <w:rPr>
          <w:rFonts w:ascii="Arial" w:cs="Arial" w:eastAsia="Arial" w:hAnsi="Arial"/>
          <w:sz w:val="16"/>
          <w:szCs w:val="16"/>
          <w:b w:val="1"/>
          <w:bCs w:val="1"/>
          <w:i w:val="1"/>
          <w:iCs w:val="1"/>
          <w:color w:val="auto"/>
        </w:rPr>
        <w:t>Target Amount</w:t>
      </w:r>
      <w:r>
        <w:rPr>
          <w:rFonts w:ascii="Arial" w:cs="Arial" w:eastAsia="Arial" w:hAnsi="Arial"/>
          <w:sz w:val="16"/>
          <w:szCs w:val="16"/>
          <w:color w:val="auto"/>
        </w:rPr>
        <w:t>”). Whether or not Executive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eligible for any Annual Bonus will be dependent upon the actual achievement by Executive and the Company of the applicable individual and corporate performance goals, as determined by the Board. No amount of any Annual Bonus is guaranteed at any time and may be greater or lesser than the Target Amount and may be zero. Any Annual Bonus, if awarded, will be paid in a single installment paid at the same time annual bonuses are generally paid to other similarly-situated employees of the Company and in any event no later than March 1</w:t>
      </w:r>
      <w:r>
        <w:rPr>
          <w:rFonts w:ascii="Arial" w:cs="Arial" w:eastAsia="Arial" w:hAnsi="Arial"/>
          <w:sz w:val="13"/>
          <w:szCs w:val="13"/>
          <w:color w:val="auto"/>
        </w:rPr>
        <w:t>st</w:t>
      </w:r>
      <w:r>
        <w:rPr>
          <w:rFonts w:ascii="Arial" w:cs="Arial" w:eastAsia="Arial" w:hAnsi="Arial"/>
          <w:sz w:val="16"/>
          <w:szCs w:val="16"/>
          <w:color w:val="auto"/>
        </w:rPr>
        <w:t xml:space="preserve"> of the calendar year following the calendar year to which the Annual Bonus is applicable, and will be subject to deductions and withholdings. Executive’s eligibility for an Annual Bonus and the Target Amount, if any, is subject to change in the discretion of the Board (or any authorized committee thereof).</w:t>
      </w:r>
    </w:p>
    <w:p>
      <w:pPr>
        <w:spacing w:after="0" w:line="159"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Expense Reimbursement</w:t>
      </w:r>
      <w:r>
        <w:rPr>
          <w:rFonts w:ascii="Arial" w:cs="Arial" w:eastAsia="Arial" w:hAnsi="Arial"/>
          <w:sz w:val="18"/>
          <w:szCs w:val="18"/>
          <w:color w:val="auto"/>
        </w:rPr>
        <w:t>. The Company will reimburse Executive for reasonable business expenses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standard expense reimbursement policy, as the same may be modified by the Board from time to time. The Company shall reimburse Executive for all customary and appropriate business-related expenses actually incurred and documented in accordance with Company policy, as in effect from time to time . For the avoidance of doubt, to the extent that any reimbursements payable to Executive are subject to the provisions of Section 409A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92" w:lineRule="exact"/>
        <w:rPr>
          <w:sz w:val="20"/>
          <w:szCs w:val="20"/>
          <w:color w:val="auto"/>
        </w:rPr>
      </w:pPr>
    </w:p>
    <w:p>
      <w:pPr>
        <w:ind w:right="20" w:firstLine="991"/>
        <w:spacing w:after="0" w:line="277"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u w:val="single" w:color="auto"/>
          <w:color w:val="auto"/>
        </w:rPr>
        <w:t>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approval by the Board, the Company anticipates granting to Executive an option to purchase 1,767,656</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the Company’s common stock at the fair market value as determined by the Board as of the date of grant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The anticipated Option will be governed by the terms and conditions of the Company’s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the option grant agreement, and will vest 25% on the one-year anniversary of the date of grant, and thereafter over the ensuing 3 years in a series of thirty-six (36) successive equal monthly installments, subject to your Continuous Service (as defined in the Plan) as of each such date.</w:t>
      </w:r>
    </w:p>
    <w:p>
      <w:pPr>
        <w:spacing w:after="0" w:line="168" w:lineRule="exact"/>
        <w:rPr>
          <w:sz w:val="20"/>
          <w:szCs w:val="20"/>
          <w:color w:val="auto"/>
        </w:rPr>
      </w:pPr>
    </w:p>
    <w:p>
      <w:pPr>
        <w:ind w:left="800" w:hanging="364"/>
        <w:spacing w:after="0"/>
        <w:tabs>
          <w:tab w:leader="none" w:pos="80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ONFIDENTIAL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NFORMATION</w:t>
      </w:r>
      <w:r>
        <w:rPr>
          <w:rFonts w:ascii="Arial" w:cs="Arial" w:eastAsia="Arial" w:hAnsi="Arial"/>
          <w:sz w:val="18"/>
          <w:szCs w:val="18"/>
          <w:b w:val="1"/>
          <w:bCs w:val="1"/>
          <w:u w:val="single" w:color="auto"/>
          <w:color w:val="auto"/>
        </w:rPr>
        <w:t>, I</w:t>
      </w:r>
      <w:r>
        <w:rPr>
          <w:rFonts w:ascii="Arial" w:cs="Arial" w:eastAsia="Arial" w:hAnsi="Arial"/>
          <w:sz w:val="14"/>
          <w:szCs w:val="14"/>
          <w:b w:val="1"/>
          <w:bCs w:val="1"/>
          <w:u w:val="single" w:color="auto"/>
          <w:color w:val="auto"/>
        </w:rPr>
        <w:t>NVENTIONS</w:t>
      </w:r>
      <w:r>
        <w:rPr>
          <w:rFonts w:ascii="Arial" w:cs="Arial" w:eastAsia="Arial" w:hAnsi="Arial"/>
          <w:sz w:val="18"/>
          <w:szCs w:val="18"/>
          <w:b w:val="1"/>
          <w:bCs w:val="1"/>
          <w:u w:val="single" w:color="auto"/>
          <w:color w:val="auto"/>
        </w:rPr>
        <w:t>, N</w:t>
      </w:r>
      <w:r>
        <w:rPr>
          <w:rFonts w:ascii="Arial" w:cs="Arial" w:eastAsia="Arial" w:hAnsi="Arial"/>
          <w:sz w:val="14"/>
          <w:szCs w:val="14"/>
          <w:b w:val="1"/>
          <w:bCs w:val="1"/>
          <w:u w:val="single" w:color="auto"/>
          <w:color w:val="auto"/>
        </w:rPr>
        <w:t>ON</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OMPETITION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ON</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OLICITATION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a condition of</w:t>
      </w:r>
    </w:p>
    <w:p>
      <w:pPr>
        <w:spacing w:after="0" w:line="27"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 xml:space="preserve">employment, Executive agrees to execute and abide by the Employee Confidential Information, Inventions, Non-Solicitation and Non-Competition Agreement, attached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which may be amended by the parties from time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397" w:name="page398"/>
    <w:bookmarkEnd w:id="397"/>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time without regard to this Agreement (the “</w:t>
      </w:r>
      <w:r>
        <w:rPr>
          <w:rFonts w:ascii="Arial" w:cs="Arial" w:eastAsia="Arial" w:hAnsi="Arial"/>
          <w:sz w:val="18"/>
          <w:szCs w:val="18"/>
          <w:b w:val="1"/>
          <w:bCs w:val="1"/>
          <w:i w:val="1"/>
          <w:iCs w:val="1"/>
          <w:color w:val="auto"/>
        </w:rPr>
        <w:t>Confidential Information Agreement</w:t>
      </w:r>
      <w:r>
        <w:rPr>
          <w:rFonts w:ascii="Arial" w:cs="Arial" w:eastAsia="Arial" w:hAnsi="Arial"/>
          <w:sz w:val="18"/>
          <w:szCs w:val="18"/>
          <w:color w:val="auto"/>
        </w:rPr>
        <w:t>”). The Confidential Information Agreement contains provisions that are intended by the parties to survive and do survive termination of this Agreement.</w:t>
      </w:r>
    </w:p>
    <w:p>
      <w:pPr>
        <w:spacing w:after="0" w:line="166" w:lineRule="exact"/>
        <w:rPr>
          <w:sz w:val="20"/>
          <w:szCs w:val="20"/>
          <w:color w:val="auto"/>
        </w:rPr>
      </w:pPr>
    </w:p>
    <w:p>
      <w:pPr>
        <w:ind w:right="100" w:firstLine="436"/>
        <w:spacing w:after="0" w:line="255" w:lineRule="auto"/>
        <w:tabs>
          <w:tab w:leader="none" w:pos="80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UTSIDE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CTIVITIES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URING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with the prior written consent of the Company, Executive will not, while employed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 (iii) such other activities as may be specifically approved in writing by the Company. Company hereby acknowledges consent’s to Executive’s existing Executive Chairman position at Direct Spinal Therapeutics, Inc. and deems that it complies with this Section 4.</w:t>
      </w:r>
    </w:p>
    <w:p>
      <w:pPr>
        <w:spacing w:after="0" w:line="188" w:lineRule="exact"/>
        <w:rPr>
          <w:rFonts w:ascii="Arial" w:cs="Arial" w:eastAsia="Arial" w:hAnsi="Arial"/>
          <w:sz w:val="18"/>
          <w:szCs w:val="18"/>
          <w:b w:val="1"/>
          <w:bCs w:val="1"/>
          <w:color w:val="auto"/>
        </w:rPr>
      </w:pPr>
    </w:p>
    <w:p>
      <w:pPr>
        <w:ind w:firstLine="436"/>
        <w:spacing w:after="0" w:line="258" w:lineRule="auto"/>
        <w:tabs>
          <w:tab w:leader="none" w:pos="80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ONFLICT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XISTING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BLIGATIONS</w:t>
      </w:r>
      <w:r>
        <w:rPr>
          <w:rFonts w:ascii="Arial" w:cs="Arial" w:eastAsia="Arial" w:hAnsi="Arial"/>
          <w:sz w:val="18"/>
          <w:szCs w:val="18"/>
          <w:color w:val="auto"/>
        </w:rPr>
        <w:t>. Executive represents that Executive’s performance of all the terms of this Agreement and as</w:t>
      </w:r>
      <w:r>
        <w:rPr>
          <w:rFonts w:ascii="Arial" w:cs="Arial" w:eastAsia="Arial" w:hAnsi="Arial"/>
          <w:sz w:val="18"/>
          <w:szCs w:val="18"/>
          <w:b w:val="1"/>
          <w:bCs w:val="1"/>
          <w:color w:val="auto"/>
        </w:rPr>
        <w:t xml:space="preserve"> </w:t>
      </w:r>
      <w:r>
        <w:rPr>
          <w:rFonts w:ascii="Arial" w:cs="Arial" w:eastAsia="Arial" w:hAnsi="Arial"/>
          <w:sz w:val="18"/>
          <w:szCs w:val="18"/>
          <w:color w:val="auto"/>
        </w:rPr>
        <w:t>an Executive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3" w:lineRule="exact"/>
        <w:rPr>
          <w:rFonts w:ascii="Arial" w:cs="Arial" w:eastAsia="Arial" w:hAnsi="Arial"/>
          <w:sz w:val="18"/>
          <w:szCs w:val="18"/>
          <w:b w:val="1"/>
          <w:bCs w:val="1"/>
          <w:color w:val="auto"/>
        </w:rPr>
      </w:pPr>
    </w:p>
    <w:p>
      <w:pPr>
        <w:jc w:val="both"/>
        <w:ind w:right="60" w:firstLine="436"/>
        <w:spacing w:after="0" w:line="261" w:lineRule="auto"/>
        <w:tabs>
          <w:tab w:leader="none" w:pos="80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ERMINATION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acknowledge that Executive’s employment relationship with the Company is at-will. Either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or the Company may terminate the employment relationship for any reason whatsoever at any time, with or without Cause or advance notice. The provisions in this Section govern the amount of compensation, if any, to be provided to Executive upon termination of employment and do not alter this at-will status.</w:t>
      </w:r>
    </w:p>
    <w:p>
      <w:pPr>
        <w:spacing w:after="0" w:line="288"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u w:val="single" w:color="auto"/>
          <w:color w:val="auto"/>
        </w:rPr>
        <w:t>Termination by the Company without Cause or Resignation by Executive for Good Reason</w:t>
      </w:r>
      <w:r>
        <w:rPr>
          <w:rFonts w:ascii="Arial" w:cs="Arial" w:eastAsia="Arial" w:hAnsi="Arial"/>
          <w:sz w:val="16"/>
          <w:szCs w:val="16"/>
          <w:color w:val="auto"/>
        </w:rPr>
        <w:t>.</w:t>
      </w:r>
    </w:p>
    <w:p>
      <w:pPr>
        <w:spacing w:after="0" w:line="121" w:lineRule="exact"/>
        <w:rPr>
          <w:sz w:val="20"/>
          <w:szCs w:val="20"/>
          <w:color w:val="auto"/>
        </w:rPr>
      </w:pPr>
    </w:p>
    <w:p>
      <w:pPr>
        <w:ind w:right="100" w:firstLine="1428"/>
        <w:spacing w:after="0" w:line="286" w:lineRule="auto"/>
        <w:tabs>
          <w:tab w:leader="none" w:pos="1867" w:val="left"/>
        </w:tabs>
        <w:numPr>
          <w:ilvl w:val="0"/>
          <w:numId w:val="292"/>
        </w:numPr>
        <w:rPr>
          <w:rFonts w:ascii="Arial" w:cs="Arial" w:eastAsia="Arial" w:hAnsi="Arial"/>
          <w:sz w:val="17"/>
          <w:szCs w:val="17"/>
          <w:b w:val="1"/>
          <w:bCs w:val="1"/>
          <w:color w:val="auto"/>
        </w:rPr>
      </w:pPr>
      <w:r>
        <w:rPr>
          <w:rFonts w:ascii="Arial" w:cs="Arial" w:eastAsia="Arial" w:hAnsi="Arial"/>
          <w:sz w:val="17"/>
          <w:szCs w:val="17"/>
          <w:color w:val="auto"/>
        </w:rPr>
        <w:t>The Company shall have the right to terminate Executive’s employment with the Company pursuant to this Section 6.1 at any time without Cause (as defined in Section 6.2(b) below) by giving notice as described in Section 7.1 of this Agreement. A termination pursuant to Section 6.4 or 6.5 below is not a termination without Cause for purposes of receiving the benefits described in this Section 6.1.</w:t>
      </w:r>
    </w:p>
    <w:p>
      <w:pPr>
        <w:spacing w:after="0" w:line="165" w:lineRule="exact"/>
        <w:rPr>
          <w:rFonts w:ascii="Arial" w:cs="Arial" w:eastAsia="Arial" w:hAnsi="Arial"/>
          <w:sz w:val="17"/>
          <w:szCs w:val="17"/>
          <w:b w:val="1"/>
          <w:bCs w:val="1"/>
          <w:color w:val="auto"/>
        </w:rPr>
      </w:pPr>
    </w:p>
    <w:p>
      <w:pPr>
        <w:jc w:val="both"/>
        <w:ind w:right="200" w:firstLine="1428"/>
        <w:spacing w:after="0" w:line="279" w:lineRule="auto"/>
        <w:tabs>
          <w:tab w:leader="none" w:pos="1877" w:val="left"/>
        </w:tabs>
        <w:numPr>
          <w:ilvl w:val="0"/>
          <w:numId w:val="292"/>
        </w:numPr>
        <w:rPr>
          <w:rFonts w:ascii="Arial" w:cs="Arial" w:eastAsia="Arial" w:hAnsi="Arial"/>
          <w:sz w:val="17"/>
          <w:szCs w:val="17"/>
          <w:b w:val="1"/>
          <w:bCs w:val="1"/>
          <w:color w:val="auto"/>
        </w:rPr>
      </w:pPr>
      <w:r>
        <w:rPr>
          <w:rFonts w:ascii="Arial" w:cs="Arial" w:eastAsia="Arial" w:hAnsi="Arial"/>
          <w:sz w:val="17"/>
          <w:szCs w:val="17"/>
          <w:color w:val="auto"/>
        </w:rPr>
        <w:t>In the event the Company terminates Executive’s employment without Cause or Executive Resigns for Good Reason (as defined in Section 6.1(g) below), and provided that such termination constitutes a “separation from service” (as defined under Treasury Regulation Section 1.409A-1(h), without regard to any alternative definition thereunder, a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then Executive shall be entitled to receive the Accrued Obligations (as defined below) and, subject to Executive’s compliance with the obligations in Section 6.1(c)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98" w:name="page399"/>
    <w:bookmarkEnd w:id="3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below, Executive shall be eligible to receive the following severance benefits (the “</w:t>
      </w:r>
      <w:r>
        <w:rPr>
          <w:rFonts w:ascii="Arial" w:cs="Arial" w:eastAsia="Arial" w:hAnsi="Arial"/>
          <w:sz w:val="18"/>
          <w:szCs w:val="18"/>
          <w:b w:val="1"/>
          <w:bCs w:val="1"/>
          <w:i w:val="1"/>
          <w:iCs w:val="1"/>
          <w:color w:val="auto"/>
        </w:rPr>
        <w:t>Severance Benefits</w:t>
      </w:r>
      <w:r>
        <w:rPr>
          <w:rFonts w:ascii="Arial" w:cs="Arial" w:eastAsia="Arial" w:hAnsi="Arial"/>
          <w:sz w:val="18"/>
          <w:szCs w:val="18"/>
          <w:color w:val="auto"/>
        </w:rPr>
        <w:t>”):</w:t>
      </w:r>
    </w:p>
    <w:p>
      <w:pPr>
        <w:spacing w:after="0" w:line="225" w:lineRule="exact"/>
        <w:rPr>
          <w:sz w:val="20"/>
          <w:szCs w:val="20"/>
          <w:color w:val="auto"/>
        </w:rPr>
      </w:pPr>
    </w:p>
    <w:p>
      <w:pPr>
        <w:ind w:right="40" w:firstLine="1979"/>
        <w:spacing w:after="0" w:line="259" w:lineRule="auto"/>
        <w:tabs>
          <w:tab w:leader="none" w:pos="2377" w:val="left"/>
        </w:tabs>
        <w:numPr>
          <w:ilvl w:val="1"/>
          <w:numId w:val="293"/>
        </w:numPr>
        <w:rPr>
          <w:rFonts w:ascii="Arial" w:cs="Arial" w:eastAsia="Arial" w:hAnsi="Arial"/>
          <w:sz w:val="18"/>
          <w:szCs w:val="18"/>
          <w:b w:val="1"/>
          <w:bCs w:val="1"/>
          <w:color w:val="auto"/>
        </w:rPr>
      </w:pPr>
      <w:r>
        <w:rPr>
          <w:rFonts w:ascii="Arial" w:cs="Arial" w:eastAsia="Arial" w:hAnsi="Arial"/>
          <w:sz w:val="18"/>
          <w:szCs w:val="18"/>
          <w:color w:val="auto"/>
        </w:rPr>
        <w:t>The Company will pay Executive an amount equal to Executive’s then current Base Salary for twelve (12) months, less all applicable withholdings and deductions, and paid in equal installments beginning on the Company’s second regularly scheduled payroll date following the Release Effective Date (as defined in Section 6.1(c) below), with the remaining installments occurring on the Company’s regularly scheduled payroll dates thereafter.</w:t>
      </w:r>
    </w:p>
    <w:p>
      <w:pPr>
        <w:spacing w:after="0" w:line="186" w:lineRule="exact"/>
        <w:rPr>
          <w:rFonts w:ascii="Arial" w:cs="Arial" w:eastAsia="Arial" w:hAnsi="Arial"/>
          <w:sz w:val="18"/>
          <w:szCs w:val="18"/>
          <w:b w:val="1"/>
          <w:bCs w:val="1"/>
          <w:color w:val="auto"/>
        </w:rPr>
      </w:pPr>
    </w:p>
    <w:p>
      <w:pPr>
        <w:ind w:firstLine="1979"/>
        <w:spacing w:after="0" w:line="287" w:lineRule="auto"/>
        <w:tabs>
          <w:tab w:leader="none" w:pos="2427" w:val="left"/>
        </w:tabs>
        <w:numPr>
          <w:ilvl w:val="1"/>
          <w:numId w:val="293"/>
        </w:numPr>
        <w:rPr>
          <w:rFonts w:ascii="Arial" w:cs="Arial" w:eastAsia="Arial" w:hAnsi="Arial"/>
          <w:sz w:val="16"/>
          <w:szCs w:val="16"/>
          <w:b w:val="1"/>
          <w:bCs w:val="1"/>
          <w:color w:val="auto"/>
        </w:rPr>
      </w:pPr>
      <w:r>
        <w:rPr>
          <w:rFonts w:ascii="Arial" w:cs="Arial" w:eastAsia="Arial" w:hAnsi="Arial"/>
          <w:sz w:val="16"/>
          <w:szCs w:val="16"/>
          <w:color w:val="auto"/>
        </w:rPr>
        <w:t>If Executive timely elects continued coverage under COBRA for Executive and Executive’s dependents under the Company’s group health plans following such termination, then the Company shall pay the COBRA premiums necessary to continue Executive’s and his covered dependents’ health insurance coverage in effect for Executive (and Executive’s covered dependents) on the termination date until the earliest of: (i) twelve (12) months following the termination date (the “</w:t>
      </w:r>
      <w:r>
        <w:rPr>
          <w:rFonts w:ascii="Arial" w:cs="Arial" w:eastAsia="Arial" w:hAnsi="Arial"/>
          <w:sz w:val="16"/>
          <w:szCs w:val="16"/>
          <w:b w:val="1"/>
          <w:bCs w:val="1"/>
          <w:i w:val="1"/>
          <w:iCs w:val="1"/>
          <w:color w:val="auto"/>
        </w:rPr>
        <w:t>COBRA Severance Period</w:t>
      </w:r>
      <w:r>
        <w:rPr>
          <w:rFonts w:ascii="Arial" w:cs="Arial" w:eastAsia="Arial" w:hAnsi="Arial"/>
          <w:sz w:val="16"/>
          <w:szCs w:val="16"/>
          <w:color w:val="auto"/>
        </w:rPr>
        <w:t>”); (ii) the date when Executive becomes eligible for substantially equivalent health insurance coverage in connection with new employment or self-employment; or (iii) the date Executive ceases to be eligible for COBRA continuation coverage for any reason, including plan termination (such period from the termination date through the earlier of (i)-(iii), (the “</w:t>
      </w:r>
      <w:r>
        <w:rPr>
          <w:rFonts w:ascii="Arial" w:cs="Arial" w:eastAsia="Arial" w:hAnsi="Arial"/>
          <w:sz w:val="16"/>
          <w:szCs w:val="16"/>
          <w:b w:val="1"/>
          <w:bCs w:val="1"/>
          <w:i w:val="1"/>
          <w:iCs w:val="1"/>
          <w:color w:val="auto"/>
        </w:rPr>
        <w:t>COBRA Payment Period</w:t>
      </w:r>
      <w:r>
        <w:rPr>
          <w:rFonts w:ascii="Arial" w:cs="Arial" w:eastAsia="Arial" w:hAnsi="Arial"/>
          <w:sz w:val="16"/>
          <w:szCs w:val="16"/>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for the remainder of the COBRA Payment Period. Nothing in this Agreement shall deprive Executive of his rights under COBRA or ERISA for benefits under plans and policies arising under his employment by the Company.</w:t>
      </w:r>
    </w:p>
    <w:p>
      <w:pPr>
        <w:spacing w:after="0" w:line="167" w:lineRule="exact"/>
        <w:rPr>
          <w:rFonts w:ascii="Arial" w:cs="Arial" w:eastAsia="Arial" w:hAnsi="Arial"/>
          <w:sz w:val="16"/>
          <w:szCs w:val="16"/>
          <w:b w:val="1"/>
          <w:bCs w:val="1"/>
          <w:color w:val="auto"/>
        </w:rPr>
      </w:pPr>
    </w:p>
    <w:p>
      <w:pPr>
        <w:ind w:right="80" w:firstLine="1428"/>
        <w:spacing w:after="0" w:line="274" w:lineRule="auto"/>
        <w:tabs>
          <w:tab w:leader="none" w:pos="1856" w:val="left"/>
        </w:tabs>
        <w:numPr>
          <w:ilvl w:val="0"/>
          <w:numId w:val="294"/>
        </w:numPr>
        <w:rPr>
          <w:rFonts w:ascii="Arial" w:cs="Arial" w:eastAsia="Arial" w:hAnsi="Arial"/>
          <w:sz w:val="17"/>
          <w:szCs w:val="17"/>
          <w:b w:val="1"/>
          <w:bCs w:val="1"/>
          <w:color w:val="auto"/>
        </w:rPr>
      </w:pPr>
      <w:r>
        <w:rPr>
          <w:rFonts w:ascii="Arial" w:cs="Arial" w:eastAsia="Arial" w:hAnsi="Arial"/>
          <w:sz w:val="17"/>
          <w:szCs w:val="17"/>
          <w:color w:val="auto"/>
        </w:rPr>
        <w:t>Executive will be paid all of the Accrued Obligations (as defined in Section 6.1(d) below) on the Company’s first payroll date after Executive’s date of termination from employment or earlier if required by law. If eligible to receive the Severance Benefits pursuant to</w:t>
      </w:r>
    </w:p>
    <w:p>
      <w:pPr>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Section 6.1(b) of this Agreement, Executive will only receive such Severance Benefits if: (i) within the time period provided in the separation agreement (which shall be no longer than 60 days following the date of Executive’s Separation from Service), Executive has signed and delivered to the Company a separation agreement that includes, among other terms, an effective general release of claims in favor of the Company and its affiliates and representatives, in the form presented by the Company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which cannot be revoked in whole or part by such date (the date that the Release can no longer be revoked is referred to as the “</w:t>
      </w:r>
      <w:r>
        <w:rPr>
          <w:rFonts w:ascii="Arial" w:cs="Arial" w:eastAsia="Arial" w:hAnsi="Arial"/>
          <w:sz w:val="17"/>
          <w:szCs w:val="17"/>
          <w:b w:val="1"/>
          <w:bCs w:val="1"/>
          <w:i w:val="1"/>
          <w:iCs w:val="1"/>
          <w:color w:val="auto"/>
        </w:rPr>
        <w:t>Release Effective Date</w:t>
      </w:r>
      <w:r>
        <w:rPr>
          <w:rFonts w:ascii="Arial" w:cs="Arial" w:eastAsia="Arial" w:hAnsi="Arial"/>
          <w:sz w:val="17"/>
          <w:szCs w:val="17"/>
          <w:color w:val="auto"/>
        </w:rPr>
        <w:t>”); and (ii) if Executive holds any other positions with the Company, he resigns such position(s) to be effective no later than the date of Executive’s termination date (or such other date as requested by the Board); (iii) Executive returns all Company property; (iv) Executive complies with his post-termination obligations under this Agreement and the Confidential Information Agreement; and (v) Executive complies with the terms of the Release, including, without limitation, any non-disparagement, confidentiality and cooperation provisions contained in Release.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99" w:name="page400"/>
    <w:bookmarkEnd w:id="399"/>
    <w:p>
      <w:pPr>
        <w:ind w:firstLine="1428"/>
        <w:spacing w:after="0" w:line="259" w:lineRule="auto"/>
        <w:tabs>
          <w:tab w:leader="none" w:pos="1877" w:val="left"/>
        </w:tabs>
        <w:numPr>
          <w:ilvl w:val="0"/>
          <w:numId w:val="29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Agreement, “</w:t>
      </w:r>
      <w:r>
        <w:rPr>
          <w:rFonts w:ascii="Arial" w:cs="Arial" w:eastAsia="Arial" w:hAnsi="Arial"/>
          <w:sz w:val="18"/>
          <w:szCs w:val="18"/>
          <w:b w:val="1"/>
          <w:bCs w:val="1"/>
          <w:i w:val="1"/>
          <w:iCs w:val="1"/>
          <w:color w:val="auto"/>
        </w:rPr>
        <w:t>Accrued Obligations</w:t>
      </w:r>
      <w:r>
        <w:rPr>
          <w:rFonts w:ascii="Arial" w:cs="Arial" w:eastAsia="Arial" w:hAnsi="Arial"/>
          <w:sz w:val="18"/>
          <w:szCs w:val="18"/>
          <w:color w:val="auto"/>
        </w:rPr>
        <w:t>”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86" w:lineRule="exact"/>
        <w:rPr>
          <w:rFonts w:ascii="Arial" w:cs="Arial" w:eastAsia="Arial" w:hAnsi="Arial"/>
          <w:sz w:val="18"/>
          <w:szCs w:val="18"/>
          <w:b w:val="1"/>
          <w:bCs w:val="1"/>
          <w:color w:val="auto"/>
        </w:rPr>
      </w:pPr>
    </w:p>
    <w:p>
      <w:pPr>
        <w:ind w:right="60" w:firstLine="1428"/>
        <w:spacing w:after="0" w:line="277" w:lineRule="auto"/>
        <w:tabs>
          <w:tab w:leader="none" w:pos="1856" w:val="left"/>
        </w:tabs>
        <w:numPr>
          <w:ilvl w:val="0"/>
          <w:numId w:val="295"/>
        </w:numPr>
        <w:rPr>
          <w:rFonts w:ascii="Arial" w:cs="Arial" w:eastAsia="Arial" w:hAnsi="Arial"/>
          <w:sz w:val="18"/>
          <w:szCs w:val="18"/>
          <w:b w:val="1"/>
          <w:bCs w:val="1"/>
          <w:color w:val="auto"/>
        </w:rPr>
      </w:pPr>
      <w:r>
        <w:rPr>
          <w:rFonts w:ascii="Arial" w:cs="Arial" w:eastAsia="Arial" w:hAnsi="Arial"/>
          <w:sz w:val="18"/>
          <w:szCs w:val="18"/>
          <w:color w:val="auto"/>
        </w:rPr>
        <w:t>The Severance Benefits provided to Executive pursuant to this Section 6.1 are in lieu of, and not in addition to, any benefits to which Executive may otherwise be entitled under any Company severance plan, policy or program.</w:t>
      </w:r>
    </w:p>
    <w:p>
      <w:pPr>
        <w:spacing w:after="0" w:line="170" w:lineRule="exact"/>
        <w:rPr>
          <w:rFonts w:ascii="Arial" w:cs="Arial" w:eastAsia="Arial" w:hAnsi="Arial"/>
          <w:sz w:val="18"/>
          <w:szCs w:val="18"/>
          <w:b w:val="1"/>
          <w:bCs w:val="1"/>
          <w:color w:val="auto"/>
        </w:rPr>
      </w:pPr>
    </w:p>
    <w:p>
      <w:pPr>
        <w:ind w:right="200" w:firstLine="1428"/>
        <w:spacing w:after="0" w:line="263" w:lineRule="auto"/>
        <w:tabs>
          <w:tab w:leader="none" w:pos="1837" w:val="left"/>
        </w:tabs>
        <w:numPr>
          <w:ilvl w:val="0"/>
          <w:numId w:val="295"/>
        </w:numPr>
        <w:rPr>
          <w:rFonts w:ascii="Arial" w:cs="Arial" w:eastAsia="Arial" w:hAnsi="Arial"/>
          <w:sz w:val="18"/>
          <w:szCs w:val="18"/>
          <w:b w:val="1"/>
          <w:bCs w:val="1"/>
          <w:color w:val="auto"/>
        </w:rPr>
      </w:pPr>
      <w:r>
        <w:rPr>
          <w:rFonts w:ascii="Arial" w:cs="Arial" w:eastAsia="Arial" w:hAnsi="Arial"/>
          <w:sz w:val="18"/>
          <w:szCs w:val="18"/>
          <w:color w:val="auto"/>
        </w:rPr>
        <w:t>Any damages caused by the termination of Executive’s employment without Cause would be difficult to ascertain; therefore, the Severance Benefits for which Executive is eligible pursuant to Section 6.1(b) above in exchange for the Release is agreed to by the parties as liquidated damages, to serve as full compensation, and not a penalty.</w:t>
      </w:r>
    </w:p>
    <w:p>
      <w:pPr>
        <w:spacing w:after="0" w:line="183" w:lineRule="exact"/>
        <w:rPr>
          <w:rFonts w:ascii="Arial" w:cs="Arial" w:eastAsia="Arial" w:hAnsi="Arial"/>
          <w:sz w:val="18"/>
          <w:szCs w:val="18"/>
          <w:b w:val="1"/>
          <w:bCs w:val="1"/>
          <w:color w:val="auto"/>
        </w:rPr>
      </w:pPr>
    </w:p>
    <w:p>
      <w:pPr>
        <w:ind w:firstLine="1428"/>
        <w:spacing w:after="0" w:line="287" w:lineRule="auto"/>
        <w:tabs>
          <w:tab w:leader="none" w:pos="1867" w:val="left"/>
        </w:tabs>
        <w:numPr>
          <w:ilvl w:val="0"/>
          <w:numId w:val="29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for purposes of this Agreement shall mean the occurrence of any of the following conditions without Executive’s consent, after Executive’s provision of written notice to the Company of the existence of such condition (which notice must be provided as described in Section 7.1 within thirty (30) days of the initial existence of the condition and must specify the particular condition in reasonable detail), provided that the Company has not first provided notice to Executive of its intent to terminate Executive’s employment: (i) a material reduction in Executive’s duties, responsibilities or authorities, provided, however, that neither the conversation of the Company to a subsidiary, division or unit of an acquiring entity, or Executive’s reporting relationships following a Change in Control, nor a change in title, will be deemed a “material reduction” in and of itself or material adverse alteration in, Executive’s position, title, duties, or responsibilities; (ii) a material (greater than 10%) reduction by the Company of Executive’s Base Salary (except in the case of either an across the board reduction in salaries or a temporary reduction due to financial exigency); or (iii) the relocation of Executive’s principal place of employment by fifty (50) or more miles from Executive’s then-current principal place of employment. Notwithstanding the foregoing, Good Reason shall only exist if the Company is provided a thirty (30) day period to cure the event or condition giving rise to Good Reason, and it fails to do so within that cure period (and, additionally, Executive must resign for such Good Reason condition by giving notice as described in Section 7.1 within thirty (30) days after the period for curing the violation or condition has ended).</w:t>
      </w:r>
    </w:p>
    <w:p>
      <w:pPr>
        <w:spacing w:after="0" w:line="272"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u w:val="single" w:color="auto"/>
          <w:color w:val="auto"/>
        </w:rPr>
        <w:t>Termination by the Company for Cause</w:t>
      </w:r>
      <w:r>
        <w:rPr>
          <w:rFonts w:ascii="Arial" w:cs="Arial" w:eastAsia="Arial" w:hAnsi="Arial"/>
          <w:sz w:val="16"/>
          <w:szCs w:val="16"/>
          <w:color w:val="auto"/>
        </w:rPr>
        <w:t>.</w:t>
      </w:r>
    </w:p>
    <w:p>
      <w:pPr>
        <w:spacing w:after="0" w:line="121" w:lineRule="exact"/>
        <w:rPr>
          <w:sz w:val="20"/>
          <w:szCs w:val="20"/>
          <w:color w:val="auto"/>
        </w:rPr>
      </w:pPr>
    </w:p>
    <w:p>
      <w:pPr>
        <w:ind w:right="260" w:firstLine="1428"/>
        <w:spacing w:after="0" w:line="277" w:lineRule="auto"/>
        <w:tabs>
          <w:tab w:leader="none" w:pos="1867" w:val="left"/>
        </w:tabs>
        <w:numPr>
          <w:ilvl w:val="0"/>
          <w:numId w:val="296"/>
        </w:numPr>
        <w:rPr>
          <w:rFonts w:ascii="Arial" w:cs="Arial" w:eastAsia="Arial" w:hAnsi="Arial"/>
          <w:sz w:val="18"/>
          <w:szCs w:val="18"/>
          <w:b w:val="1"/>
          <w:bCs w:val="1"/>
          <w:color w:val="auto"/>
        </w:rPr>
      </w:pPr>
      <w:r>
        <w:rPr>
          <w:rFonts w:ascii="Arial" w:cs="Arial" w:eastAsia="Arial" w:hAnsi="Arial"/>
          <w:sz w:val="18"/>
          <w:szCs w:val="18"/>
          <w:color w:val="auto"/>
        </w:rPr>
        <w:t>The Company shall have the right to terminate Executive’s employment with the Company at any time for Cause by giving notice as described in Section 7.1 of this Agreement.</w:t>
      </w:r>
    </w:p>
    <w:p>
      <w:pPr>
        <w:spacing w:after="0" w:line="170" w:lineRule="exact"/>
        <w:rPr>
          <w:rFonts w:ascii="Arial" w:cs="Arial" w:eastAsia="Arial" w:hAnsi="Arial"/>
          <w:sz w:val="18"/>
          <w:szCs w:val="18"/>
          <w:b w:val="1"/>
          <w:bCs w:val="1"/>
          <w:color w:val="auto"/>
        </w:rPr>
      </w:pPr>
    </w:p>
    <w:p>
      <w:pPr>
        <w:jc w:val="both"/>
        <w:ind w:right="80" w:firstLine="1428"/>
        <w:spacing w:after="0" w:line="263" w:lineRule="auto"/>
        <w:tabs>
          <w:tab w:leader="none" w:pos="1877" w:val="left"/>
        </w:tabs>
        <w:numPr>
          <w:ilvl w:val="0"/>
          <w:numId w:val="296"/>
        </w:numPr>
        <w:rPr>
          <w:rFonts w:ascii="Arial" w:cs="Arial" w:eastAsia="Arial" w:hAnsi="Arial"/>
          <w:sz w:val="18"/>
          <w:szCs w:val="18"/>
          <w:b w:val="1"/>
          <w:bCs w:val="1"/>
          <w:color w:val="auto"/>
        </w:rPr>
      </w:pPr>
      <w:r>
        <w:rPr>
          <w:rFonts w:ascii="Arial" w:cs="Arial" w:eastAsia="Arial" w:hAnsi="Arial"/>
          <w:sz w:val="18"/>
          <w:szCs w:val="18"/>
          <w:color w:val="auto"/>
        </w:rPr>
        <w:t>“Cause” for purposes of this Agreement shall mean that the Company has determined in its sole discretion that Executive has engaged in any of the following: (i) a material breach of any covenant or condition under this Agreement or any other agreement between the Company and Executive; (ii) any act constituting dishonesty, fraud, immoral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00" w:name="page401"/>
    <w:bookmarkEnd w:id="400"/>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disreputable conduct; (iii) any conduct which constitutes a felony under applicable law; (iv) violation of any Company policy or any act of misconduct;</w:t>
      </w:r>
    </w:p>
    <w:p>
      <w:pPr>
        <w:spacing w:after="0" w:line="46" w:lineRule="exact"/>
        <w:rPr>
          <w:sz w:val="20"/>
          <w:szCs w:val="20"/>
          <w:color w:val="auto"/>
        </w:rPr>
      </w:pPr>
    </w:p>
    <w:p>
      <w:pPr>
        <w:ind w:left="4" w:right="40" w:hanging="4"/>
        <w:spacing w:after="0" w:line="253" w:lineRule="auto"/>
        <w:tabs>
          <w:tab w:leader="none" w:pos="25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refusal to follow or implement a clear and reasonable directive of Company; (vi) negligence or incompetence in the performance of Executive’s duties or failure to perform such duties in a manner satisfactory to the Company after the expiration of ten (10) days without cure after written notice of such failure; (vii) failure to pass to the satisfaction of the Company, a preliminary background check or failure to submit proof of legal eligibility to work in the United States; or (viii) breach of fiduciary duty.</w:t>
      </w:r>
    </w:p>
    <w:p>
      <w:pPr>
        <w:spacing w:after="0" w:line="192" w:lineRule="exact"/>
        <w:rPr>
          <w:rFonts w:ascii="Arial" w:cs="Arial" w:eastAsia="Arial" w:hAnsi="Arial"/>
          <w:sz w:val="18"/>
          <w:szCs w:val="18"/>
          <w:color w:val="auto"/>
        </w:rPr>
      </w:pPr>
    </w:p>
    <w:p>
      <w:pPr>
        <w:ind w:left="4" w:right="200" w:firstLine="1428"/>
        <w:spacing w:after="0" w:line="263" w:lineRule="auto"/>
        <w:tabs>
          <w:tab w:leader="none" w:pos="1860" w:val="left"/>
        </w:tabs>
        <w:numPr>
          <w:ilvl w:val="1"/>
          <w:numId w:val="297"/>
        </w:numPr>
        <w:rPr>
          <w:rFonts w:ascii="Arial" w:cs="Arial" w:eastAsia="Arial" w:hAnsi="Arial"/>
          <w:sz w:val="18"/>
          <w:szCs w:val="18"/>
          <w:b w:val="1"/>
          <w:bCs w:val="1"/>
          <w:color w:val="auto"/>
        </w:rPr>
      </w:pPr>
      <w:r>
        <w:rPr>
          <w:rFonts w:ascii="Arial" w:cs="Arial" w:eastAsia="Arial" w:hAnsi="Arial"/>
          <w:sz w:val="18"/>
          <w:szCs w:val="18"/>
          <w:color w:val="auto"/>
        </w:rPr>
        <w:t>In the event Executive’s employment is terminated at any time for Cause, Executive will not receive Severance Benefits, or any other compensation or benefits, except that, pursuant to the Company’s standard payroll policies, the Company shall provide to Executive the Accrued Obligations.</w:t>
      </w:r>
    </w:p>
    <w:p>
      <w:pPr>
        <w:spacing w:after="0" w:line="288" w:lineRule="exact"/>
        <w:rPr>
          <w:sz w:val="20"/>
          <w:szCs w:val="20"/>
          <w:color w:val="auto"/>
        </w:rPr>
      </w:pPr>
    </w:p>
    <w:p>
      <w:pPr>
        <w:ind w:left="984"/>
        <w:spacing w:after="0"/>
        <w:tabs>
          <w:tab w:leader="none" w:pos="1424"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u w:val="single" w:color="auto"/>
          <w:color w:val="auto"/>
        </w:rPr>
        <w:t>Resignation by Executive (other than for Good Reason)</w:t>
      </w:r>
      <w:r>
        <w:rPr>
          <w:rFonts w:ascii="Arial" w:cs="Arial" w:eastAsia="Arial" w:hAnsi="Arial"/>
          <w:sz w:val="16"/>
          <w:szCs w:val="16"/>
          <w:b w:val="1"/>
          <w:bCs w:val="1"/>
          <w:color w:val="auto"/>
        </w:rPr>
        <w:t>.</w:t>
      </w:r>
    </w:p>
    <w:p>
      <w:pPr>
        <w:spacing w:after="0" w:line="121" w:lineRule="exact"/>
        <w:rPr>
          <w:sz w:val="20"/>
          <w:szCs w:val="20"/>
          <w:color w:val="auto"/>
        </w:rPr>
      </w:pPr>
    </w:p>
    <w:p>
      <w:pPr>
        <w:ind w:left="1864" w:hanging="432"/>
        <w:spacing w:after="0"/>
        <w:tabs>
          <w:tab w:leader="none" w:pos="1864" w:val="left"/>
        </w:tabs>
        <w:numPr>
          <w:ilvl w:val="0"/>
          <w:numId w:val="298"/>
        </w:numPr>
        <w:rPr>
          <w:rFonts w:ascii="Arial" w:cs="Arial" w:eastAsia="Arial" w:hAnsi="Arial"/>
          <w:sz w:val="17"/>
          <w:szCs w:val="17"/>
          <w:b w:val="1"/>
          <w:bCs w:val="1"/>
          <w:color w:val="auto"/>
        </w:rPr>
      </w:pPr>
      <w:r>
        <w:rPr>
          <w:rFonts w:ascii="Arial" w:cs="Arial" w:eastAsia="Arial" w:hAnsi="Arial"/>
          <w:sz w:val="17"/>
          <w:szCs w:val="17"/>
          <w:color w:val="auto"/>
        </w:rPr>
        <w:t>Executive may resign from Executive’s employment with the Company at any time by giving notice as described in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7.1.</w:t>
      </w:r>
    </w:p>
    <w:p>
      <w:pPr>
        <w:spacing w:after="0" w:line="211" w:lineRule="exact"/>
        <w:rPr>
          <w:sz w:val="20"/>
          <w:szCs w:val="20"/>
          <w:color w:val="auto"/>
        </w:rPr>
      </w:pPr>
    </w:p>
    <w:p>
      <w:pPr>
        <w:ind w:left="4" w:firstLine="1428"/>
        <w:spacing w:after="0" w:line="263" w:lineRule="auto"/>
        <w:tabs>
          <w:tab w:leader="none" w:pos="1881" w:val="left"/>
        </w:tabs>
        <w:numPr>
          <w:ilvl w:val="0"/>
          <w:numId w:val="299"/>
        </w:numPr>
        <w:rPr>
          <w:rFonts w:ascii="Arial" w:cs="Arial" w:eastAsia="Arial" w:hAnsi="Arial"/>
          <w:sz w:val="18"/>
          <w:szCs w:val="18"/>
          <w:b w:val="1"/>
          <w:bCs w:val="1"/>
          <w:color w:val="auto"/>
        </w:rPr>
      </w:pPr>
      <w:r>
        <w:rPr>
          <w:rFonts w:ascii="Arial" w:cs="Arial" w:eastAsia="Arial" w:hAnsi="Arial"/>
          <w:sz w:val="18"/>
          <w:szCs w:val="18"/>
          <w:color w:val="auto"/>
        </w:rPr>
        <w:t>In the event Executive resigns from Executive’s employment with the Company (other than for Good Reason), Executive will not receive Severance Benefits, or any other compensation or benefits, except that, pursuant to the Company’s standard payroll policies, the Company shall provide to Executive the Accrued Obligations.</w:t>
      </w:r>
    </w:p>
    <w:p>
      <w:pPr>
        <w:spacing w:after="0" w:line="288" w:lineRule="exact"/>
        <w:rPr>
          <w:sz w:val="20"/>
          <w:szCs w:val="20"/>
          <w:color w:val="auto"/>
        </w:rPr>
      </w:pPr>
    </w:p>
    <w:p>
      <w:pPr>
        <w:ind w:left="984"/>
        <w:spacing w:after="0"/>
        <w:tabs>
          <w:tab w:leader="none" w:pos="1424"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u w:val="single" w:color="auto"/>
          <w:color w:val="auto"/>
        </w:rPr>
        <w:t>Termination by Virtue of Death or Disability of Executive</w:t>
      </w:r>
      <w:r>
        <w:rPr>
          <w:rFonts w:ascii="Arial" w:cs="Arial" w:eastAsia="Arial" w:hAnsi="Arial"/>
          <w:sz w:val="16"/>
          <w:szCs w:val="16"/>
          <w:color w:val="auto"/>
        </w:rPr>
        <w:t>.</w:t>
      </w:r>
    </w:p>
    <w:p>
      <w:pPr>
        <w:spacing w:after="0" w:line="121" w:lineRule="exact"/>
        <w:rPr>
          <w:sz w:val="20"/>
          <w:szCs w:val="20"/>
          <w:color w:val="auto"/>
        </w:rPr>
      </w:pPr>
    </w:p>
    <w:p>
      <w:pPr>
        <w:ind w:left="4" w:right="260" w:firstLine="1428"/>
        <w:spacing w:after="0" w:line="279" w:lineRule="auto"/>
        <w:tabs>
          <w:tab w:leader="none" w:pos="1871" w:val="left"/>
        </w:tabs>
        <w:numPr>
          <w:ilvl w:val="0"/>
          <w:numId w:val="300"/>
        </w:numPr>
        <w:rPr>
          <w:rFonts w:ascii="Arial" w:cs="Arial" w:eastAsia="Arial" w:hAnsi="Arial"/>
          <w:sz w:val="17"/>
          <w:szCs w:val="17"/>
          <w:b w:val="1"/>
          <w:bCs w:val="1"/>
          <w:color w:val="auto"/>
        </w:rPr>
      </w:pPr>
      <w:r>
        <w:rPr>
          <w:rFonts w:ascii="Arial" w:cs="Arial" w:eastAsia="Arial" w:hAnsi="Arial"/>
          <w:sz w:val="17"/>
          <w:szCs w:val="17"/>
          <w:color w:val="auto"/>
        </w:rPr>
        <w:t>In the event of Executive’s death while employed pursuant to this Agreement, all obligations of the parties hereunder shall terminate immediately, and the Company shall, pursuant to the Company’s standard payroll policies, provide to Executive’s legal representatives Executive’s accrued but unpaid salary through the date of death together with all compensation and benefits payable to Executive based on his participation in any compensation or benefit plan, program or arrangement through the date of termination.</w:t>
      </w:r>
    </w:p>
    <w:p>
      <w:pPr>
        <w:spacing w:after="0" w:line="171" w:lineRule="exact"/>
        <w:rPr>
          <w:rFonts w:ascii="Arial" w:cs="Arial" w:eastAsia="Arial" w:hAnsi="Arial"/>
          <w:sz w:val="17"/>
          <w:szCs w:val="17"/>
          <w:b w:val="1"/>
          <w:bCs w:val="1"/>
          <w:color w:val="auto"/>
        </w:rPr>
      </w:pPr>
    </w:p>
    <w:p>
      <w:pPr>
        <w:ind w:left="4" w:right="40" w:firstLine="1428"/>
        <w:spacing w:after="0" w:line="288" w:lineRule="auto"/>
        <w:tabs>
          <w:tab w:leader="none" w:pos="1881" w:val="left"/>
        </w:tabs>
        <w:numPr>
          <w:ilvl w:val="0"/>
          <w:numId w:val="300"/>
        </w:numPr>
        <w:rPr>
          <w:rFonts w:ascii="Arial" w:cs="Arial" w:eastAsia="Arial" w:hAnsi="Arial"/>
          <w:sz w:val="16"/>
          <w:szCs w:val="16"/>
          <w:b w:val="1"/>
          <w:bCs w:val="1"/>
          <w:color w:val="auto"/>
        </w:rPr>
      </w:pPr>
      <w:r>
        <w:rPr>
          <w:rFonts w:ascii="Arial" w:cs="Arial" w:eastAsia="Arial" w:hAnsi="Arial"/>
          <w:sz w:val="16"/>
          <w:szCs w:val="16"/>
          <w:color w:val="auto"/>
        </w:rPr>
        <w:t>Subject to applicable state and federal law, the Company shall at all times have the right, upon written notice to Executive, to terminate this Agreement based on Executive’s Disability (as defined below). Termination by the Company of Executive’s employment based on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shall mean termination because Executive is unable due to a physical or mental condition to perform the essential functions of Executive’s position with or without reasonable accommodation for one hundred twenty (120) consecutive calendar days 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the Severance Benefits, or any other severance compensation or benefit, except that, pursuant to the Company’s standard payroll policies, the Company shall pay to Executive the accrued but unpaid salary of Executive through the date of termination, together with all compensation and benefits payable to Executive based on his participation in any compensation or benefit plan, program or arrangement through the date of termination.</w:t>
      </w:r>
    </w:p>
    <w:p>
      <w:pPr>
        <w:spacing w:after="0" w:line="10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4"/>
          </w:cols>
          <w:pgMar w:left="436" w:top="274" w:right="519" w:bottom="1440" w:gutter="0" w:footer="0" w:header="0"/>
        </w:sectPr>
      </w:pPr>
    </w:p>
    <w:bookmarkStart w:id="401" w:name="page402"/>
    <w:bookmarkEnd w:id="401"/>
    <w:p>
      <w:pPr>
        <w:ind w:left="980"/>
        <w:spacing w:after="0"/>
        <w:tabs>
          <w:tab w:leader="none" w:pos="1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6.5</w:t>
      </w:r>
      <w:r>
        <w:rPr>
          <w:sz w:val="20"/>
          <w:szCs w:val="20"/>
          <w:color w:val="auto"/>
        </w:rPr>
        <w:tab/>
      </w:r>
      <w:r>
        <w:rPr>
          <w:rFonts w:ascii="Arial" w:cs="Arial" w:eastAsia="Arial" w:hAnsi="Arial"/>
          <w:sz w:val="17"/>
          <w:szCs w:val="17"/>
          <w:b w:val="1"/>
          <w:bCs w:val="1"/>
          <w:u w:val="single" w:color="auto"/>
          <w:color w:val="auto"/>
        </w:rPr>
        <w:t>[RESERVED]</w:t>
      </w:r>
    </w:p>
    <w:p>
      <w:pPr>
        <w:spacing w:after="0" w:line="333"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u w:val="single" w:color="auto"/>
          <w:color w:val="auto"/>
        </w:rPr>
        <w:t>Notice; Effective Date of Termination</w:t>
      </w:r>
      <w:r>
        <w:rPr>
          <w:rFonts w:ascii="Arial" w:cs="Arial" w:eastAsia="Arial" w:hAnsi="Arial"/>
          <w:sz w:val="16"/>
          <w:szCs w:val="16"/>
          <w:color w:val="auto"/>
        </w:rPr>
        <w:t>.</w:t>
      </w:r>
    </w:p>
    <w:p>
      <w:pPr>
        <w:spacing w:after="0" w:line="121" w:lineRule="exact"/>
        <w:rPr>
          <w:sz w:val="20"/>
          <w:szCs w:val="20"/>
          <w:color w:val="auto"/>
        </w:rPr>
      </w:pPr>
    </w:p>
    <w:p>
      <w:pPr>
        <w:ind w:left="1860" w:hanging="432"/>
        <w:spacing w:after="0"/>
        <w:tabs>
          <w:tab w:leader="none" w:pos="1860"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Termination of Executive’s employment pursuant to this Agreement shall be effective on the earliest of:</w:t>
      </w:r>
    </w:p>
    <w:p>
      <w:pPr>
        <w:spacing w:after="0" w:line="225" w:lineRule="exact"/>
        <w:rPr>
          <w:rFonts w:ascii="Arial" w:cs="Arial" w:eastAsia="Arial" w:hAnsi="Arial"/>
          <w:sz w:val="18"/>
          <w:szCs w:val="18"/>
          <w:b w:val="1"/>
          <w:bCs w:val="1"/>
          <w:color w:val="auto"/>
        </w:rPr>
      </w:pPr>
    </w:p>
    <w:p>
      <w:pPr>
        <w:ind w:right="140" w:firstLine="1979"/>
        <w:spacing w:after="0" w:line="263" w:lineRule="auto"/>
        <w:tabs>
          <w:tab w:leader="none" w:pos="2377" w:val="left"/>
        </w:tabs>
        <w:numPr>
          <w:ilvl w:val="1"/>
          <w:numId w:val="301"/>
        </w:numPr>
        <w:rPr>
          <w:rFonts w:ascii="Arial" w:cs="Arial" w:eastAsia="Arial" w:hAnsi="Arial"/>
          <w:sz w:val="18"/>
          <w:szCs w:val="18"/>
          <w:b w:val="1"/>
          <w:bCs w:val="1"/>
          <w:color w:val="auto"/>
        </w:rPr>
      </w:pPr>
      <w:r>
        <w:rPr>
          <w:rFonts w:ascii="Arial" w:cs="Arial" w:eastAsia="Arial" w:hAnsi="Arial"/>
          <w:sz w:val="18"/>
          <w:szCs w:val="18"/>
          <w:color w:val="auto"/>
        </w:rPr>
        <w:t>immediately after the Company gives notice to Executive of Executive’s termination, with or without Cause, unless pursuant to Section 6.2(b)(vi) in which case ten (10) days after notice if not cured or unless the Company specifies a later date, in which case, termination shall be effective as of such later date;</w:t>
      </w:r>
    </w:p>
    <w:p>
      <w:pPr>
        <w:spacing w:after="0" w:line="183" w:lineRule="exact"/>
        <w:rPr>
          <w:rFonts w:ascii="Arial" w:cs="Arial" w:eastAsia="Arial" w:hAnsi="Arial"/>
          <w:sz w:val="18"/>
          <w:szCs w:val="18"/>
          <w:b w:val="1"/>
          <w:bCs w:val="1"/>
          <w:color w:val="auto"/>
        </w:rPr>
      </w:pPr>
    </w:p>
    <w:p>
      <w:pPr>
        <w:ind w:left="2420" w:hanging="441"/>
        <w:spacing w:after="0"/>
        <w:tabs>
          <w:tab w:leader="none" w:pos="2420" w:val="left"/>
        </w:tabs>
        <w:numPr>
          <w:ilvl w:val="1"/>
          <w:numId w:val="301"/>
        </w:numPr>
        <w:rPr>
          <w:rFonts w:ascii="Arial" w:cs="Arial" w:eastAsia="Arial" w:hAnsi="Arial"/>
          <w:sz w:val="18"/>
          <w:szCs w:val="18"/>
          <w:b w:val="1"/>
          <w:bCs w:val="1"/>
          <w:color w:val="auto"/>
        </w:rPr>
      </w:pPr>
      <w:r>
        <w:rPr>
          <w:rFonts w:ascii="Arial" w:cs="Arial" w:eastAsia="Arial" w:hAnsi="Arial"/>
          <w:sz w:val="18"/>
          <w:szCs w:val="18"/>
          <w:color w:val="auto"/>
        </w:rPr>
        <w:t>immediately upon Executive’s death;</w:t>
      </w:r>
    </w:p>
    <w:p>
      <w:pPr>
        <w:spacing w:after="0" w:line="225" w:lineRule="exact"/>
        <w:rPr>
          <w:rFonts w:ascii="Arial" w:cs="Arial" w:eastAsia="Arial" w:hAnsi="Arial"/>
          <w:sz w:val="18"/>
          <w:szCs w:val="18"/>
          <w:b w:val="1"/>
          <w:bCs w:val="1"/>
          <w:color w:val="auto"/>
        </w:rPr>
      </w:pPr>
    </w:p>
    <w:p>
      <w:pPr>
        <w:ind w:firstLine="1979"/>
        <w:spacing w:after="0" w:line="263" w:lineRule="auto"/>
        <w:tabs>
          <w:tab w:leader="none" w:pos="2477" w:val="left"/>
        </w:tabs>
        <w:numPr>
          <w:ilvl w:val="1"/>
          <w:numId w:val="301"/>
        </w:numPr>
        <w:rPr>
          <w:rFonts w:ascii="Arial" w:cs="Arial" w:eastAsia="Arial" w:hAnsi="Arial"/>
          <w:sz w:val="18"/>
          <w:szCs w:val="18"/>
          <w:b w:val="1"/>
          <w:bCs w:val="1"/>
          <w:color w:val="auto"/>
        </w:rPr>
      </w:pPr>
      <w:r>
        <w:rPr>
          <w:rFonts w:ascii="Arial" w:cs="Arial" w:eastAsia="Arial" w:hAnsi="Arial"/>
          <w:sz w:val="18"/>
          <w:szCs w:val="18"/>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Executive has not returned to the full time performance of Executive’s duties prior to such date;</w:t>
      </w:r>
    </w:p>
    <w:p>
      <w:pPr>
        <w:spacing w:after="0" w:line="183" w:lineRule="exact"/>
        <w:rPr>
          <w:rFonts w:ascii="Arial" w:cs="Arial" w:eastAsia="Arial" w:hAnsi="Arial"/>
          <w:sz w:val="18"/>
          <w:szCs w:val="18"/>
          <w:b w:val="1"/>
          <w:bCs w:val="1"/>
          <w:color w:val="auto"/>
        </w:rPr>
      </w:pPr>
    </w:p>
    <w:p>
      <w:pPr>
        <w:ind w:right="80" w:firstLine="1979"/>
        <w:spacing w:after="0" w:line="286" w:lineRule="auto"/>
        <w:tabs>
          <w:tab w:leader="none" w:pos="2467" w:val="left"/>
        </w:tabs>
        <w:numPr>
          <w:ilvl w:val="1"/>
          <w:numId w:val="301"/>
        </w:numPr>
        <w:rPr>
          <w:rFonts w:ascii="Arial" w:cs="Arial" w:eastAsia="Arial" w:hAnsi="Arial"/>
          <w:sz w:val="17"/>
          <w:szCs w:val="17"/>
          <w:b w:val="1"/>
          <w:bCs w:val="1"/>
          <w:color w:val="auto"/>
        </w:rPr>
      </w:pPr>
      <w:r>
        <w:rPr>
          <w:rFonts w:ascii="Arial" w:cs="Arial" w:eastAsia="Arial" w:hAnsi="Arial"/>
          <w:sz w:val="17"/>
          <w:szCs w:val="17"/>
          <w:color w:val="auto"/>
        </w:rPr>
        <w:t xml:space="preserve">ten (10) days after Executive gives written notice to the Company of Executive’s resignation,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set a termination date at any time between the date of notice and the date of resignation, in which case Executive’s resignation shall be effective as of such other date. Executive will receive compensation through any required notice period; or</w:t>
      </w:r>
    </w:p>
    <w:p>
      <w:pPr>
        <w:spacing w:after="0" w:line="165" w:lineRule="exact"/>
        <w:rPr>
          <w:sz w:val="20"/>
          <w:szCs w:val="20"/>
          <w:color w:val="auto"/>
        </w:rPr>
      </w:pPr>
    </w:p>
    <w:p>
      <w:pPr>
        <w:ind w:left="2340" w:hanging="441"/>
        <w:spacing w:after="0"/>
        <w:tabs>
          <w:tab w:leader="none" w:pos="2340"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for a termination for Good Reason, immediately upon Executive’s full satisfaction of the requirements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6.1(g).</w:t>
      </w:r>
    </w:p>
    <w:p>
      <w:pPr>
        <w:spacing w:after="0" w:line="211" w:lineRule="exact"/>
        <w:rPr>
          <w:sz w:val="20"/>
          <w:szCs w:val="20"/>
          <w:color w:val="auto"/>
        </w:rPr>
      </w:pPr>
    </w:p>
    <w:p>
      <w:pPr>
        <w:ind w:right="160" w:firstLine="1428"/>
        <w:spacing w:after="0" w:line="259" w:lineRule="auto"/>
        <w:tabs>
          <w:tab w:leader="none" w:pos="1877"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In the event notice of a termination under subsections (a)(i) and (iii) is given orally, at the other party’s request, the party giving notice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w:t>
      </w:r>
    </w:p>
    <w:p>
      <w:pPr>
        <w:spacing w:after="0" w:line="183" w:lineRule="exact"/>
        <w:rPr>
          <w:sz w:val="20"/>
          <w:szCs w:val="20"/>
          <w:color w:val="auto"/>
        </w:rPr>
      </w:pPr>
    </w:p>
    <w:p>
      <w:pPr>
        <w:ind w:right="120" w:firstLine="991"/>
        <w:spacing w:after="0" w:line="256"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Cooperation With Company After Termination of Employment</w:t>
      </w:r>
      <w:r>
        <w:rPr>
          <w:rFonts w:ascii="Arial" w:cs="Arial" w:eastAsia="Arial" w:hAnsi="Arial"/>
          <w:sz w:val="18"/>
          <w:szCs w:val="18"/>
          <w:color w:val="auto"/>
        </w:rPr>
        <w:t>. Following termination of Executive’s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Executive shall fully cooperate with the Company in all matters relating to the winding up of Executive’s pending work including, but not limited to, any litigation in which the Company is involved, and the orderly transfer of any such pending work to such other employees as may be designated by the Company. The Company will reimburse Executive for reasonable out-of-pocket expenses Executive incurs in connection with any such cooperation (excluding forgone wages, salary, or other compensation) and will make reasonable efforts to accommodate Executive’s scheduling needs.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440" w:top="270" w:right="619" w:bottom="1440" w:gutter="0" w:footer="0" w:header="0"/>
        </w:sectPr>
      </w:pPr>
    </w:p>
    <w:bookmarkStart w:id="402" w:name="page403"/>
    <w:bookmarkEnd w:id="402"/>
    <w:p>
      <w:pPr>
        <w:ind w:right="40" w:firstLine="991"/>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6.8 </w:t>
      </w:r>
      <w:r>
        <w:rPr>
          <w:rFonts w:ascii="Arial" w:cs="Arial" w:eastAsia="Arial" w:hAnsi="Arial"/>
          <w:sz w:val="16"/>
          <w:szCs w:val="16"/>
          <w:b w:val="1"/>
          <w:bCs w:val="1"/>
          <w:u w:val="single" w:color="auto"/>
          <w:color w:val="auto"/>
        </w:rPr>
        <w:t>Application of Section 409A</w:t>
      </w:r>
      <w:r>
        <w:rPr>
          <w:rFonts w:ascii="Arial" w:cs="Arial" w:eastAsia="Arial" w:hAnsi="Arial"/>
          <w:sz w:val="16"/>
          <w:szCs w:val="16"/>
          <w:color w:val="auto"/>
        </w:rPr>
        <w:t>. It is intended that all of the benefits and payments under this Agreement satisfy, to the greatest extent</w:t>
      </w:r>
      <w:r>
        <w:rPr>
          <w:rFonts w:ascii="Arial" w:cs="Arial" w:eastAsia="Arial" w:hAnsi="Arial"/>
          <w:sz w:val="16"/>
          <w:szCs w:val="16"/>
          <w:b w:val="1"/>
          <w:bCs w:val="1"/>
          <w:color w:val="auto"/>
        </w:rPr>
        <w:t xml:space="preserve"> </w:t>
      </w:r>
      <w:r>
        <w:rPr>
          <w:rFonts w:ascii="Arial" w:cs="Arial" w:eastAsia="Arial" w:hAnsi="Arial"/>
          <w:sz w:val="16"/>
          <w:szCs w:val="16"/>
          <w:color w:val="auto"/>
        </w:rPr>
        <w:t>possible, the exemptions from the application of Section 409A of the Code provided under Treasury Regulations 1.409A-1(b)(4), 1.409A-1(b)(5) and 1.409A-1(b)(9), and this Agreement will be construed to the greatest extent possible as consistent with those provisions. If not so exempt, this Agreement (and any definitions hereunder) will be construed in a manner that complies with Section 409A of the Code, and incorporates by reference all required definitions and payment terms. For purposes of Section 409A of the Code (including, without limitation, for purposes of Treasury Regulation Section 1.409A-2(b)(2)(iii)), Executive’s right to receive any installment payments under this Agreement (whether severance payments, reimbursements or otherwise) will be treated as a right to receive a series of separate payments and, accordingly, each installment payment hereunder will at all times be considered a separate and distinct payment. Notwithstanding any provision to the contrary in this Agreement, if Executive is deemed by the Company at the time of his Separation from Service to be a “specified employee” for purposes of Section 409A(a)(2)(B)(i) of the Code, and if any of the payments upon Separation from Service set forth herein and/or under any other agreement with the Company are deemed to be “deferred compensation”, then if delayed commencement of any portion of such payments is required to avoid a prohibited distribution under Section 409A(a)(2) (B)(i) of the Code and the related adverse taxation under Section 409A of the Code, the timing of the payments upon a Separation from Service will be delayed as follows: on the earlier to occur of (i) the date that is six months and one day after the effective date of Executive’s Separation from Service, and (ii) the date of Executive’s death (such earlier date, the “</w:t>
      </w:r>
      <w:r>
        <w:rPr>
          <w:rFonts w:ascii="Arial" w:cs="Arial" w:eastAsia="Arial" w:hAnsi="Arial"/>
          <w:sz w:val="16"/>
          <w:szCs w:val="16"/>
          <w:b w:val="1"/>
          <w:bCs w:val="1"/>
          <w:i w:val="1"/>
          <w:iCs w:val="1"/>
          <w:color w:val="auto"/>
        </w:rPr>
        <w:t>Delayed Initial Payment Date</w:t>
      </w:r>
      <w:r>
        <w:rPr>
          <w:rFonts w:ascii="Arial" w:cs="Arial" w:eastAsia="Arial" w:hAnsi="Arial"/>
          <w:sz w:val="16"/>
          <w:szCs w:val="16"/>
          <w:color w:val="auto"/>
        </w:rPr>
        <w:t>”), the Company will (A) pay to Executive a lump sum amount equal to the sum of the payments upon Separation from Service that Executive would otherwise have received through the Delayed Initial Payment Date if the commencement of the payments had not been delayed pursuant to this paragraph, and (B) commence paying the balance of the payments in accordance with the applicable payment schedules set forth above. No interest will be due on any amounts so deferred.</w:t>
      </w:r>
    </w:p>
    <w:p>
      <w:pPr>
        <w:spacing w:after="0" w:line="282" w:lineRule="exact"/>
        <w:rPr>
          <w:sz w:val="20"/>
          <w:szCs w:val="20"/>
          <w:color w:val="auto"/>
        </w:rPr>
      </w:pPr>
    </w:p>
    <w:p>
      <w:pPr>
        <w:ind w:left="800" w:hanging="364"/>
        <w:spacing w:after="0"/>
        <w:tabs>
          <w:tab w:leader="none" w:pos="80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color w:val="auto"/>
        </w:rPr>
        <w:t>.</w:t>
      </w:r>
    </w:p>
    <w:p>
      <w:pPr>
        <w:spacing w:after="0" w:line="117"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notices required hereunder to be in writing shall be deemed effectively given: (a) upon personal delivery to the party to</w:t>
      </w:r>
      <w:r>
        <w:rPr>
          <w:rFonts w:ascii="Arial" w:cs="Arial" w:eastAsia="Arial" w:hAnsi="Arial"/>
          <w:sz w:val="17"/>
          <w:szCs w:val="17"/>
          <w:b w:val="1"/>
          <w:bCs w:val="1"/>
          <w:color w:val="auto"/>
        </w:rPr>
        <w:t xml:space="preserve"> </w:t>
      </w:r>
      <w:r>
        <w:rPr>
          <w:rFonts w:ascii="Arial" w:cs="Arial" w:eastAsia="Arial" w:hAnsi="Arial"/>
          <w:sz w:val="17"/>
          <w:szCs w:val="17"/>
          <w:color w:val="auto"/>
        </w:rPr>
        <w:t>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Executive’s address as listed on the Company payroll or to Executive’s Company-issued email address or Executive’s email address as listed in Company records, or at such other address as the Company or Executive may designate by ten (10) days advance written notice to the other.</w:t>
      </w:r>
    </w:p>
    <w:p>
      <w:pPr>
        <w:spacing w:after="0" w:line="172" w:lineRule="exact"/>
        <w:rPr>
          <w:sz w:val="20"/>
          <w:szCs w:val="20"/>
          <w:color w:val="auto"/>
        </w:rPr>
      </w:pPr>
    </w:p>
    <w:p>
      <w:pPr>
        <w:ind w:firstLine="991"/>
        <w:spacing w:after="0" w:line="303"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Whenever possible, each provision of this Agreement will be interpreted in such manner as to be effective and valid</w:t>
      </w:r>
      <w:r>
        <w:rPr>
          <w:rFonts w:ascii="Arial" w:cs="Arial" w:eastAsia="Arial" w:hAnsi="Arial"/>
          <w:sz w:val="16"/>
          <w:szCs w:val="16"/>
          <w:b w:val="1"/>
          <w:bCs w:val="1"/>
          <w:color w:val="auto"/>
        </w:rPr>
        <w:t xml:space="preserve"> </w:t>
      </w:r>
      <w:r>
        <w:rPr>
          <w:rFonts w:ascii="Arial" w:cs="Arial" w:eastAsia="Arial" w:hAnsi="Arial"/>
          <w:sz w:val="16"/>
          <w:szCs w:val="16"/>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403" w:name="page404"/>
    <w:bookmarkEnd w:id="403"/>
    <w:p>
      <w:pPr>
        <w:jc w:val="both"/>
        <w:ind w:right="140" w:firstLine="991"/>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7.3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Provisions of this Agreement which by their terms must survive the termination of this Agreement in order to effectuate</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intent of the parties will survive any such termination, whether by expiration of the term, termination of Executive’s employment, or otherwise, for such period as may be appropriate under the circumstances.</w:t>
      </w:r>
    </w:p>
    <w:p>
      <w:pPr>
        <w:spacing w:after="0" w:line="176" w:lineRule="exact"/>
        <w:rPr>
          <w:sz w:val="20"/>
          <w:szCs w:val="20"/>
          <w:color w:val="auto"/>
        </w:rPr>
      </w:pPr>
    </w:p>
    <w:p>
      <w:pPr>
        <w:ind w:right="40" w:firstLine="991"/>
        <w:spacing w:after="0" w:line="282"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If either party should waive any breach of any provisions of this Agreement, it shall not thereby be deemed to have waived</w:t>
      </w:r>
      <w:r>
        <w:rPr>
          <w:rFonts w:ascii="Arial" w:cs="Arial" w:eastAsia="Arial" w:hAnsi="Arial"/>
          <w:sz w:val="18"/>
          <w:szCs w:val="18"/>
          <w:b w:val="1"/>
          <w:bCs w:val="1"/>
          <w:color w:val="auto"/>
        </w:rPr>
        <w:t xml:space="preserve"> </w:t>
      </w:r>
      <w:r>
        <w:rPr>
          <w:rFonts w:ascii="Arial" w:cs="Arial" w:eastAsia="Arial" w:hAnsi="Arial"/>
          <w:sz w:val="18"/>
          <w:szCs w:val="18"/>
          <w:color w:val="auto"/>
        </w:rPr>
        <w:t>any preceding or succeeding breach of the same or any other provision of this Agreement.</w:t>
      </w:r>
    </w:p>
    <w:p>
      <w:pPr>
        <w:spacing w:after="0" w:line="162" w:lineRule="exact"/>
        <w:rPr>
          <w:sz w:val="20"/>
          <w:szCs w:val="20"/>
          <w:color w:val="auto"/>
        </w:rPr>
      </w:pPr>
    </w:p>
    <w:p>
      <w:pPr>
        <w:ind w:right="160" w:firstLine="991"/>
        <w:spacing w:after="0" w:line="291" w:lineRule="auto"/>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b w:val="1"/>
          <w:bCs w:val="1"/>
          <w:u w:val="single" w:color="auto"/>
          <w:color w:val="auto"/>
        </w:rPr>
        <w:t>Complete Agreement</w:t>
      </w:r>
      <w:r>
        <w:rPr>
          <w:rFonts w:ascii="Arial" w:cs="Arial" w:eastAsia="Arial" w:hAnsi="Arial"/>
          <w:sz w:val="16"/>
          <w:szCs w:val="16"/>
          <w:color w:val="auto"/>
        </w:rPr>
        <w:t>. This Agreement constitutes the entire agreement between Executive and the Company with regard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 hereof. This Agreement is the complete, final, and exclusive embodiment of their agreement with regard to this subject matter and supersedes any prior oral discussions or written communications and agreements.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Confidential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59" w:lineRule="exact"/>
        <w:rPr>
          <w:sz w:val="20"/>
          <w:szCs w:val="20"/>
          <w:color w:val="auto"/>
        </w:rPr>
      </w:pPr>
    </w:p>
    <w:p>
      <w:pPr>
        <w:ind w:right="280" w:firstLine="991"/>
        <w:spacing w:after="0" w:line="282"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separate counterparts, any one of which need not contain signatures of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one party, but all of which taken together will constitute one and the same Agreement.</w:t>
      </w:r>
    </w:p>
    <w:p>
      <w:pPr>
        <w:spacing w:after="0" w:line="162"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the sections hereof are inserted for convenience only and shall not be deemed to constitute a part hereof</w:t>
      </w:r>
      <w:r>
        <w:rPr>
          <w:rFonts w:ascii="Arial" w:cs="Arial" w:eastAsia="Arial" w:hAnsi="Arial"/>
          <w:sz w:val="18"/>
          <w:szCs w:val="18"/>
          <w:b w:val="1"/>
          <w:bCs w:val="1"/>
          <w:color w:val="auto"/>
        </w:rPr>
        <w:t xml:space="preserve"> </w:t>
      </w:r>
      <w:r>
        <w:rPr>
          <w:rFonts w:ascii="Arial" w:cs="Arial" w:eastAsia="Arial" w:hAnsi="Arial"/>
          <w:sz w:val="18"/>
          <w:szCs w:val="18"/>
          <w:color w:val="auto"/>
        </w:rPr>
        <w:t>nor to affect the meaning thereof.</w:t>
      </w:r>
    </w:p>
    <w:p>
      <w:pPr>
        <w:spacing w:after="0" w:line="162" w:lineRule="exact"/>
        <w:rPr>
          <w:sz w:val="20"/>
          <w:szCs w:val="20"/>
          <w:color w:val="auto"/>
        </w:rPr>
      </w:pPr>
    </w:p>
    <w:p>
      <w:pPr>
        <w:ind w:right="60" w:firstLine="991"/>
        <w:spacing w:after="0" w:line="256" w:lineRule="auto"/>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Company shall assign this Agreement and its rights and obligations hereunder in whole, but not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w:t>
      </w:r>
    </w:p>
    <w:p>
      <w:pPr>
        <w:spacing w:after="0" w:line="187"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b w:val="1"/>
          <w:bCs w:val="1"/>
          <w:color w:val="auto"/>
        </w:rPr>
        <w:t xml:space="preserve">7.9 </w:t>
      </w: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All questions concerning the construction, validity and interpretation of this Agreement will be governed by the law</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Commonwealth of Virginia.</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404" w:name="page405"/>
    <w:bookmarkEnd w:id="404"/>
    <w:p>
      <w:pPr>
        <w:ind w:firstLine="991"/>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7.10 </w:t>
      </w:r>
      <w:r>
        <w:rPr>
          <w:rFonts w:ascii="Arial" w:cs="Arial" w:eastAsia="Arial" w:hAnsi="Arial"/>
          <w:sz w:val="16"/>
          <w:szCs w:val="16"/>
          <w:b w:val="1"/>
          <w:bCs w:val="1"/>
          <w:u w:val="single" w:color="auto"/>
          <w:color w:val="auto"/>
        </w:rPr>
        <w:t>Resolution of Disputes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recognize that litigation in federal or state courts or before federal or state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agencies of disputes arising out of Executive’s employment with the Company or out of this Agreement, or Executive’s termination of employment or termination of this Agreement, may not be in the best interests of either Executive or the Company, and may result in unnecessary costs, delays, complexities, and uncertainty. The parties agree that any dispute between the parties arising out of or relating to the negotiation, execution, performance or termination of this Agreement or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Employment Arbitration Rules and Mediation Procedures of the American Arbitration Association;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Charlottesville, Virginia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at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Arial" w:cs="Arial" w:eastAsia="Arial" w:hAnsi="Arial"/>
          <w:sz w:val="16"/>
          <w:szCs w:val="16"/>
          <w:b w:val="1"/>
          <w:bCs w:val="1"/>
          <w:color w:val="auto"/>
        </w:rPr>
        <w:t>exclusive remedy</w:t>
      </w:r>
      <w:r>
        <w:rPr>
          <w:rFonts w:ascii="Arial" w:cs="Arial" w:eastAsia="Arial" w:hAnsi="Arial"/>
          <w:sz w:val="16"/>
          <w:szCs w:val="16"/>
          <w:color w:val="auto"/>
        </w:rPr>
        <w:t xml:space="preserve">, and each party expressly waives any right it might have to seek redress in any other forum, except as otherwise expressly provided in this Agreement. By election arbitration as the means for final settlement of all claims,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r>
        <w:rPr>
          <w:rFonts w:ascii="Arial" w:cs="Arial" w:eastAsia="Arial" w:hAnsi="Arial"/>
          <w:sz w:val="16"/>
          <w:szCs w:val="16"/>
          <w:color w:val="auto"/>
        </w:rPr>
        <w: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405" w:name="page406"/>
    <w:bookmarkEnd w:id="405"/>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executed this Employment Agreement on the day and year written below effective as of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(as defined herein).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Acumen 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Sean Stalfort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Sean Stalfort, Chairman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Daniel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Daniel O’Connell</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January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780"/>
          </w:cols>
          <w:pgMar w:left="440" w:top="270" w:right="679"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is entered into effective </w:t>
      </w:r>
      <w:r>
        <w:rPr>
          <w:rFonts w:ascii="Arial" w:cs="Arial" w:eastAsia="Arial" w:hAnsi="Arial"/>
          <w:sz w:val="18"/>
          <w:szCs w:val="18"/>
          <w:b w:val="1"/>
          <w:bCs w:val="1"/>
          <w:color w:val="auto"/>
        </w:rPr>
        <w:t>January 1, 2021</w:t>
      </w:r>
      <w:r>
        <w:rPr>
          <w:rFonts w:ascii="Arial" w:cs="Arial" w:eastAsia="Arial" w:hAnsi="Arial"/>
          <w:sz w:val="18"/>
          <w:szCs w:val="18"/>
          <w:color w:val="auto"/>
        </w:rPr>
        <w:t xml:space="preserve">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i w:val="1"/>
          <w:iCs w:val="1"/>
          <w:color w:val="auto"/>
        </w:rPr>
        <w:t>”</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Eric</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Siemers, MD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Executive</w:t>
      </w:r>
      <w:r>
        <w:rPr>
          <w:rFonts w:ascii="Arial" w:cs="Arial" w:eastAsia="Arial" w:hAnsi="Arial"/>
          <w:sz w:val="18"/>
          <w:szCs w:val="18"/>
          <w:i w:val="1"/>
          <w:iCs w:val="1"/>
          <w:color w:val="auto"/>
        </w:rPr>
        <w:t>”</w:t>
      </w:r>
      <w:r>
        <w:rPr>
          <w:rFonts w:ascii="Arial" w:cs="Arial" w:eastAsia="Arial" w:hAnsi="Arial"/>
          <w:sz w:val="18"/>
          <w:szCs w:val="18"/>
          <w:color w:val="auto"/>
        </w:rPr>
        <w:t>) and</w:t>
      </w:r>
      <w:r>
        <w:rPr>
          <w:rFonts w:ascii="Arial" w:cs="Arial" w:eastAsia="Arial" w:hAnsi="Arial"/>
          <w:sz w:val="18"/>
          <w:szCs w:val="18"/>
          <w:b w:val="1"/>
          <w:bCs w:val="1"/>
          <w:color w:val="auto"/>
        </w:rPr>
        <w:t xml:space="preserve"> Acumen Pharmaceuticals, Inc.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w:t>
      </w:r>
      <w:r>
        <w:rPr>
          <w:rFonts w:ascii="Arial" w:cs="Arial" w:eastAsia="Arial" w:hAnsi="Arial"/>
          <w:sz w:val="18"/>
          <w:szCs w:val="18"/>
          <w:color w:val="auto"/>
        </w:rPr>
        <w:t>) and supersedes and replaces any prior consulting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letter between the Parties and any of their affiliates.</w:t>
      </w:r>
    </w:p>
    <w:p>
      <w:pPr>
        <w:spacing w:after="0" w:line="18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WHEREAS, the Company desires to employ Executive and, in connection therewith, to compensate Executive for Executive’s personal services to the Company; and</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WHEREAS, Executive wishes to be employed by the Company and provide personal services and certain covenants to the Company in return for certain compensation and benefits.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in consideration of the mutual promises and covenants contained herein, the parties agree to the following:</w:t>
      </w:r>
    </w:p>
    <w:p>
      <w:pPr>
        <w:spacing w:after="0" w:line="221" w:lineRule="exact"/>
        <w:rPr>
          <w:sz w:val="20"/>
          <w:szCs w:val="20"/>
          <w:color w:val="auto"/>
        </w:rPr>
      </w:pPr>
    </w:p>
    <w:p>
      <w:pPr>
        <w:ind w:left="760" w:hanging="324"/>
        <w:spacing w:after="0"/>
        <w:tabs>
          <w:tab w:leader="none" w:pos="7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 BY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225" w:lineRule="exact"/>
        <w:rPr>
          <w:sz w:val="20"/>
          <w:szCs w:val="20"/>
          <w:color w:val="auto"/>
        </w:rPr>
      </w:pPr>
    </w:p>
    <w:p>
      <w:pPr>
        <w:ind w:right="60" w:firstLine="991"/>
        <w:spacing w:after="0" w:line="289"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b w:val="1"/>
          <w:bCs w:val="1"/>
          <w:u w:val="single" w:color="auto"/>
          <w:color w:val="auto"/>
        </w:rPr>
        <w:t>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set forth herein, the Company agrees to employ Executive, in the position of</w:t>
      </w:r>
      <w:r>
        <w:rPr>
          <w:rFonts w:ascii="Arial" w:cs="Arial" w:eastAsia="Arial" w:hAnsi="Arial"/>
          <w:sz w:val="17"/>
          <w:szCs w:val="17"/>
          <w:b w:val="1"/>
          <w:bCs w:val="1"/>
          <w:color w:val="auto"/>
        </w:rPr>
        <w:t xml:space="preserve"> Chief Medical Officer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Executive hereby accepts such employment. During the term of Executive’s employment with the Company, Executive will devote Executive’s best efforts and substantially all (at least eighty-percent) of his business time and attention to the business of the Company.</w:t>
      </w:r>
    </w:p>
    <w:p>
      <w:pPr>
        <w:spacing w:after="0" w:line="158"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Duties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initially report to the Chief Executive Officer (the “</w:t>
      </w:r>
      <w:r>
        <w:rPr>
          <w:rFonts w:ascii="Arial" w:cs="Arial" w:eastAsia="Arial" w:hAnsi="Arial"/>
          <w:sz w:val="18"/>
          <w:szCs w:val="18"/>
          <w:b w:val="1"/>
          <w:bCs w:val="1"/>
          <w:color w:val="auto"/>
        </w:rPr>
        <w:t>CEO</w:t>
      </w:r>
      <w:r>
        <w:rPr>
          <w:rFonts w:ascii="Arial" w:cs="Arial" w:eastAsia="Arial" w:hAnsi="Arial"/>
          <w:sz w:val="18"/>
          <w:szCs w:val="18"/>
          <w:color w:val="auto"/>
        </w:rPr>
        <w:t>”) of the Company. Executive shall perform his</w:t>
      </w:r>
      <w:r>
        <w:rPr>
          <w:rFonts w:ascii="Arial" w:cs="Arial" w:eastAsia="Arial" w:hAnsi="Arial"/>
          <w:sz w:val="18"/>
          <w:szCs w:val="18"/>
          <w:b w:val="1"/>
          <w:bCs w:val="1"/>
          <w:color w:val="auto"/>
        </w:rPr>
        <w:t xml:space="preserve"> </w:t>
      </w:r>
      <w:r>
        <w:rPr>
          <w:rFonts w:ascii="Arial" w:cs="Arial" w:eastAsia="Arial" w:hAnsi="Arial"/>
          <w:sz w:val="18"/>
          <w:szCs w:val="18"/>
          <w:color w:val="auto"/>
        </w:rPr>
        <w:t>duties under this Agreement initially principally out of his personal residence and the Company’s corporate offices in Carmel, IN or such other location as assigned by the Company. In addition, Executive shall make business trips to such places as may be necessary or advisable for the efficient operations of the Company.</w:t>
      </w:r>
    </w:p>
    <w:p>
      <w:pPr>
        <w:spacing w:after="0" w:line="180"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b w:val="1"/>
          <w:bCs w:val="1"/>
          <w:color w:val="auto"/>
        </w:rPr>
        <w:t xml:space="preserve">1.3 </w:t>
      </w:r>
      <w:r>
        <w:rPr>
          <w:rFonts w:ascii="Arial" w:cs="Arial" w:eastAsia="Arial" w:hAnsi="Arial"/>
          <w:sz w:val="17"/>
          <w:szCs w:val="17"/>
          <w:b w:val="1"/>
          <w:bCs w:val="1"/>
          <w:u w:val="single" w:color="auto"/>
          <w:color w:val="auto"/>
        </w:rPr>
        <w:t>Company Policies and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employment relationship between the parties shall also be subject to the Company’s personnel</w:t>
      </w:r>
      <w:r>
        <w:rPr>
          <w:rFonts w:ascii="Arial" w:cs="Arial" w:eastAsia="Arial" w:hAnsi="Arial"/>
          <w:sz w:val="17"/>
          <w:szCs w:val="17"/>
          <w:b w:val="1"/>
          <w:bCs w:val="1"/>
          <w:color w:val="auto"/>
        </w:rPr>
        <w:t xml:space="preserve"> </w:t>
      </w:r>
      <w:r>
        <w:rPr>
          <w:rFonts w:ascii="Arial" w:cs="Arial" w:eastAsia="Arial" w:hAnsi="Arial"/>
          <w:sz w:val="17"/>
          <w:szCs w:val="17"/>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the such plan. The Executive shall be entitled to paid vacation in accordance with the plans, policies, programs and practices of the Company applicable to its senior executives in effect from time to time, but in no event shall the Executive be entitled to less than four (4) weeks of vacation per calendar year (pro-rated for any partial year of service).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ectPr>
          <w:pgSz w:w="11900" w:h="16838" w:orient="portrait"/>
          <w:cols w:equalWidth="0" w:num="1">
            <w:col w:w="11020"/>
          </w:cols>
          <w:pgMar w:left="440" w:top="121" w:right="439" w:bottom="1440" w:gutter="0" w:footer="0" w:header="0"/>
        </w:sectPr>
      </w:pPr>
    </w:p>
    <w:bookmarkStart w:id="407" w:name="page408"/>
    <w:bookmarkEnd w:id="407"/>
    <w:p>
      <w:pPr>
        <w:ind w:left="760" w:hanging="324"/>
        <w:spacing w:after="0"/>
        <w:tabs>
          <w:tab w:leader="none" w:pos="7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4"/>
          <w:szCs w:val="14"/>
          <w:b w:val="1"/>
          <w:bCs w:val="1"/>
          <w:u w:val="single" w:color="auto"/>
          <w:color w:val="auto"/>
        </w:rPr>
        <w:t>OMPENSATION</w:t>
      </w:r>
      <w:r>
        <w:rPr>
          <w:rFonts w:ascii="Arial" w:cs="Arial" w:eastAsia="Arial" w:hAnsi="Arial"/>
          <w:sz w:val="18"/>
          <w:szCs w:val="18"/>
          <w:b w:val="1"/>
          <w:bCs w:val="1"/>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Salary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receive for services to be rendered hereunder an initial base salary of $ 332,000.00 on annualized basis,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review and adjustment from time to time by the Company, and payable subject to standard federal and state payroll withholding requirements in accordance with the Company’s standard payroll practices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w:t>
      </w:r>
    </w:p>
    <w:p>
      <w:pPr>
        <w:spacing w:after="0" w:line="176"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u w:val="single" w:color="auto"/>
          <w:color w:val="auto"/>
        </w:rPr>
        <w:t>Annual Discretionary Bonus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shall be eligible for a discretionary annual calendar year performance bonus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Annual</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Bonus</w:t>
      </w:r>
      <w:r>
        <w:rPr>
          <w:rFonts w:ascii="Arial" w:cs="Arial" w:eastAsia="Arial" w:hAnsi="Arial"/>
          <w:sz w:val="16"/>
          <w:szCs w:val="16"/>
          <w:i w:val="1"/>
          <w:iCs w:val="1"/>
          <w:color w:val="auto"/>
        </w:rPr>
        <w:t>”</w:t>
      </w:r>
      <w:r>
        <w:rPr>
          <w:rFonts w:ascii="Arial" w:cs="Arial" w:eastAsia="Arial" w:hAnsi="Arial"/>
          <w:sz w:val="16"/>
          <w:szCs w:val="16"/>
          <w:color w:val="auto"/>
        </w:rPr>
        <w:t>) with an annual target of forty percent (40%) of Executive’s then-current Base Salary (the “</w:t>
      </w:r>
      <w:r>
        <w:rPr>
          <w:rFonts w:ascii="Arial" w:cs="Arial" w:eastAsia="Arial" w:hAnsi="Arial"/>
          <w:sz w:val="16"/>
          <w:szCs w:val="16"/>
          <w:b w:val="1"/>
          <w:bCs w:val="1"/>
          <w:i w:val="1"/>
          <w:iCs w:val="1"/>
          <w:color w:val="auto"/>
        </w:rPr>
        <w:t>Target Amount</w:t>
      </w:r>
      <w:r>
        <w:rPr>
          <w:rFonts w:ascii="Arial" w:cs="Arial" w:eastAsia="Arial" w:hAnsi="Arial"/>
          <w:sz w:val="16"/>
          <w:szCs w:val="16"/>
          <w:color w:val="auto"/>
        </w:rPr>
        <w:t>”). Whether or not Executive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eligible for any Annual Bonus will be dependent upon the actual achievement by Executive and the Company of the applicable individual and corporate performance goals, as determined by the Board. No amount of any Annual Bonus is guaranteed at any time and may be greater or lesser than the Target Amount and may be zero. Any Annual Bonus, if awarded, will be paid in a single installment paid at the same time annual bonuses are generally paid to other similarly-situated employees of the Company and in any event no later than March 1st of the calendar year following the calendar year to which the Annual Bonus is applicable, and will be subject to deductions and withholdings. Executive’s eligibility for an Annual Bonus and the Target Amount, if any, is subject to change in the discretion of the Board (or any authorized committee thereof).</w:t>
      </w:r>
    </w:p>
    <w:p>
      <w:pPr>
        <w:spacing w:after="0" w:line="159"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Expense Reimbursement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reimburse Executive for reasonable business expenses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standard expense reimbursement policy, as the same may be modified by the Board from time to time. The Company shall reimburse Executive for all customary and appropriate business-related expenses actually incurred and documented in accordance with Company policy, as in effect from time to time. For the avoidance of doubt, to the extent that any reimbursements payable to Executive are subject to the provisions of Section 409A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92" w:lineRule="exact"/>
        <w:rPr>
          <w:sz w:val="20"/>
          <w:szCs w:val="20"/>
          <w:color w:val="auto"/>
        </w:rPr>
      </w:pPr>
    </w:p>
    <w:p>
      <w:pPr>
        <w:ind w:right="20" w:firstLine="991"/>
        <w:spacing w:after="0" w:line="277"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u w:val="single" w:color="auto"/>
          <w:color w:val="auto"/>
        </w:rPr>
        <w:t>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approval by the Board, the Company anticipates granting to Executive an option to purchase 463,374</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the Company’s common stock at the fair market value as determined by the Board as of the date of grant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The anticipated Option will be governed by the terms and conditions of the Company’s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the option grant agreement, and will vest 25% on the one-year anniversary of the date of grant, and thereafter over the ensuing 3 years in a series of thirty-six (36) successive equal monthly installments, subject to your Continuous Service (as defined in the Plan) as of each such date.</w:t>
      </w:r>
    </w:p>
    <w:p>
      <w:pPr>
        <w:spacing w:after="0" w:line="168" w:lineRule="exact"/>
        <w:rPr>
          <w:sz w:val="20"/>
          <w:szCs w:val="20"/>
          <w:color w:val="auto"/>
        </w:rPr>
      </w:pPr>
    </w:p>
    <w:p>
      <w:pPr>
        <w:ind w:left="760" w:hanging="324"/>
        <w:spacing w:after="0"/>
        <w:tabs>
          <w:tab w:leader="none" w:pos="7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ONFIDENTIAL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NFORMATION</w:t>
      </w:r>
      <w:r>
        <w:rPr>
          <w:rFonts w:ascii="Arial" w:cs="Arial" w:eastAsia="Arial" w:hAnsi="Arial"/>
          <w:sz w:val="18"/>
          <w:szCs w:val="18"/>
          <w:b w:val="1"/>
          <w:bCs w:val="1"/>
          <w:u w:val="single" w:color="auto"/>
          <w:color w:val="auto"/>
        </w:rPr>
        <w:t>, I</w:t>
      </w:r>
      <w:r>
        <w:rPr>
          <w:rFonts w:ascii="Arial" w:cs="Arial" w:eastAsia="Arial" w:hAnsi="Arial"/>
          <w:sz w:val="14"/>
          <w:szCs w:val="14"/>
          <w:b w:val="1"/>
          <w:bCs w:val="1"/>
          <w:u w:val="single" w:color="auto"/>
          <w:color w:val="auto"/>
        </w:rPr>
        <w:t>NVENTIONS</w:t>
      </w:r>
      <w:r>
        <w:rPr>
          <w:rFonts w:ascii="Arial" w:cs="Arial" w:eastAsia="Arial" w:hAnsi="Arial"/>
          <w:sz w:val="18"/>
          <w:szCs w:val="18"/>
          <w:b w:val="1"/>
          <w:bCs w:val="1"/>
          <w:u w:val="single" w:color="auto"/>
          <w:color w:val="auto"/>
        </w:rPr>
        <w:t>, N</w:t>
      </w:r>
      <w:r>
        <w:rPr>
          <w:rFonts w:ascii="Arial" w:cs="Arial" w:eastAsia="Arial" w:hAnsi="Arial"/>
          <w:sz w:val="14"/>
          <w:szCs w:val="14"/>
          <w:b w:val="1"/>
          <w:bCs w:val="1"/>
          <w:u w:val="single" w:color="auto"/>
          <w:color w:val="auto"/>
        </w:rPr>
        <w:t>ON</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OMPETITION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ON</w:t>
      </w:r>
      <w:r>
        <w:rPr>
          <w:rFonts w:ascii="Arial" w:cs="Arial" w:eastAsia="Arial" w:hAnsi="Arial"/>
          <w:sz w:val="18"/>
          <w:szCs w:val="18"/>
          <w:b w:val="1"/>
          <w:bCs w:val="1"/>
          <w:u w:val="single" w:color="auto"/>
          <w:color w:val="auto"/>
        </w:rPr>
        <w:t>- S</w:t>
      </w:r>
      <w:r>
        <w:rPr>
          <w:rFonts w:ascii="Arial" w:cs="Arial" w:eastAsia="Arial" w:hAnsi="Arial"/>
          <w:sz w:val="14"/>
          <w:szCs w:val="14"/>
          <w:b w:val="1"/>
          <w:bCs w:val="1"/>
          <w:u w:val="single" w:color="auto"/>
          <w:color w:val="auto"/>
        </w:rPr>
        <w:t>OLICITATION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a condition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employment, Executive agrees to execute and abide by the Employee Confidential Information, Inventions, Non-Solicitation and Non-</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408" w:name="page409"/>
    <w:bookmarkEnd w:id="40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Competition Agreement, attached as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which may be amended by the parties from time to time without regard to this Agreement (the</w:t>
      </w:r>
    </w:p>
    <w:p>
      <w:pPr>
        <w:spacing w:after="0" w:line="39"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Confidential Information Agreement</w:t>
      </w:r>
      <w:r>
        <w:rPr>
          <w:rFonts w:ascii="Arial" w:cs="Arial" w:eastAsia="Arial" w:hAnsi="Arial"/>
          <w:sz w:val="18"/>
          <w:szCs w:val="18"/>
          <w:i w:val="1"/>
          <w:iCs w:val="1"/>
          <w:color w:val="auto"/>
        </w:rPr>
        <w:t>”</w:t>
      </w:r>
      <w:r>
        <w:rPr>
          <w:rFonts w:ascii="Arial" w:cs="Arial" w:eastAsia="Arial" w:hAnsi="Arial"/>
          <w:sz w:val="18"/>
          <w:szCs w:val="18"/>
          <w:color w:val="auto"/>
        </w:rPr>
        <w:t>). The Confidential Information Agreement contains provisions that are intended by the parties to survive and</w:t>
      </w:r>
      <w:r>
        <w:rPr>
          <w:rFonts w:ascii="Arial" w:cs="Arial" w:eastAsia="Arial" w:hAnsi="Arial"/>
          <w:sz w:val="18"/>
          <w:szCs w:val="18"/>
          <w:i w:val="1"/>
          <w:iCs w:val="1"/>
          <w:color w:val="auto"/>
        </w:rPr>
        <w:t xml:space="preserve"> </w:t>
      </w:r>
      <w:r>
        <w:rPr>
          <w:rFonts w:ascii="Arial" w:cs="Arial" w:eastAsia="Arial" w:hAnsi="Arial"/>
          <w:sz w:val="18"/>
          <w:szCs w:val="18"/>
          <w:color w:val="auto"/>
        </w:rPr>
        <w:t>do survive termination of this Agreement.</w:t>
      </w:r>
    </w:p>
    <w:p>
      <w:pPr>
        <w:spacing w:after="0" w:line="181" w:lineRule="exact"/>
        <w:rPr>
          <w:sz w:val="20"/>
          <w:szCs w:val="20"/>
          <w:color w:val="auto"/>
        </w:rPr>
      </w:pPr>
    </w:p>
    <w:p>
      <w:pPr>
        <w:ind w:right="100" w:firstLine="436"/>
        <w:spacing w:after="0" w:line="285" w:lineRule="auto"/>
        <w:tabs>
          <w:tab w:leader="none" w:pos="755" w:val="left"/>
        </w:tabs>
        <w:numPr>
          <w:ilvl w:val="0"/>
          <w:numId w:val="308"/>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UTSIDE</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CTIVITIES</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URING</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MPLOYMENT</w:t>
      </w:r>
      <w:r>
        <w:rPr>
          <w:rFonts w:ascii="Arial" w:cs="Arial" w:eastAsia="Arial" w:hAnsi="Arial"/>
          <w:sz w:val="16"/>
          <w:szCs w:val="16"/>
          <w:color w:val="auto"/>
        </w:rPr>
        <w:t>. Except with the prior written consent of the Company, Executive will not, while employed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 (iii) such other activities as may be specifically approved in writing by the Company. [</w:t>
      </w:r>
      <w:r>
        <w:rPr>
          <w:rFonts w:ascii="Arial" w:cs="Arial" w:eastAsia="Arial" w:hAnsi="Arial"/>
          <w:sz w:val="16"/>
          <w:szCs w:val="16"/>
          <w:b w:val="1"/>
          <w:bCs w:val="1"/>
          <w:i w:val="1"/>
          <w:iCs w:val="1"/>
          <w:color w:val="auto"/>
        </w:rPr>
        <w:t>Company hereby acknowledges and consents to Executive’s existing positions at other companies including but not limited to Cogstate Ltd. and</w:t>
      </w:r>
    </w:p>
    <w:p>
      <w:pPr>
        <w:spacing w:after="0" w:line="3" w:lineRule="exact"/>
        <w:rPr>
          <w:rFonts w:ascii="Arial" w:cs="Arial" w:eastAsia="Arial" w:hAnsi="Arial"/>
          <w:sz w:val="16"/>
          <w:szCs w:val="16"/>
          <w:b w:val="1"/>
          <w:bCs w:val="1"/>
          <w:color w:val="auto"/>
        </w:rPr>
      </w:pPr>
    </w:p>
    <w:p>
      <w:pPr>
        <w:ind w:right="840"/>
        <w:spacing w:after="0" w:line="260" w:lineRule="auto"/>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Vaccinex Inc. Executive agrees that these outside activities will be adjusted as quickly as possible in order to comply with the terms of this Agreement.</w:t>
      </w:r>
      <w:r>
        <w:rPr>
          <w:rFonts w:ascii="Arial" w:cs="Arial" w:eastAsia="Arial" w:hAnsi="Arial"/>
          <w:sz w:val="18"/>
          <w:szCs w:val="18"/>
          <w:color w:val="auto"/>
        </w:rPr>
        <w:t>]</w:t>
      </w:r>
    </w:p>
    <w:p>
      <w:pPr>
        <w:spacing w:after="0" w:line="181" w:lineRule="exact"/>
        <w:rPr>
          <w:rFonts w:ascii="Arial" w:cs="Arial" w:eastAsia="Arial" w:hAnsi="Arial"/>
          <w:sz w:val="16"/>
          <w:szCs w:val="16"/>
          <w:b w:val="1"/>
          <w:bCs w:val="1"/>
          <w:color w:val="auto"/>
        </w:rPr>
      </w:pPr>
    </w:p>
    <w:p>
      <w:pPr>
        <w:ind w:firstLine="436"/>
        <w:spacing w:after="0" w:line="258" w:lineRule="auto"/>
        <w:tabs>
          <w:tab w:leader="none" w:pos="80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ONFLICT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XISTING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BLIGATIONS</w:t>
      </w:r>
      <w:r>
        <w:rPr>
          <w:rFonts w:ascii="Arial" w:cs="Arial" w:eastAsia="Arial" w:hAnsi="Arial"/>
          <w:sz w:val="18"/>
          <w:szCs w:val="18"/>
          <w:color w:val="auto"/>
        </w:rPr>
        <w:t>. Executive represents that Executive’s performance of all the terms of this Agreement and as</w:t>
      </w:r>
      <w:r>
        <w:rPr>
          <w:rFonts w:ascii="Arial" w:cs="Arial" w:eastAsia="Arial" w:hAnsi="Arial"/>
          <w:sz w:val="18"/>
          <w:szCs w:val="18"/>
          <w:b w:val="1"/>
          <w:bCs w:val="1"/>
          <w:color w:val="auto"/>
        </w:rPr>
        <w:t xml:space="preserve"> </w:t>
      </w:r>
      <w:r>
        <w:rPr>
          <w:rFonts w:ascii="Arial" w:cs="Arial" w:eastAsia="Arial" w:hAnsi="Arial"/>
          <w:sz w:val="18"/>
          <w:szCs w:val="18"/>
          <w:color w:val="auto"/>
        </w:rPr>
        <w:t>an Executive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3" w:lineRule="exact"/>
        <w:rPr>
          <w:rFonts w:ascii="Arial" w:cs="Arial" w:eastAsia="Arial" w:hAnsi="Arial"/>
          <w:sz w:val="18"/>
          <w:szCs w:val="18"/>
          <w:b w:val="1"/>
          <w:bCs w:val="1"/>
          <w:color w:val="auto"/>
        </w:rPr>
      </w:pPr>
    </w:p>
    <w:p>
      <w:pPr>
        <w:ind w:right="60" w:firstLine="436"/>
        <w:spacing w:after="0" w:line="261" w:lineRule="auto"/>
        <w:tabs>
          <w:tab w:leader="none" w:pos="755"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ERMINATION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acknowledge that Executive’s employment relationship with the Company is at-will. Either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or the Company may terminate the employment relationship for any reason whatsoever at any time, with or without Cause or advance notice. The provisions in this Section govern the amount of compensation, if any, to be provided to Executive upon termination of employment and do not alter this at-will status.</w:t>
      </w:r>
    </w:p>
    <w:p>
      <w:pPr>
        <w:spacing w:after="0" w:line="180"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u w:val="single" w:color="auto"/>
          <w:color w:val="auto"/>
        </w:rPr>
        <w:t>Termination by the Company without Cause or Resignation by Executive for Good Reason</w:t>
      </w:r>
      <w:r>
        <w:rPr>
          <w:rFonts w:ascii="Arial" w:cs="Arial" w:eastAsia="Arial" w:hAnsi="Arial"/>
          <w:sz w:val="16"/>
          <w:szCs w:val="16"/>
          <w:b w:val="1"/>
          <w:bCs w:val="1"/>
          <w:color w:val="auto"/>
        </w:rPr>
        <w:t>.</w:t>
      </w:r>
    </w:p>
    <w:p>
      <w:pPr>
        <w:spacing w:after="0" w:line="229" w:lineRule="exact"/>
        <w:rPr>
          <w:sz w:val="20"/>
          <w:szCs w:val="20"/>
          <w:color w:val="auto"/>
        </w:rPr>
      </w:pPr>
    </w:p>
    <w:p>
      <w:pPr>
        <w:ind w:right="100" w:firstLine="1428"/>
        <w:spacing w:after="0" w:line="286" w:lineRule="auto"/>
        <w:tabs>
          <w:tab w:leader="none" w:pos="1867" w:val="left"/>
        </w:tabs>
        <w:numPr>
          <w:ilvl w:val="0"/>
          <w:numId w:val="309"/>
        </w:numPr>
        <w:rPr>
          <w:rFonts w:ascii="Arial" w:cs="Arial" w:eastAsia="Arial" w:hAnsi="Arial"/>
          <w:sz w:val="17"/>
          <w:szCs w:val="17"/>
          <w:b w:val="1"/>
          <w:bCs w:val="1"/>
          <w:color w:val="auto"/>
        </w:rPr>
      </w:pPr>
      <w:r>
        <w:rPr>
          <w:rFonts w:ascii="Arial" w:cs="Arial" w:eastAsia="Arial" w:hAnsi="Arial"/>
          <w:sz w:val="17"/>
          <w:szCs w:val="17"/>
          <w:color w:val="auto"/>
        </w:rPr>
        <w:t>The Company shall have the right to terminate Executive’s employment with the Company pursuant to this Section 6.1 at any time without Cause (as defined in Section 6.2(b) below) by giving notice as described in Section 7.1 of this Agreement. A termination pursuant to Section 6.4 or 6.5 below is not a termination without Cause for purposes of receiving the benefits described in this Section 6.1.</w:t>
      </w:r>
    </w:p>
    <w:p>
      <w:pPr>
        <w:spacing w:after="0" w:line="165" w:lineRule="exact"/>
        <w:rPr>
          <w:rFonts w:ascii="Arial" w:cs="Arial" w:eastAsia="Arial" w:hAnsi="Arial"/>
          <w:sz w:val="17"/>
          <w:szCs w:val="17"/>
          <w:b w:val="1"/>
          <w:bCs w:val="1"/>
          <w:color w:val="auto"/>
        </w:rPr>
      </w:pPr>
    </w:p>
    <w:p>
      <w:pPr>
        <w:jc w:val="both"/>
        <w:ind w:right="160" w:firstLine="1428"/>
        <w:spacing w:after="0" w:line="259" w:lineRule="auto"/>
        <w:tabs>
          <w:tab w:leader="none" w:pos="1877" w:val="left"/>
        </w:tabs>
        <w:numPr>
          <w:ilvl w:val="0"/>
          <w:numId w:val="309"/>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the Company terminates Executive’s employment without Cause or Executive Resigns for Good Reason (as defined in Section 6.1(g) below), and provided that such termination constitutes a “separation from service” (as defined under Treasury Regulation Section 1.409A-1(h), without regard to any alternative definition thereunder, 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Separation from Service</w:t>
      </w:r>
      <w:r>
        <w:rPr>
          <w:rFonts w:ascii="Arial" w:cs="Arial" w:eastAsia="Arial" w:hAnsi="Arial"/>
          <w:sz w:val="18"/>
          <w:szCs w:val="18"/>
          <w:i w:val="1"/>
          <w:iCs w:val="1"/>
          <w:color w:val="auto"/>
        </w:rPr>
        <w:t>”</w:t>
      </w:r>
      <w:r>
        <w:rPr>
          <w:rFonts w:ascii="Arial" w:cs="Arial" w:eastAsia="Arial" w:hAnsi="Arial"/>
          <w:sz w:val="18"/>
          <w:szCs w:val="18"/>
          <w:color w:val="auto"/>
        </w:rPr>
        <w:t>), then Executive shall be entitled to receive the Accrued Obligations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409" w:name="page410"/>
    <w:bookmarkEnd w:id="409"/>
    <w:p>
      <w:pPr>
        <w:ind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defined below) and, subject to Executive’s compliance with the obligations in Section 6.1(c) below, Executive shall be eligible to receive the following severance benefits (the “</w:t>
      </w:r>
      <w:r>
        <w:rPr>
          <w:rFonts w:ascii="Arial" w:cs="Arial" w:eastAsia="Arial" w:hAnsi="Arial"/>
          <w:sz w:val="18"/>
          <w:szCs w:val="18"/>
          <w:b w:val="1"/>
          <w:bCs w:val="1"/>
          <w:i w:val="1"/>
          <w:iCs w:val="1"/>
          <w:color w:val="auto"/>
        </w:rPr>
        <w:t>Severance Benefits</w:t>
      </w:r>
      <w:r>
        <w:rPr>
          <w:rFonts w:ascii="Arial" w:cs="Arial" w:eastAsia="Arial" w:hAnsi="Arial"/>
          <w:sz w:val="18"/>
          <w:szCs w:val="18"/>
          <w:color w:val="auto"/>
        </w:rPr>
        <w:t>”):</w:t>
      </w:r>
    </w:p>
    <w:p>
      <w:pPr>
        <w:spacing w:after="0" w:line="170" w:lineRule="exact"/>
        <w:rPr>
          <w:sz w:val="20"/>
          <w:szCs w:val="20"/>
          <w:color w:val="auto"/>
        </w:rPr>
      </w:pPr>
    </w:p>
    <w:p>
      <w:pPr>
        <w:jc w:val="both"/>
        <w:ind w:firstLine="1979"/>
        <w:spacing w:after="0" w:line="259" w:lineRule="auto"/>
        <w:tabs>
          <w:tab w:leader="none" w:pos="2378" w:val="left"/>
        </w:tabs>
        <w:numPr>
          <w:ilvl w:val="1"/>
          <w:numId w:val="310"/>
        </w:numPr>
        <w:rPr>
          <w:rFonts w:ascii="Arial" w:cs="Arial" w:eastAsia="Arial" w:hAnsi="Arial"/>
          <w:sz w:val="18"/>
          <w:szCs w:val="18"/>
          <w:b w:val="1"/>
          <w:bCs w:val="1"/>
          <w:color w:val="auto"/>
        </w:rPr>
      </w:pPr>
      <w:r>
        <w:rPr>
          <w:rFonts w:ascii="Arial" w:cs="Arial" w:eastAsia="Arial" w:hAnsi="Arial"/>
          <w:sz w:val="18"/>
          <w:szCs w:val="18"/>
          <w:color w:val="auto"/>
        </w:rPr>
        <w:t>The Company will pay Executive an amount equal to Executive’s then current Base Salary for six (6) months, less all applicable withholdings and deductions, and paid in equal installments beginning on the Company’s second regularly scheduled payroll date following the Release Effective Date (as defined in Section 6.1(c) below), with the remaining installments occurring on the Company’s regularly scheduled payroll dates thereafter.</w:t>
      </w:r>
    </w:p>
    <w:p>
      <w:pPr>
        <w:spacing w:after="0" w:line="186" w:lineRule="exact"/>
        <w:rPr>
          <w:rFonts w:ascii="Arial" w:cs="Arial" w:eastAsia="Arial" w:hAnsi="Arial"/>
          <w:sz w:val="18"/>
          <w:szCs w:val="18"/>
          <w:b w:val="1"/>
          <w:bCs w:val="1"/>
          <w:color w:val="auto"/>
        </w:rPr>
      </w:pPr>
    </w:p>
    <w:p>
      <w:pPr>
        <w:ind w:firstLine="1979"/>
        <w:spacing w:after="0" w:line="287" w:lineRule="auto"/>
        <w:tabs>
          <w:tab w:leader="none" w:pos="2428" w:val="left"/>
        </w:tabs>
        <w:numPr>
          <w:ilvl w:val="1"/>
          <w:numId w:val="310"/>
        </w:numPr>
        <w:rPr>
          <w:rFonts w:ascii="Arial" w:cs="Arial" w:eastAsia="Arial" w:hAnsi="Arial"/>
          <w:sz w:val="16"/>
          <w:szCs w:val="16"/>
          <w:b w:val="1"/>
          <w:bCs w:val="1"/>
          <w:color w:val="auto"/>
        </w:rPr>
      </w:pPr>
      <w:r>
        <w:rPr>
          <w:rFonts w:ascii="Arial" w:cs="Arial" w:eastAsia="Arial" w:hAnsi="Arial"/>
          <w:sz w:val="16"/>
          <w:szCs w:val="16"/>
          <w:color w:val="auto"/>
        </w:rPr>
        <w:t>If Executive timely elects continued coverage under COBRA for Executive and Executive’s dependents under the Company’s group health plans following such termination, then the Company shall pay the COBRA premiums necessary to continue Executive’s and his covered dependents’ health insurance coverage in effect for Executive (and Executive’s covered dependents) on the termination date until the earliest of: (i) twelve (12) months following the termination date (the “</w:t>
      </w:r>
      <w:r>
        <w:rPr>
          <w:rFonts w:ascii="Arial" w:cs="Arial" w:eastAsia="Arial" w:hAnsi="Arial"/>
          <w:sz w:val="16"/>
          <w:szCs w:val="16"/>
          <w:b w:val="1"/>
          <w:bCs w:val="1"/>
          <w:i w:val="1"/>
          <w:iCs w:val="1"/>
          <w:color w:val="auto"/>
        </w:rPr>
        <w:t>COBRA Severance Period</w:t>
      </w:r>
      <w:r>
        <w:rPr>
          <w:rFonts w:ascii="Arial" w:cs="Arial" w:eastAsia="Arial" w:hAnsi="Arial"/>
          <w:sz w:val="16"/>
          <w:szCs w:val="16"/>
          <w:color w:val="auto"/>
        </w:rPr>
        <w:t>”); (ii) the date when Executive becomes eligible for substantially equivalent health insurance coverage in connection with new employment or self-employment; or (iii) the date Executive ceases to be eligible for COBRA continuation coverage for any reason, including plan termination (such period from the termination date through the earlier of (i)-(iii), (the “</w:t>
      </w:r>
      <w:r>
        <w:rPr>
          <w:rFonts w:ascii="Arial" w:cs="Arial" w:eastAsia="Arial" w:hAnsi="Arial"/>
          <w:sz w:val="16"/>
          <w:szCs w:val="16"/>
          <w:b w:val="1"/>
          <w:bCs w:val="1"/>
          <w:i w:val="1"/>
          <w:iCs w:val="1"/>
          <w:color w:val="auto"/>
        </w:rPr>
        <w:t>COBRA Payment Period</w:t>
      </w:r>
      <w:r>
        <w:rPr>
          <w:rFonts w:ascii="Arial" w:cs="Arial" w:eastAsia="Arial" w:hAnsi="Arial"/>
          <w:sz w:val="16"/>
          <w:szCs w:val="16"/>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for the remainder of the COBRA Payment Period. Nothing in this Agreement shall deprive Executive of his rights under COBRA or ERISA for benefits under plans and policies arising under his employment by the Company.</w:t>
      </w:r>
    </w:p>
    <w:p>
      <w:pPr>
        <w:spacing w:after="0" w:line="167" w:lineRule="exact"/>
        <w:rPr>
          <w:rFonts w:ascii="Arial" w:cs="Arial" w:eastAsia="Arial" w:hAnsi="Arial"/>
          <w:sz w:val="16"/>
          <w:szCs w:val="16"/>
          <w:b w:val="1"/>
          <w:bCs w:val="1"/>
          <w:color w:val="auto"/>
        </w:rPr>
      </w:pPr>
    </w:p>
    <w:p>
      <w:pPr>
        <w:ind w:right="80" w:firstLine="1428"/>
        <w:spacing w:after="0" w:line="274" w:lineRule="auto"/>
        <w:tabs>
          <w:tab w:leader="none" w:pos="1857" w:val="left"/>
        </w:tabs>
        <w:numPr>
          <w:ilvl w:val="0"/>
          <w:numId w:val="311"/>
        </w:numPr>
        <w:rPr>
          <w:rFonts w:ascii="Arial" w:cs="Arial" w:eastAsia="Arial" w:hAnsi="Arial"/>
          <w:sz w:val="17"/>
          <w:szCs w:val="17"/>
          <w:b w:val="1"/>
          <w:bCs w:val="1"/>
          <w:color w:val="auto"/>
        </w:rPr>
      </w:pPr>
      <w:r>
        <w:rPr>
          <w:rFonts w:ascii="Arial" w:cs="Arial" w:eastAsia="Arial" w:hAnsi="Arial"/>
          <w:sz w:val="17"/>
          <w:szCs w:val="17"/>
          <w:color w:val="auto"/>
        </w:rPr>
        <w:t>Executive will be paid all of the Accrued Obligations (as defined in Section 6.1(d) below) on the Company’s first payroll date after Executive’s date of termination from employment or earlier if required by law. If eligible to receive the Severance Benefits pursuant to</w:t>
      </w:r>
    </w:p>
    <w:p>
      <w:pPr>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Section 6.1(b) of this Agreement, Executive will only receive such Severance Benefits if: (i) within the time period provided in the separation agreement (which shall be no longer than 60 days following the date of Executive’s Separation from Service), Executive has signed and delivered to the Company a separation agreement that includes, among other terms, an effective general release of claims in favor of the Company and its affiliates and representatives, in the form presented by the Company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which cannot be revoked in whole or part by such date (the date that the Release can no longer be revoked is referred to as the “</w:t>
      </w:r>
      <w:r>
        <w:rPr>
          <w:rFonts w:ascii="Arial" w:cs="Arial" w:eastAsia="Arial" w:hAnsi="Arial"/>
          <w:sz w:val="17"/>
          <w:szCs w:val="17"/>
          <w:b w:val="1"/>
          <w:bCs w:val="1"/>
          <w:i w:val="1"/>
          <w:iCs w:val="1"/>
          <w:color w:val="auto"/>
        </w:rPr>
        <w:t>Release Effective Date</w:t>
      </w:r>
      <w:r>
        <w:rPr>
          <w:rFonts w:ascii="Arial" w:cs="Arial" w:eastAsia="Arial" w:hAnsi="Arial"/>
          <w:sz w:val="17"/>
          <w:szCs w:val="17"/>
          <w:color w:val="auto"/>
        </w:rPr>
        <w:t>”); and (ii) if Executive holds any other positions with the Company, he resigns such position(s) to be effective no later than the date of Executive’s termination date (or such other date as requested by the Board); (iii) Executive returns all Company property; (iv) Executive complies with his post-termination obligations under this Agreement and the Confidential Information Agreement; and (v) Executive complies with the terms of the Release, including, without limitation, any non-disparagement, confidentiality and cooperation provisions contained in Release.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10" w:name="page411"/>
    <w:bookmarkEnd w:id="410"/>
    <w:p>
      <w:pPr>
        <w:ind w:firstLine="1428"/>
        <w:spacing w:after="0" w:line="259" w:lineRule="auto"/>
        <w:tabs>
          <w:tab w:leader="none" w:pos="1877" w:val="left"/>
        </w:tabs>
        <w:numPr>
          <w:ilvl w:val="0"/>
          <w:numId w:val="31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this Agreement, </w:t>
      </w:r>
      <w:r>
        <w:rPr>
          <w:rFonts w:ascii="Arial" w:cs="Arial" w:eastAsia="Arial" w:hAnsi="Arial"/>
          <w:sz w:val="18"/>
          <w:szCs w:val="18"/>
          <w:b w:val="1"/>
          <w:bCs w:val="1"/>
          <w:i w:val="1"/>
          <w:iCs w:val="1"/>
          <w:color w:val="auto"/>
        </w:rPr>
        <w:t>“Accrued Obligations”</w:t>
      </w:r>
      <w:r>
        <w:rPr>
          <w:rFonts w:ascii="Arial" w:cs="Arial" w:eastAsia="Arial" w:hAnsi="Arial"/>
          <w:sz w:val="18"/>
          <w:szCs w:val="18"/>
          <w:color w:val="auto"/>
        </w:rPr>
        <w:t xml:space="preserve">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86" w:lineRule="exact"/>
        <w:rPr>
          <w:rFonts w:ascii="Arial" w:cs="Arial" w:eastAsia="Arial" w:hAnsi="Arial"/>
          <w:sz w:val="18"/>
          <w:szCs w:val="18"/>
          <w:b w:val="1"/>
          <w:bCs w:val="1"/>
          <w:color w:val="auto"/>
        </w:rPr>
      </w:pPr>
    </w:p>
    <w:p>
      <w:pPr>
        <w:ind w:right="60" w:firstLine="1428"/>
        <w:spacing w:after="0" w:line="277" w:lineRule="auto"/>
        <w:tabs>
          <w:tab w:leader="none" w:pos="1857" w:val="left"/>
        </w:tabs>
        <w:numPr>
          <w:ilvl w:val="0"/>
          <w:numId w:val="312"/>
        </w:numPr>
        <w:rPr>
          <w:rFonts w:ascii="Arial" w:cs="Arial" w:eastAsia="Arial" w:hAnsi="Arial"/>
          <w:sz w:val="18"/>
          <w:szCs w:val="18"/>
          <w:b w:val="1"/>
          <w:bCs w:val="1"/>
          <w:color w:val="auto"/>
        </w:rPr>
      </w:pPr>
      <w:r>
        <w:rPr>
          <w:rFonts w:ascii="Arial" w:cs="Arial" w:eastAsia="Arial" w:hAnsi="Arial"/>
          <w:sz w:val="18"/>
          <w:szCs w:val="18"/>
          <w:color w:val="auto"/>
        </w:rPr>
        <w:t>The Severance Benefits provided to Executive pursuant to this Section 6.1 are in lieu of, and not in addition to, any benefits to which Executive may otherwise be entitled under any Company severance plan, policy or program.</w:t>
      </w:r>
    </w:p>
    <w:p>
      <w:pPr>
        <w:spacing w:after="0" w:line="170" w:lineRule="exact"/>
        <w:rPr>
          <w:rFonts w:ascii="Arial" w:cs="Arial" w:eastAsia="Arial" w:hAnsi="Arial"/>
          <w:sz w:val="18"/>
          <w:szCs w:val="18"/>
          <w:b w:val="1"/>
          <w:bCs w:val="1"/>
          <w:color w:val="auto"/>
        </w:rPr>
      </w:pPr>
    </w:p>
    <w:p>
      <w:pPr>
        <w:ind w:right="200" w:firstLine="1428"/>
        <w:spacing w:after="0" w:line="263" w:lineRule="auto"/>
        <w:tabs>
          <w:tab w:leader="none" w:pos="1837" w:val="left"/>
        </w:tabs>
        <w:numPr>
          <w:ilvl w:val="0"/>
          <w:numId w:val="312"/>
        </w:numPr>
        <w:rPr>
          <w:rFonts w:ascii="Arial" w:cs="Arial" w:eastAsia="Arial" w:hAnsi="Arial"/>
          <w:sz w:val="18"/>
          <w:szCs w:val="18"/>
          <w:b w:val="1"/>
          <w:bCs w:val="1"/>
          <w:color w:val="auto"/>
        </w:rPr>
      </w:pPr>
      <w:r>
        <w:rPr>
          <w:rFonts w:ascii="Arial" w:cs="Arial" w:eastAsia="Arial" w:hAnsi="Arial"/>
          <w:sz w:val="18"/>
          <w:szCs w:val="18"/>
          <w:color w:val="auto"/>
        </w:rPr>
        <w:t>Any damages caused by the termination of Executive’s employment without Cause would be difficult to ascertain; therefore, the Severance Benefits for which Executive is eligible pursuant to Section 6.1(b) above in exchange for the Release is agreed to by the parties as liquidated damages, to serve as full compensation, and not a penalty.</w:t>
      </w:r>
    </w:p>
    <w:p>
      <w:pPr>
        <w:spacing w:after="0" w:line="183" w:lineRule="exact"/>
        <w:rPr>
          <w:rFonts w:ascii="Arial" w:cs="Arial" w:eastAsia="Arial" w:hAnsi="Arial"/>
          <w:sz w:val="18"/>
          <w:szCs w:val="18"/>
          <w:b w:val="1"/>
          <w:bCs w:val="1"/>
          <w:color w:val="auto"/>
        </w:rPr>
      </w:pPr>
    </w:p>
    <w:p>
      <w:pPr>
        <w:ind w:firstLine="1428"/>
        <w:spacing w:after="0" w:line="287" w:lineRule="auto"/>
        <w:tabs>
          <w:tab w:leader="none" w:pos="1867" w:val="left"/>
        </w:tabs>
        <w:numPr>
          <w:ilvl w:val="0"/>
          <w:numId w:val="3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“Good Reason” </w:t>
      </w:r>
      <w:r>
        <w:rPr>
          <w:rFonts w:ascii="Arial" w:cs="Arial" w:eastAsia="Arial" w:hAnsi="Arial"/>
          <w:sz w:val="16"/>
          <w:szCs w:val="16"/>
          <w:color w:val="auto"/>
        </w:rPr>
        <w:t>for purposes of this Agreement shall mean the occurrence of any of the following conditions without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Executive’s consent, after Executive’s provision of written notice to the Company of the existence of such condition (which notice must be provided as described in Section 7.1 within thirty (30) days of the initial existence of the condition and must specify the particular condition in reasonable detail), provided that the Company has not first provided notice to Executive of its intent to terminate Executive’s employment: (i) a material reduction in Executive’s duties, responsibilities or authorities, provided, however, that neither the conversation of the Company to a subsidiary, division or unit of an acquiring entity, or Executive’s reporting relationships following a Change in Control, nor a change in title, will be deemed a “material reduction” in and of itself or material adverse alteration in, Executive’s position, title, duties, or responsibilities; (ii) a material (greater than 10%) reduction by the Company of Executive’s Base Salary (except in the case of either an across the board reduction in salaries or a temporary reduction due to financial exigency); or (iii) the relocation of Executive’s principal place of employment by fifty (50) or more miles from Executive’s then-current principal place of employment. Notwithstanding the foregoing, Good Reason shall only exist if the Company is provided a thirty (30) day period to cure the event or condition giving rise to Good Reason, and it fails to do so within that cure period (and, additionally, Executive must resign for such Good Reason condition by giving notice as described in Section 7.1 within thirty (30) days after the period for curing the violation or condition has ended).</w:t>
      </w:r>
    </w:p>
    <w:p>
      <w:pPr>
        <w:spacing w:after="0" w:line="272"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u w:val="single" w:color="auto"/>
          <w:color w:val="auto"/>
        </w:rPr>
        <w:t>Termination by the Company for Cause</w:t>
      </w:r>
      <w:r>
        <w:rPr>
          <w:rFonts w:ascii="Arial" w:cs="Arial" w:eastAsia="Arial" w:hAnsi="Arial"/>
          <w:sz w:val="16"/>
          <w:szCs w:val="16"/>
          <w:b w:val="1"/>
          <w:bCs w:val="1"/>
          <w:color w:val="auto"/>
        </w:rPr>
        <w:t>.</w:t>
      </w:r>
    </w:p>
    <w:p>
      <w:pPr>
        <w:spacing w:after="0" w:line="121" w:lineRule="exact"/>
        <w:rPr>
          <w:sz w:val="20"/>
          <w:szCs w:val="20"/>
          <w:color w:val="auto"/>
        </w:rPr>
      </w:pPr>
    </w:p>
    <w:p>
      <w:pPr>
        <w:ind w:right="260" w:firstLine="1428"/>
        <w:spacing w:after="0" w:line="277" w:lineRule="auto"/>
        <w:tabs>
          <w:tab w:leader="none" w:pos="1867" w:val="left"/>
        </w:tabs>
        <w:numPr>
          <w:ilvl w:val="0"/>
          <w:numId w:val="313"/>
        </w:numPr>
        <w:rPr>
          <w:rFonts w:ascii="Arial" w:cs="Arial" w:eastAsia="Arial" w:hAnsi="Arial"/>
          <w:sz w:val="18"/>
          <w:szCs w:val="18"/>
          <w:b w:val="1"/>
          <w:bCs w:val="1"/>
          <w:color w:val="auto"/>
        </w:rPr>
      </w:pPr>
      <w:r>
        <w:rPr>
          <w:rFonts w:ascii="Arial" w:cs="Arial" w:eastAsia="Arial" w:hAnsi="Arial"/>
          <w:sz w:val="18"/>
          <w:szCs w:val="18"/>
          <w:color w:val="auto"/>
        </w:rPr>
        <w:t>The Company shall have the right to terminate Executive’s employment with the Company at any time for Cause by giving notice as described in Section 7.1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11" w:name="page412"/>
    <w:bookmarkEnd w:id="411"/>
    <w:p>
      <w:pPr>
        <w:jc w:val="both"/>
        <w:ind w:left="4" w:right="40" w:firstLine="1428"/>
        <w:spacing w:after="0" w:line="286" w:lineRule="auto"/>
        <w:tabs>
          <w:tab w:leader="none" w:pos="1881" w:val="left"/>
        </w:tabs>
        <w:numPr>
          <w:ilvl w:val="1"/>
          <w:numId w:val="31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“Cause” for purposes of this Agreement shall mean that the Company has determined in its sole discretion that Executive has engaged in any of the following: (i) a material breach of any covenant or condition under this Agreement or any other agreement between the Company and Executive; (ii) any act constituting dishonesty, fraud, immoral or disreputable conduct; (iii) any conduct which constitutes a felony under applicable law; (iv) violation of any Company policy or any act of misconduct; (v) refusal to follow or implement a clear and reasonable directive of Company;</w:t>
      </w:r>
    </w:p>
    <w:p>
      <w:pPr>
        <w:spacing w:after="0" w:line="1" w:lineRule="exact"/>
        <w:rPr>
          <w:rFonts w:ascii="Arial" w:cs="Arial" w:eastAsia="Arial" w:hAnsi="Arial"/>
          <w:sz w:val="16"/>
          <w:szCs w:val="16"/>
          <w:b w:val="1"/>
          <w:bCs w:val="1"/>
          <w:color w:val="auto"/>
        </w:rPr>
      </w:pPr>
    </w:p>
    <w:p>
      <w:pPr>
        <w:ind w:left="4" w:hanging="4"/>
        <w:spacing w:after="0" w:line="277" w:lineRule="auto"/>
        <w:tabs>
          <w:tab w:leader="none" w:pos="309" w:val="left"/>
        </w:tabs>
        <w:numPr>
          <w:ilvl w:val="0"/>
          <w:numId w:val="315"/>
        </w:numPr>
        <w:rPr>
          <w:rFonts w:ascii="Arial" w:cs="Arial" w:eastAsia="Arial" w:hAnsi="Arial"/>
          <w:sz w:val="17"/>
          <w:szCs w:val="17"/>
          <w:color w:val="auto"/>
        </w:rPr>
      </w:pPr>
      <w:r>
        <w:rPr>
          <w:rFonts w:ascii="Arial" w:cs="Arial" w:eastAsia="Arial" w:hAnsi="Arial"/>
          <w:sz w:val="17"/>
          <w:szCs w:val="17"/>
          <w:color w:val="auto"/>
        </w:rPr>
        <w:t>negligence or incompetence in the performance of Executive’s duties or failure to perform such duties in a manner satisfactory to the Company after the expiration of ten (10) days without cure after written notice of such failure; (vii) failure to pass to the satisfaction of the Company, a preliminary background check or failure to submit proof of legal eligibility to work in the United States; or (viii) breach of fiduciary duty.</w:t>
      </w:r>
    </w:p>
    <w:p>
      <w:pPr>
        <w:spacing w:after="0" w:line="172" w:lineRule="exact"/>
        <w:rPr>
          <w:rFonts w:ascii="Arial" w:cs="Arial" w:eastAsia="Arial" w:hAnsi="Arial"/>
          <w:sz w:val="17"/>
          <w:szCs w:val="17"/>
          <w:color w:val="auto"/>
        </w:rPr>
      </w:pPr>
    </w:p>
    <w:p>
      <w:pPr>
        <w:ind w:left="4" w:right="240" w:firstLine="1428"/>
        <w:spacing w:after="0" w:line="263" w:lineRule="auto"/>
        <w:tabs>
          <w:tab w:leader="none" w:pos="1861" w:val="left"/>
        </w:tabs>
        <w:numPr>
          <w:ilvl w:val="1"/>
          <w:numId w:val="315"/>
        </w:numPr>
        <w:rPr>
          <w:rFonts w:ascii="Arial" w:cs="Arial" w:eastAsia="Arial" w:hAnsi="Arial"/>
          <w:sz w:val="18"/>
          <w:szCs w:val="18"/>
          <w:b w:val="1"/>
          <w:bCs w:val="1"/>
          <w:color w:val="auto"/>
        </w:rPr>
      </w:pPr>
      <w:r>
        <w:rPr>
          <w:rFonts w:ascii="Arial" w:cs="Arial" w:eastAsia="Arial" w:hAnsi="Arial"/>
          <w:sz w:val="18"/>
          <w:szCs w:val="18"/>
          <w:color w:val="auto"/>
        </w:rPr>
        <w:t>In the event Executive’s employment is terminated at any time for Cause, Executive will not receive Severance Benefits, or any other compensation or benefits, except that, pursuant to the Company’s standard payroll policies, the Company shall provide to Executive the Accrued Obligations.</w:t>
      </w:r>
    </w:p>
    <w:p>
      <w:pPr>
        <w:spacing w:after="0" w:line="288" w:lineRule="exact"/>
        <w:rPr>
          <w:sz w:val="20"/>
          <w:szCs w:val="20"/>
          <w:color w:val="auto"/>
        </w:rPr>
      </w:pPr>
    </w:p>
    <w:p>
      <w:pPr>
        <w:ind w:left="984"/>
        <w:spacing w:after="0"/>
        <w:tabs>
          <w:tab w:leader="none" w:pos="1424"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u w:val="single" w:color="auto"/>
          <w:color w:val="auto"/>
        </w:rPr>
        <w:t>Resignation by Executive (other than for Good Reason).</w:t>
      </w:r>
    </w:p>
    <w:p>
      <w:pPr>
        <w:spacing w:after="0" w:line="121" w:lineRule="exact"/>
        <w:rPr>
          <w:sz w:val="20"/>
          <w:szCs w:val="20"/>
          <w:color w:val="auto"/>
        </w:rPr>
      </w:pPr>
    </w:p>
    <w:p>
      <w:pPr>
        <w:ind w:left="1864" w:hanging="432"/>
        <w:spacing w:after="0"/>
        <w:tabs>
          <w:tab w:leader="none" w:pos="1864" w:val="left"/>
        </w:tabs>
        <w:numPr>
          <w:ilvl w:val="0"/>
          <w:numId w:val="316"/>
        </w:numPr>
        <w:rPr>
          <w:rFonts w:ascii="Arial" w:cs="Arial" w:eastAsia="Arial" w:hAnsi="Arial"/>
          <w:sz w:val="18"/>
          <w:szCs w:val="18"/>
          <w:b w:val="1"/>
          <w:bCs w:val="1"/>
          <w:color w:val="auto"/>
        </w:rPr>
      </w:pPr>
      <w:r>
        <w:rPr>
          <w:rFonts w:ascii="Arial" w:cs="Arial" w:eastAsia="Arial" w:hAnsi="Arial"/>
          <w:sz w:val="18"/>
          <w:szCs w:val="18"/>
          <w:color w:val="auto"/>
        </w:rPr>
        <w:t>Executive may resign from Executive’s employment with the Company at any time by giving notice as described in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7.1.</w:t>
      </w:r>
    </w:p>
    <w:p>
      <w:pPr>
        <w:spacing w:after="0" w:line="211" w:lineRule="exact"/>
        <w:rPr>
          <w:sz w:val="20"/>
          <w:szCs w:val="20"/>
          <w:color w:val="auto"/>
        </w:rPr>
      </w:pPr>
    </w:p>
    <w:p>
      <w:pPr>
        <w:ind w:left="4" w:right="40" w:firstLine="1428"/>
        <w:spacing w:after="0" w:line="263" w:lineRule="auto"/>
        <w:tabs>
          <w:tab w:leader="none" w:pos="1881" w:val="left"/>
        </w:tabs>
        <w:numPr>
          <w:ilvl w:val="0"/>
          <w:numId w:val="317"/>
        </w:numPr>
        <w:rPr>
          <w:rFonts w:ascii="Arial" w:cs="Arial" w:eastAsia="Arial" w:hAnsi="Arial"/>
          <w:sz w:val="18"/>
          <w:szCs w:val="18"/>
          <w:b w:val="1"/>
          <w:bCs w:val="1"/>
          <w:color w:val="auto"/>
        </w:rPr>
      </w:pPr>
      <w:r>
        <w:rPr>
          <w:rFonts w:ascii="Arial" w:cs="Arial" w:eastAsia="Arial" w:hAnsi="Arial"/>
          <w:sz w:val="18"/>
          <w:szCs w:val="18"/>
          <w:color w:val="auto"/>
        </w:rPr>
        <w:t>In the event Executive resigns from Executive’s employment with the Company (other than for Good Reason), Executive will not receive Severance Benefits, or any other compensation or benefits, except that, pursuant to the Company’s standard payroll policies, the Company shall provide to Executive the Accrued Obligations.</w:t>
      </w:r>
    </w:p>
    <w:p>
      <w:pPr>
        <w:spacing w:after="0" w:line="288" w:lineRule="exact"/>
        <w:rPr>
          <w:sz w:val="20"/>
          <w:szCs w:val="20"/>
          <w:color w:val="auto"/>
        </w:rPr>
      </w:pPr>
    </w:p>
    <w:p>
      <w:pPr>
        <w:ind w:left="984"/>
        <w:spacing w:after="0"/>
        <w:tabs>
          <w:tab w:leader="none" w:pos="1424"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u w:val="single" w:color="auto"/>
          <w:color w:val="auto"/>
        </w:rPr>
        <w:t>Termination by Virtue of Death or Disability of Executive.</w:t>
      </w:r>
    </w:p>
    <w:p>
      <w:pPr>
        <w:spacing w:after="0" w:line="121" w:lineRule="exact"/>
        <w:rPr>
          <w:sz w:val="20"/>
          <w:szCs w:val="20"/>
          <w:color w:val="auto"/>
        </w:rPr>
      </w:pPr>
    </w:p>
    <w:p>
      <w:pPr>
        <w:ind w:left="4" w:right="300" w:firstLine="1428"/>
        <w:spacing w:after="0" w:line="279" w:lineRule="auto"/>
        <w:tabs>
          <w:tab w:leader="none" w:pos="1871" w:val="left"/>
        </w:tabs>
        <w:numPr>
          <w:ilvl w:val="0"/>
          <w:numId w:val="318"/>
        </w:numPr>
        <w:rPr>
          <w:rFonts w:ascii="Arial" w:cs="Arial" w:eastAsia="Arial" w:hAnsi="Arial"/>
          <w:sz w:val="17"/>
          <w:szCs w:val="17"/>
          <w:b w:val="1"/>
          <w:bCs w:val="1"/>
          <w:color w:val="auto"/>
        </w:rPr>
      </w:pPr>
      <w:r>
        <w:rPr>
          <w:rFonts w:ascii="Arial" w:cs="Arial" w:eastAsia="Arial" w:hAnsi="Arial"/>
          <w:sz w:val="17"/>
          <w:szCs w:val="17"/>
          <w:color w:val="auto"/>
        </w:rPr>
        <w:t>In the event of Executive’s death while employed pursuant to this Agreement, all obligations of the parties hereunder shall terminate immediately, and the Company shall, pursuant to the Company’s standard payroll policies, provide to Executive’s legal representatives Executive’s accrued but unpaid salary through the date of death together with all compensation and benefits payable to Executive based on his participation in any compensation or benefit plan, program or arrangement through the date of termination.</w:t>
      </w:r>
    </w:p>
    <w:p>
      <w:pPr>
        <w:spacing w:after="0" w:line="171" w:lineRule="exact"/>
        <w:rPr>
          <w:rFonts w:ascii="Arial" w:cs="Arial" w:eastAsia="Arial" w:hAnsi="Arial"/>
          <w:sz w:val="17"/>
          <w:szCs w:val="17"/>
          <w:b w:val="1"/>
          <w:bCs w:val="1"/>
          <w:color w:val="auto"/>
        </w:rPr>
      </w:pPr>
    </w:p>
    <w:p>
      <w:pPr>
        <w:ind w:left="4" w:right="100" w:firstLine="1428"/>
        <w:spacing w:after="0" w:line="291" w:lineRule="auto"/>
        <w:tabs>
          <w:tab w:leader="none" w:pos="1881" w:val="left"/>
        </w:tabs>
        <w:numPr>
          <w:ilvl w:val="0"/>
          <w:numId w:val="318"/>
        </w:numPr>
        <w:rPr>
          <w:rFonts w:ascii="Arial" w:cs="Arial" w:eastAsia="Arial" w:hAnsi="Arial"/>
          <w:sz w:val="16"/>
          <w:szCs w:val="16"/>
          <w:b w:val="1"/>
          <w:bCs w:val="1"/>
          <w:color w:val="auto"/>
        </w:rPr>
      </w:pPr>
      <w:r>
        <w:rPr>
          <w:rFonts w:ascii="Arial" w:cs="Arial" w:eastAsia="Arial" w:hAnsi="Arial"/>
          <w:sz w:val="16"/>
          <w:szCs w:val="16"/>
          <w:color w:val="auto"/>
        </w:rPr>
        <w:t>Subject to applicable state and federal law, the Company shall at all times have the right, upon written notice to Executive, to terminate this Agreement based on Executive’s Disability (as defined below). Termination by the Company of Executive’s employment based on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shall mean termination because Executive is unable due to a physical or mental condition to perform the essential functions of Executive’s position with or without reasonable accommodation for one hundred twenty (120) consecutive calendar days 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412" w:name="page413"/>
    <w:bookmarkEnd w:id="412"/>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receive the Severance Benefits, or any other severance compensation or benefit, except that, pursuant to the Company’s standard payroll policies, the Company shall pay to Executive the accrued but unpaid salary of Executive through the date of termination, together with all compensation and benefits payable to Executive based on his participation in any compensation or benefit plan, program or arrangement through the date of termination.</w:t>
      </w:r>
    </w:p>
    <w:p>
      <w:pPr>
        <w:spacing w:after="0" w:line="145"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7"/>
          <w:szCs w:val="17"/>
          <w:b w:val="1"/>
          <w:bCs w:val="1"/>
          <w:u w:val="single" w:color="auto"/>
          <w:color w:val="auto"/>
        </w:rPr>
        <w:t>[RESERVED]</w:t>
      </w:r>
    </w:p>
    <w:p>
      <w:pPr>
        <w:spacing w:after="0" w:line="117"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u w:val="single" w:color="auto"/>
          <w:color w:val="auto"/>
        </w:rPr>
        <w:t>Notice; Effective Date of Termination.</w:t>
      </w:r>
    </w:p>
    <w:p>
      <w:pPr>
        <w:spacing w:after="0" w:line="121" w:lineRule="exact"/>
        <w:rPr>
          <w:sz w:val="20"/>
          <w:szCs w:val="20"/>
          <w:color w:val="auto"/>
        </w:rPr>
      </w:pPr>
    </w:p>
    <w:p>
      <w:pPr>
        <w:ind w:left="1860" w:hanging="432"/>
        <w:spacing w:after="0"/>
        <w:tabs>
          <w:tab w:leader="none" w:pos="1860"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Termination of Executive’s employment pursuant to this Agreement shall be effective on the earliest of:</w:t>
      </w:r>
    </w:p>
    <w:p>
      <w:pPr>
        <w:spacing w:after="0" w:line="225" w:lineRule="exact"/>
        <w:rPr>
          <w:rFonts w:ascii="Arial" w:cs="Arial" w:eastAsia="Arial" w:hAnsi="Arial"/>
          <w:sz w:val="18"/>
          <w:szCs w:val="18"/>
          <w:b w:val="1"/>
          <w:bCs w:val="1"/>
          <w:color w:val="auto"/>
        </w:rPr>
      </w:pPr>
    </w:p>
    <w:p>
      <w:pPr>
        <w:ind w:right="260" w:firstLine="1979"/>
        <w:spacing w:after="0" w:line="263" w:lineRule="auto"/>
        <w:tabs>
          <w:tab w:leader="none" w:pos="2378" w:val="left"/>
        </w:tabs>
        <w:numPr>
          <w:ilvl w:val="1"/>
          <w:numId w:val="319"/>
        </w:numPr>
        <w:rPr>
          <w:rFonts w:ascii="Arial" w:cs="Arial" w:eastAsia="Arial" w:hAnsi="Arial"/>
          <w:sz w:val="18"/>
          <w:szCs w:val="18"/>
          <w:b w:val="1"/>
          <w:bCs w:val="1"/>
          <w:color w:val="auto"/>
        </w:rPr>
      </w:pPr>
      <w:r>
        <w:rPr>
          <w:rFonts w:ascii="Arial" w:cs="Arial" w:eastAsia="Arial" w:hAnsi="Arial"/>
          <w:sz w:val="18"/>
          <w:szCs w:val="18"/>
          <w:color w:val="auto"/>
        </w:rPr>
        <w:t>immediately after the Company gives notice to Executive of Executive’s termination, with or without Cause, unless pursuant to Section 6.2(b)(vi) in which case ten (10) days after notice if not cured or unless the Company specifies a later date, in which case, termination shall be effective as of such later date;</w:t>
      </w:r>
    </w:p>
    <w:p>
      <w:pPr>
        <w:spacing w:after="0" w:line="183" w:lineRule="exact"/>
        <w:rPr>
          <w:rFonts w:ascii="Arial" w:cs="Arial" w:eastAsia="Arial" w:hAnsi="Arial"/>
          <w:sz w:val="18"/>
          <w:szCs w:val="18"/>
          <w:b w:val="1"/>
          <w:bCs w:val="1"/>
          <w:color w:val="auto"/>
        </w:rPr>
      </w:pPr>
    </w:p>
    <w:p>
      <w:pPr>
        <w:ind w:left="2420" w:hanging="441"/>
        <w:spacing w:after="0"/>
        <w:tabs>
          <w:tab w:leader="none" w:pos="2420" w:val="left"/>
        </w:tabs>
        <w:numPr>
          <w:ilvl w:val="1"/>
          <w:numId w:val="319"/>
        </w:numPr>
        <w:rPr>
          <w:rFonts w:ascii="Arial" w:cs="Arial" w:eastAsia="Arial" w:hAnsi="Arial"/>
          <w:sz w:val="18"/>
          <w:szCs w:val="18"/>
          <w:b w:val="1"/>
          <w:bCs w:val="1"/>
          <w:color w:val="auto"/>
        </w:rPr>
      </w:pPr>
      <w:r>
        <w:rPr>
          <w:rFonts w:ascii="Arial" w:cs="Arial" w:eastAsia="Arial" w:hAnsi="Arial"/>
          <w:sz w:val="18"/>
          <w:szCs w:val="18"/>
          <w:color w:val="auto"/>
        </w:rPr>
        <w:t>immediately upon Executive’s death;</w:t>
      </w:r>
    </w:p>
    <w:p>
      <w:pPr>
        <w:spacing w:after="0" w:line="225" w:lineRule="exact"/>
        <w:rPr>
          <w:rFonts w:ascii="Arial" w:cs="Arial" w:eastAsia="Arial" w:hAnsi="Arial"/>
          <w:sz w:val="18"/>
          <w:szCs w:val="18"/>
          <w:b w:val="1"/>
          <w:bCs w:val="1"/>
          <w:color w:val="auto"/>
        </w:rPr>
      </w:pPr>
    </w:p>
    <w:p>
      <w:pPr>
        <w:ind w:right="120" w:firstLine="1979"/>
        <w:spacing w:after="0" w:line="263" w:lineRule="auto"/>
        <w:tabs>
          <w:tab w:leader="none" w:pos="2478" w:val="left"/>
        </w:tabs>
        <w:numPr>
          <w:ilvl w:val="1"/>
          <w:numId w:val="319"/>
        </w:numPr>
        <w:rPr>
          <w:rFonts w:ascii="Arial" w:cs="Arial" w:eastAsia="Arial" w:hAnsi="Arial"/>
          <w:sz w:val="18"/>
          <w:szCs w:val="18"/>
          <w:b w:val="1"/>
          <w:bCs w:val="1"/>
          <w:color w:val="auto"/>
        </w:rPr>
      </w:pPr>
      <w:r>
        <w:rPr>
          <w:rFonts w:ascii="Arial" w:cs="Arial" w:eastAsia="Arial" w:hAnsi="Arial"/>
          <w:sz w:val="18"/>
          <w:szCs w:val="18"/>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Executive has not returned to the full time performance of Executive’s duties prior to such date;</w:t>
      </w:r>
    </w:p>
    <w:p>
      <w:pPr>
        <w:spacing w:after="0" w:line="183" w:lineRule="exact"/>
        <w:rPr>
          <w:rFonts w:ascii="Arial" w:cs="Arial" w:eastAsia="Arial" w:hAnsi="Arial"/>
          <w:sz w:val="18"/>
          <w:szCs w:val="18"/>
          <w:b w:val="1"/>
          <w:bCs w:val="1"/>
          <w:color w:val="auto"/>
        </w:rPr>
      </w:pPr>
    </w:p>
    <w:p>
      <w:pPr>
        <w:ind w:right="200" w:firstLine="1979"/>
        <w:spacing w:after="0" w:line="286" w:lineRule="auto"/>
        <w:tabs>
          <w:tab w:leader="none" w:pos="2467" w:val="left"/>
        </w:tabs>
        <w:numPr>
          <w:ilvl w:val="1"/>
          <w:numId w:val="319"/>
        </w:numPr>
        <w:rPr>
          <w:rFonts w:ascii="Arial" w:cs="Arial" w:eastAsia="Arial" w:hAnsi="Arial"/>
          <w:sz w:val="17"/>
          <w:szCs w:val="17"/>
          <w:b w:val="1"/>
          <w:bCs w:val="1"/>
          <w:color w:val="auto"/>
        </w:rPr>
      </w:pPr>
      <w:r>
        <w:rPr>
          <w:rFonts w:ascii="Arial" w:cs="Arial" w:eastAsia="Arial" w:hAnsi="Arial"/>
          <w:sz w:val="17"/>
          <w:szCs w:val="17"/>
          <w:color w:val="auto"/>
        </w:rPr>
        <w:t xml:space="preserve">ten (10) days after Executive gives written notice to the Company of Executive’s resignation,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set a termination date at any time between the date of notice and the date of resignation, in which case Executive’s resignation shall be effective as of such other date. Executive will receive compensation through any required notice period; or</w:t>
      </w:r>
    </w:p>
    <w:p>
      <w:pPr>
        <w:spacing w:after="0" w:line="165" w:lineRule="exact"/>
        <w:rPr>
          <w:sz w:val="20"/>
          <w:szCs w:val="20"/>
          <w:color w:val="auto"/>
        </w:rPr>
      </w:pPr>
    </w:p>
    <w:p>
      <w:pPr>
        <w:ind w:left="2380" w:hanging="441"/>
        <w:spacing w:after="0"/>
        <w:tabs>
          <w:tab w:leader="none" w:pos="2380" w:val="left"/>
        </w:tabs>
        <w:numPr>
          <w:ilvl w:val="0"/>
          <w:numId w:val="320"/>
        </w:numPr>
        <w:rPr>
          <w:rFonts w:ascii="Arial" w:cs="Arial" w:eastAsia="Arial" w:hAnsi="Arial"/>
          <w:sz w:val="18"/>
          <w:szCs w:val="18"/>
          <w:b w:val="1"/>
          <w:bCs w:val="1"/>
          <w:color w:val="auto"/>
        </w:rPr>
      </w:pPr>
      <w:r>
        <w:rPr>
          <w:rFonts w:ascii="Arial" w:cs="Arial" w:eastAsia="Arial" w:hAnsi="Arial"/>
          <w:sz w:val="18"/>
          <w:szCs w:val="18"/>
          <w:color w:val="auto"/>
        </w:rPr>
        <w:t>for a termination for Good Reason, immediately upon Executive’s full satisfaction of the requirements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6.1(g).</w:t>
      </w:r>
    </w:p>
    <w:p>
      <w:pPr>
        <w:spacing w:after="0" w:line="211" w:lineRule="exact"/>
        <w:rPr>
          <w:sz w:val="20"/>
          <w:szCs w:val="20"/>
          <w:color w:val="auto"/>
        </w:rPr>
      </w:pPr>
    </w:p>
    <w:p>
      <w:pPr>
        <w:ind w:right="280" w:firstLine="1428"/>
        <w:spacing w:after="0" w:line="259" w:lineRule="auto"/>
        <w:tabs>
          <w:tab w:leader="none" w:pos="1877"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In the event notice of a termination under subsections (a)(i) and (iii) is given orally, at the other party’s request, the party giving notice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w:t>
      </w:r>
    </w:p>
    <w:p>
      <w:pPr>
        <w:spacing w:after="0" w:line="183" w:lineRule="exact"/>
        <w:rPr>
          <w:sz w:val="20"/>
          <w:szCs w:val="20"/>
          <w:color w:val="auto"/>
        </w:rPr>
      </w:pPr>
    </w:p>
    <w:p>
      <w:pPr>
        <w:ind w:right="240" w:firstLine="991"/>
        <w:spacing w:after="0" w:line="256"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Cooperation With Company After Termination of Employment</w:t>
      </w:r>
      <w:r>
        <w:rPr>
          <w:rFonts w:ascii="Arial" w:cs="Arial" w:eastAsia="Arial" w:hAnsi="Arial"/>
          <w:sz w:val="18"/>
          <w:szCs w:val="18"/>
          <w:color w:val="auto"/>
        </w:rPr>
        <w:t>. Following termination of Executive’s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Executive shall fully cooperate with the Company in all matters relating to the winding up of Executive’s pending work including, but not limited to, any litigation in which the Company is involved, and the orderly transfer of any such pending work to such other employees as may be designated by the Company. The Company will reimburse Executive for reasonable out-of-pocket expenses Executive incurs in connection with any such cooperation (excluding forgone wages, salary, or other compensation) and will make reasonable efforts to accommodate Executive’s scheduling needs.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413" w:name="page414"/>
    <w:bookmarkEnd w:id="413"/>
    <w:p>
      <w:pPr>
        <w:ind w:right="40" w:firstLine="991"/>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6.8 </w:t>
      </w:r>
      <w:r>
        <w:rPr>
          <w:rFonts w:ascii="Arial" w:cs="Arial" w:eastAsia="Arial" w:hAnsi="Arial"/>
          <w:sz w:val="16"/>
          <w:szCs w:val="16"/>
          <w:b w:val="1"/>
          <w:bCs w:val="1"/>
          <w:u w:val="single" w:color="auto"/>
          <w:color w:val="auto"/>
        </w:rPr>
        <w:t>Application of Section 409A</w:t>
      </w:r>
      <w:r>
        <w:rPr>
          <w:rFonts w:ascii="Arial" w:cs="Arial" w:eastAsia="Arial" w:hAnsi="Arial"/>
          <w:sz w:val="16"/>
          <w:szCs w:val="16"/>
          <w:color w:val="auto"/>
        </w:rPr>
        <w:t>. It is intended that all of the benefits and payments under this Agreement satisfy, to the greatest extent</w:t>
      </w:r>
      <w:r>
        <w:rPr>
          <w:rFonts w:ascii="Arial" w:cs="Arial" w:eastAsia="Arial" w:hAnsi="Arial"/>
          <w:sz w:val="16"/>
          <w:szCs w:val="16"/>
          <w:b w:val="1"/>
          <w:bCs w:val="1"/>
          <w:color w:val="auto"/>
        </w:rPr>
        <w:t xml:space="preserve"> </w:t>
      </w:r>
      <w:r>
        <w:rPr>
          <w:rFonts w:ascii="Arial" w:cs="Arial" w:eastAsia="Arial" w:hAnsi="Arial"/>
          <w:sz w:val="16"/>
          <w:szCs w:val="16"/>
          <w:color w:val="auto"/>
        </w:rPr>
        <w:t>possible, the exemptions from the application of Section 409A of the Code provided under Treasury Regulations 1.409A-1(b)(4), 1.409A-1(b)(5) and 1.409A-1(b)(9), and this Agreement will be construed to the greatest extent possible as consistent with those provisions. If not so exempt, this Agreement (and any definitions hereunder) will be construed in a manner that complies with Section 409A of the Code, and incorporates by reference all required definitions and payment terms. For purposes of Section 409A of the Code (including, without limitation, for purposes of Treasury Regulation Section 1.409A-2(b)(2)(iii)), Executive’s right to receive any installment payments under this Agreement (whether severance payments, reimbursements or otherwise) will be treated as a right to receive a series of separate payments and, accordingly, each installment payment hereunder will at all times be considered a separate and distinct payment. Notwithstanding any provision to the contrary in this Agreement, if Executive is deemed by the Company at the time of his Separation from Service to be a “specified employee” for purposes of Section 409A(a)(2)(B)(i) of the Code, and if any of the payments upon Separation from Service set forth herein and/or under any other agreement with the Company are deemed to be “deferred compensation”, then if delayed commencement of any portion of such payments is required to avoid a prohibited distribution under Section 409A(a)(2) (B)(i) of the Code and the related adverse taxation under Section 409A of the Code, the timing of the payments upon a Separation from Service will be delayed as follows: on the earlier to occur of (i) the date that is six months and one day after the effective date of Executive’s Separation from Service, and (ii) the date of Executive’s death (such earlier date, the “</w:t>
      </w:r>
      <w:r>
        <w:rPr>
          <w:rFonts w:ascii="Arial" w:cs="Arial" w:eastAsia="Arial" w:hAnsi="Arial"/>
          <w:sz w:val="16"/>
          <w:szCs w:val="16"/>
          <w:b w:val="1"/>
          <w:bCs w:val="1"/>
          <w:i w:val="1"/>
          <w:iCs w:val="1"/>
          <w:color w:val="auto"/>
        </w:rPr>
        <w:t>Delayed Initial Payment Date</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Company will (A) pay to Executive a lump sum amount equal to the sum of the payments upon Separation from Service that Executive would otherwise have received through the Delayed Initial Payment Date if the commencement of the payments had not been delayed pursuant to this paragraph, and (B) commence paying the balance of the payments in accordance with the applicable payment schedules set forth above. No interest will be due on any amounts so deferred.</w:t>
      </w:r>
    </w:p>
    <w:p>
      <w:pPr>
        <w:spacing w:after="0" w:line="282" w:lineRule="exact"/>
        <w:rPr>
          <w:sz w:val="20"/>
          <w:szCs w:val="20"/>
          <w:color w:val="auto"/>
        </w:rPr>
      </w:pPr>
    </w:p>
    <w:p>
      <w:pPr>
        <w:ind w:left="800" w:hanging="364"/>
        <w:spacing w:after="0"/>
        <w:tabs>
          <w:tab w:leader="none" w:pos="80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u w:val="single" w:color="auto"/>
          <w:color w:val="auto"/>
        </w:rPr>
        <w:t xml:space="preserve"> 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u w:val="single" w:color="auto"/>
          <w:color w:val="auto"/>
        </w:rPr>
        <w:t>.</w:t>
      </w:r>
    </w:p>
    <w:p>
      <w:pPr>
        <w:spacing w:after="0" w:line="117"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notices required hereunder to be in writing shall be deemed effectively given: (a) upon personal delivery to the party to</w:t>
      </w:r>
      <w:r>
        <w:rPr>
          <w:rFonts w:ascii="Arial" w:cs="Arial" w:eastAsia="Arial" w:hAnsi="Arial"/>
          <w:sz w:val="17"/>
          <w:szCs w:val="17"/>
          <w:b w:val="1"/>
          <w:bCs w:val="1"/>
          <w:color w:val="auto"/>
        </w:rPr>
        <w:t xml:space="preserve"> </w:t>
      </w:r>
      <w:r>
        <w:rPr>
          <w:rFonts w:ascii="Arial" w:cs="Arial" w:eastAsia="Arial" w:hAnsi="Arial"/>
          <w:sz w:val="17"/>
          <w:szCs w:val="17"/>
          <w:color w:val="auto"/>
        </w:rPr>
        <w:t>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Executive’s address as listed on the Company payroll or to Executive’s Company-issued email address or Executive’s email address as listed in Company records, or at such other address as the Company or Executive may designate by ten (10) days advance written notice to the other.</w:t>
      </w:r>
    </w:p>
    <w:p>
      <w:pPr>
        <w:spacing w:after="0" w:line="172"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Whenever possible, each provision of this Agreement will be interpreted in such manner as to be effective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law, but if 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414" w:name="page415"/>
    <w:bookmarkEnd w:id="414"/>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61" w:lineRule="exact"/>
        <w:rPr>
          <w:sz w:val="20"/>
          <w:szCs w:val="20"/>
          <w:color w:val="auto"/>
        </w:rPr>
      </w:pPr>
    </w:p>
    <w:p>
      <w:pPr>
        <w:jc w:val="both"/>
        <w:ind w:right="160" w:firstLine="991"/>
        <w:spacing w:after="0" w:line="266"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Agreement which by their terms must survive the termination of this Agreement in order to effectuate</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intent of the parties will survive any such termination, whether by expiration of the term, termination of Executive’s employment, or otherwise, for such period as may be appropriate under the circumstances.</w:t>
      </w:r>
    </w:p>
    <w:p>
      <w:pPr>
        <w:spacing w:after="0" w:line="176" w:lineRule="exact"/>
        <w:rPr>
          <w:sz w:val="20"/>
          <w:szCs w:val="20"/>
          <w:color w:val="auto"/>
        </w:rPr>
      </w:pPr>
    </w:p>
    <w:p>
      <w:pPr>
        <w:ind w:right="120" w:firstLine="991"/>
        <w:spacing w:after="0" w:line="282"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If either party should waive any breach of any provisions of this Agreement, it shall not thereby be deemed to have waived</w:t>
      </w:r>
      <w:r>
        <w:rPr>
          <w:rFonts w:ascii="Arial" w:cs="Arial" w:eastAsia="Arial" w:hAnsi="Arial"/>
          <w:sz w:val="18"/>
          <w:szCs w:val="18"/>
          <w:b w:val="1"/>
          <w:bCs w:val="1"/>
          <w:color w:val="auto"/>
        </w:rPr>
        <w:t xml:space="preserve"> </w:t>
      </w:r>
      <w:r>
        <w:rPr>
          <w:rFonts w:ascii="Arial" w:cs="Arial" w:eastAsia="Arial" w:hAnsi="Arial"/>
          <w:sz w:val="18"/>
          <w:szCs w:val="18"/>
          <w:color w:val="auto"/>
        </w:rPr>
        <w:t>any preceding or succeeding breach of the same or any other provision of this Agreement.</w:t>
      </w:r>
    </w:p>
    <w:p>
      <w:pPr>
        <w:spacing w:after="0" w:line="162" w:lineRule="exact"/>
        <w:rPr>
          <w:sz w:val="20"/>
          <w:szCs w:val="20"/>
          <w:color w:val="auto"/>
        </w:rPr>
      </w:pPr>
    </w:p>
    <w:p>
      <w:pPr>
        <w:ind w:right="180" w:firstLine="991"/>
        <w:spacing w:after="0" w:line="291" w:lineRule="auto"/>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b w:val="1"/>
          <w:bCs w:val="1"/>
          <w:u w:val="single" w:color="auto"/>
          <w:color w:val="auto"/>
        </w:rPr>
        <w:t>Complete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constitutes the entire agreement between Executive and the Company with regard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 hereof. This Agreement is the complete, final, and exclusive embodiment of their agreement with regard to this subject matter and supersedes any prior oral discussions or written communications and agreements.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Confidential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59"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separate counterparts, any one of which need not contain signatures of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one party, but all of which taken together will constitute one and the same Agreement.</w:t>
      </w:r>
    </w:p>
    <w:p>
      <w:pPr>
        <w:spacing w:after="0" w:line="162" w:lineRule="exact"/>
        <w:rPr>
          <w:sz w:val="20"/>
          <w:szCs w:val="20"/>
          <w:color w:val="auto"/>
        </w:rPr>
      </w:pPr>
    </w:p>
    <w:p>
      <w:pPr>
        <w:ind w:right="140" w:firstLine="991"/>
        <w:spacing w:after="0" w:line="282" w:lineRule="auto"/>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of the sections hereof are inserted for convenience only and shall not be deemed to constitute a part hereof</w:t>
      </w:r>
      <w:r>
        <w:rPr>
          <w:rFonts w:ascii="Arial" w:cs="Arial" w:eastAsia="Arial" w:hAnsi="Arial"/>
          <w:sz w:val="18"/>
          <w:szCs w:val="18"/>
          <w:b w:val="1"/>
          <w:bCs w:val="1"/>
          <w:color w:val="auto"/>
        </w:rPr>
        <w:t xml:space="preserve"> </w:t>
      </w:r>
      <w:r>
        <w:rPr>
          <w:rFonts w:ascii="Arial" w:cs="Arial" w:eastAsia="Arial" w:hAnsi="Arial"/>
          <w:sz w:val="18"/>
          <w:szCs w:val="18"/>
          <w:color w:val="auto"/>
        </w:rPr>
        <w:t>nor to affect the meaning thereof.</w:t>
      </w:r>
    </w:p>
    <w:p>
      <w:pPr>
        <w:spacing w:after="0" w:line="162" w:lineRule="exact"/>
        <w:rPr>
          <w:sz w:val="20"/>
          <w:szCs w:val="20"/>
          <w:color w:val="auto"/>
        </w:rPr>
      </w:pPr>
    </w:p>
    <w:p>
      <w:pPr>
        <w:ind w:right="80" w:firstLine="991"/>
        <w:spacing w:after="0" w:line="256" w:lineRule="auto"/>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assign this Agreement and its rights and obligations hereunder in whole, but not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15" w:name="page416"/>
    <w:bookmarkEnd w:id="415"/>
    <w:p>
      <w:pPr>
        <w:ind w:right="60"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7.9 </w:t>
      </w:r>
      <w:r>
        <w:rPr>
          <w:rFonts w:ascii="Arial" w:cs="Arial" w:eastAsia="Arial" w:hAnsi="Arial"/>
          <w:sz w:val="18"/>
          <w:szCs w:val="18"/>
          <w:b w:val="1"/>
          <w:bCs w:val="1"/>
          <w:u w:val="single" w:color="auto"/>
          <w:color w:val="auto"/>
        </w:rPr>
        <w:t>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All questions concerning the construction, validity and interpretation of this Agreement will be governed by the law</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Indiana.</w:t>
      </w:r>
    </w:p>
    <w:p>
      <w:pPr>
        <w:spacing w:after="0" w:line="162"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b w:val="1"/>
          <w:bCs w:val="1"/>
          <w:color w:val="auto"/>
        </w:rPr>
        <w:t xml:space="preserve">7.10 </w:t>
      </w:r>
      <w:r>
        <w:rPr>
          <w:rFonts w:ascii="Arial" w:cs="Arial" w:eastAsia="Arial" w:hAnsi="Arial"/>
          <w:sz w:val="16"/>
          <w:szCs w:val="16"/>
          <w:b w:val="1"/>
          <w:bCs w:val="1"/>
          <w:u w:val="single" w:color="auto"/>
          <w:color w:val="auto"/>
        </w:rPr>
        <w:t>Resolution of Disputes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recognize that litigation in federal or state courts or before federal or state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agencies of disputes arising out of Executive’s employment with the Company or out of this Agreement, or Executive’s termination of employment or termination of this Agreement, may not be in the best interests of either Executive or the Company, and may result in unnecessary costs, delays, complexities, and uncertainty. The parties agree that any dispute between the parties arising out of or relating to the negotiation, execution, performance or termination of this Agreement or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Employment Arbitration Rules and Mediation Procedures of the American Arbitration Association;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Charlottesville, Virginia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at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Arial" w:cs="Arial" w:eastAsia="Arial" w:hAnsi="Arial"/>
          <w:sz w:val="16"/>
          <w:szCs w:val="16"/>
          <w:b w:val="1"/>
          <w:bCs w:val="1"/>
          <w:color w:val="auto"/>
        </w:rPr>
        <w:t>exclusive remedy</w:t>
      </w:r>
      <w:r>
        <w:rPr>
          <w:rFonts w:ascii="Arial" w:cs="Arial" w:eastAsia="Arial" w:hAnsi="Arial"/>
          <w:sz w:val="16"/>
          <w:szCs w:val="16"/>
          <w:color w:val="auto"/>
        </w:rPr>
        <w:t xml:space="preserve">, and each party expressly waives any right it might have to seek redress in any other forum, except as otherwise expressly provided in this Agreement. By election arbitration as the means for final settlement of all claims,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416" w:name="page417"/>
    <w:bookmarkEnd w:id="416"/>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have executed this Employment Agreement on the day and year written below effective as of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(as defined herein).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Acumen 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Daniel J.O’Connell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Daniel J.O’Connell,</w:t>
      </w:r>
    </w:p>
    <w:p>
      <w:pPr>
        <w:spacing w:after="0" w:line="27"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Eric Siemers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Eric Siemers, MD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780"/>
          </w:cols>
          <w:pgMar w:left="440" w:top="270" w:right="679" w:bottom="1440" w:gutter="0" w:footer="0" w:header="0"/>
        </w:sectPr>
      </w:pPr>
    </w:p>
    <w:bookmarkStart w:id="417" w:name="page418"/>
    <w:bookmarkEnd w:id="417"/>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entered into effective </w:t>
      </w:r>
      <w:r>
        <w:rPr>
          <w:rFonts w:ascii="Arial" w:cs="Arial" w:eastAsia="Arial" w:hAnsi="Arial"/>
          <w:sz w:val="18"/>
          <w:szCs w:val="18"/>
          <w:b w:val="1"/>
          <w:bCs w:val="1"/>
          <w:color w:val="auto"/>
        </w:rPr>
        <w:t>January 1, 2021</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Russell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Barton </w:t>
      </w:r>
      <w:r>
        <w:rPr>
          <w:rFonts w:ascii="Arial" w:cs="Arial" w:eastAsia="Arial" w:hAnsi="Arial"/>
          <w:sz w:val="18"/>
          <w:szCs w:val="18"/>
          <w:color w:val="auto"/>
        </w:rPr>
        <w:t>(the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w:t>
      </w:r>
      <w:r>
        <w:rPr>
          <w:rFonts w:ascii="Arial" w:cs="Arial" w:eastAsia="Arial" w:hAnsi="Arial"/>
          <w:sz w:val="18"/>
          <w:szCs w:val="18"/>
          <w:b w:val="1"/>
          <w:bCs w:val="1"/>
          <w:color w:val="auto"/>
        </w:rPr>
        <w:t xml:space="preserve"> Acumen Pharmaceuticals, Inc. </w:t>
      </w:r>
      <w:r>
        <w:rPr>
          <w:rFonts w:ascii="Arial" w:cs="Arial" w:eastAsia="Arial" w:hAnsi="Arial"/>
          <w:sz w:val="18"/>
          <w:szCs w:val="18"/>
          <w:color w:val="auto"/>
        </w:rPr>
        <w:t>(the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supersedes and replaces any prior consulting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letter between the Parties and any of their affiliates.</w:t>
      </w:r>
    </w:p>
    <w:p>
      <w:pPr>
        <w:spacing w:after="0" w:line="18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WHEREAS, the Company desires to employ Executive and, in connection therewith, to compensate Executive for Executive’s personal services to the Company; and</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WHEREAS, Executive wishes to be employed by the Company and provide personal services and certain covenants to the Company in return for certain compensation and benefits.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in consideration of the mutual promises and covenants contained herein, the parties agree to the following:</w:t>
      </w:r>
    </w:p>
    <w:p>
      <w:pPr>
        <w:spacing w:after="0" w:line="329"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MPLOYMENT BY THE</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OMPANY</w:t>
      </w:r>
      <w:r>
        <w:rPr>
          <w:rFonts w:ascii="Arial" w:cs="Arial" w:eastAsia="Arial" w:hAnsi="Arial"/>
          <w:sz w:val="18"/>
          <w:szCs w:val="18"/>
          <w:b w:val="1"/>
          <w:bCs w:val="1"/>
          <w:color w:val="auto"/>
        </w:rPr>
        <w:t>.</w:t>
      </w:r>
    </w:p>
    <w:p>
      <w:pPr>
        <w:spacing w:after="0" w:line="117" w:lineRule="exact"/>
        <w:rPr>
          <w:sz w:val="20"/>
          <w:szCs w:val="20"/>
          <w:color w:val="auto"/>
        </w:rPr>
      </w:pPr>
    </w:p>
    <w:p>
      <w:pPr>
        <w:ind w:right="520" w:firstLine="991"/>
        <w:spacing w:after="0" w:line="314"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u w:val="single" w:color="auto"/>
          <w:color w:val="auto"/>
        </w:rPr>
        <w:t>Position</w:t>
      </w:r>
      <w:r>
        <w:rPr>
          <w:rFonts w:ascii="Arial" w:cs="Arial" w:eastAsia="Arial" w:hAnsi="Arial"/>
          <w:sz w:val="16"/>
          <w:szCs w:val="16"/>
          <w:color w:val="auto"/>
        </w:rPr>
        <w:t>. Subject to the terms set forth herein, the Company agrees to employ Executive, in the position of</w:t>
      </w:r>
      <w:r>
        <w:rPr>
          <w:rFonts w:ascii="Arial" w:cs="Arial" w:eastAsia="Arial" w:hAnsi="Arial"/>
          <w:sz w:val="16"/>
          <w:szCs w:val="16"/>
          <w:b w:val="1"/>
          <w:bCs w:val="1"/>
          <w:color w:val="auto"/>
        </w:rPr>
        <w:t xml:space="preserve"> Chief Operations Officer</w:t>
      </w:r>
      <w:r>
        <w:rPr>
          <w:rFonts w:ascii="Arial" w:cs="Arial" w:eastAsia="Arial" w:hAnsi="Arial"/>
          <w:sz w:val="16"/>
          <w:szCs w:val="16"/>
          <w:color w:val="auto"/>
        </w:rPr>
        <w:t>, and Executive hereby accepts such employment. During the term of Executive’s employment with the Company, Executive will devote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best efforts and substantially all (at least eighty-percent) of his business time and attention to the business of the Company.</w:t>
      </w:r>
    </w:p>
    <w:p>
      <w:pPr>
        <w:spacing w:after="0" w:line="142"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Duties</w:t>
      </w:r>
      <w:r>
        <w:rPr>
          <w:rFonts w:ascii="Arial" w:cs="Arial" w:eastAsia="Arial" w:hAnsi="Arial"/>
          <w:sz w:val="18"/>
          <w:szCs w:val="18"/>
          <w:color w:val="auto"/>
        </w:rPr>
        <w:t>. Executive will initially report to the Chief Executive Officer (the “</w:t>
      </w:r>
      <w:r>
        <w:rPr>
          <w:rFonts w:ascii="Arial" w:cs="Arial" w:eastAsia="Arial" w:hAnsi="Arial"/>
          <w:sz w:val="18"/>
          <w:szCs w:val="18"/>
          <w:b w:val="1"/>
          <w:bCs w:val="1"/>
          <w:color w:val="auto"/>
        </w:rPr>
        <w:t>CEO</w:t>
      </w:r>
      <w:r>
        <w:rPr>
          <w:rFonts w:ascii="Arial" w:cs="Arial" w:eastAsia="Arial" w:hAnsi="Arial"/>
          <w:sz w:val="18"/>
          <w:szCs w:val="18"/>
          <w:color w:val="auto"/>
        </w:rPr>
        <w:t>”) of the Company. Executive shall perform his</w:t>
      </w:r>
      <w:r>
        <w:rPr>
          <w:rFonts w:ascii="Arial" w:cs="Arial" w:eastAsia="Arial" w:hAnsi="Arial"/>
          <w:sz w:val="18"/>
          <w:szCs w:val="18"/>
          <w:b w:val="1"/>
          <w:bCs w:val="1"/>
          <w:color w:val="auto"/>
        </w:rPr>
        <w:t xml:space="preserve"> </w:t>
      </w:r>
      <w:r>
        <w:rPr>
          <w:rFonts w:ascii="Arial" w:cs="Arial" w:eastAsia="Arial" w:hAnsi="Arial"/>
          <w:sz w:val="18"/>
          <w:szCs w:val="18"/>
          <w:color w:val="auto"/>
        </w:rPr>
        <w:t>duties under this Agreement initially principally out of his personal residence and the Company’s corporate offices in Carmel, IN or such other location as assigned by the Company. In addition, Executive shall make business trips to such places as may be necessary or advisable for the efficient operations of the Company.</w:t>
      </w:r>
    </w:p>
    <w:p>
      <w:pPr>
        <w:spacing w:after="0" w:line="180"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b w:val="1"/>
          <w:bCs w:val="1"/>
          <w:color w:val="auto"/>
        </w:rPr>
        <w:t xml:space="preserve">1.3 </w:t>
      </w:r>
      <w:r>
        <w:rPr>
          <w:rFonts w:ascii="Arial" w:cs="Arial" w:eastAsia="Arial" w:hAnsi="Arial"/>
          <w:sz w:val="17"/>
          <w:szCs w:val="17"/>
          <w:b w:val="1"/>
          <w:bCs w:val="1"/>
          <w:u w:val="single" w:color="auto"/>
          <w:color w:val="auto"/>
        </w:rPr>
        <w:t>Company Policies and Benefits</w:t>
      </w:r>
      <w:r>
        <w:rPr>
          <w:rFonts w:ascii="Arial" w:cs="Arial" w:eastAsia="Arial" w:hAnsi="Arial"/>
          <w:sz w:val="17"/>
          <w:szCs w:val="17"/>
          <w:color w:val="auto"/>
        </w:rPr>
        <w:t>. The employment relationship between the parties shall also be subject to the Company’s personnel</w:t>
      </w:r>
      <w:r>
        <w:rPr>
          <w:rFonts w:ascii="Arial" w:cs="Arial" w:eastAsia="Arial" w:hAnsi="Arial"/>
          <w:sz w:val="17"/>
          <w:szCs w:val="17"/>
          <w:b w:val="1"/>
          <w:bCs w:val="1"/>
          <w:color w:val="auto"/>
        </w:rPr>
        <w:t xml:space="preserve"> </w:t>
      </w:r>
      <w:r>
        <w:rPr>
          <w:rFonts w:ascii="Arial" w:cs="Arial" w:eastAsia="Arial" w:hAnsi="Arial"/>
          <w:sz w:val="17"/>
          <w:szCs w:val="17"/>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the such plan. The Executive shall be entitled to paid vacation in accordance with the plans, policies, programs and practices of the Company applicable to its senior executives in effect from time to time, but in no event shall the Executive be entitled to less than four (4) weeks of vacation per calendar year (pro-rated for any partial year of service).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ectPr>
          <w:pgSz w:w="11900" w:h="16838" w:orient="portrait"/>
          <w:cols w:equalWidth="0" w:num="1">
            <w:col w:w="11020"/>
          </w:cols>
          <w:pgMar w:left="440" w:top="121" w:right="439" w:bottom="1440" w:gutter="0" w:footer="0" w:header="0"/>
        </w:sectPr>
      </w:pPr>
    </w:p>
    <w:bookmarkStart w:id="418" w:name="page419"/>
    <w:bookmarkEnd w:id="418"/>
    <w:p>
      <w:pPr>
        <w:ind w:left="440"/>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OMPENSATION</w:t>
      </w:r>
      <w:r>
        <w:rPr>
          <w:rFonts w:ascii="Arial" w:cs="Arial" w:eastAsia="Arial" w:hAnsi="Arial"/>
          <w:sz w:val="18"/>
          <w:szCs w:val="18"/>
          <w:b w:val="1"/>
          <w:bCs w:val="1"/>
          <w:color w:val="auto"/>
        </w:rPr>
        <w:t>.</w:t>
      </w:r>
    </w:p>
    <w:p>
      <w:pPr>
        <w:spacing w:after="0" w:line="117"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Salary</w:t>
      </w:r>
      <w:r>
        <w:rPr>
          <w:rFonts w:ascii="Arial" w:cs="Arial" w:eastAsia="Arial" w:hAnsi="Arial"/>
          <w:sz w:val="18"/>
          <w:szCs w:val="18"/>
          <w:color w:val="auto"/>
        </w:rPr>
        <w:t>. Executive shall receive for services to be rendered hereunder an initial base salary of $ 260,000.00 on annualized basis,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review and adjustment from time to time by the Company, and payable subject to standard federal and state payroll withholding requirements in accordance with the Company’s standard payroll practices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w:t>
      </w:r>
    </w:p>
    <w:p>
      <w:pPr>
        <w:spacing w:after="0" w:line="176"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u w:val="single" w:color="auto"/>
          <w:color w:val="auto"/>
        </w:rPr>
        <w:t>Annual Discretionary Bonus</w:t>
      </w:r>
      <w:r>
        <w:rPr>
          <w:rFonts w:ascii="Arial" w:cs="Arial" w:eastAsia="Arial" w:hAnsi="Arial"/>
          <w:sz w:val="16"/>
          <w:szCs w:val="16"/>
          <w:color w:val="auto"/>
        </w:rPr>
        <w:t>. Executive shall be eligible for a discretionary annual calendar year performance bonus (the “</w:t>
      </w:r>
      <w:r>
        <w:rPr>
          <w:rFonts w:ascii="Arial" w:cs="Arial" w:eastAsia="Arial" w:hAnsi="Arial"/>
          <w:sz w:val="16"/>
          <w:szCs w:val="16"/>
          <w:b w:val="1"/>
          <w:bCs w:val="1"/>
          <w:i w:val="1"/>
          <w:iCs w:val="1"/>
          <w:color w:val="auto"/>
        </w:rPr>
        <w:t>Annual</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Bonus</w:t>
      </w:r>
      <w:r>
        <w:rPr>
          <w:rFonts w:ascii="Arial" w:cs="Arial" w:eastAsia="Arial" w:hAnsi="Arial"/>
          <w:sz w:val="16"/>
          <w:szCs w:val="16"/>
          <w:color w:val="auto"/>
        </w:rPr>
        <w:t>”) with an annual target of forty percent (40%) of Executive’s then-current Base Salary (the “</w:t>
      </w:r>
      <w:r>
        <w:rPr>
          <w:rFonts w:ascii="Arial" w:cs="Arial" w:eastAsia="Arial" w:hAnsi="Arial"/>
          <w:sz w:val="16"/>
          <w:szCs w:val="16"/>
          <w:b w:val="1"/>
          <w:bCs w:val="1"/>
          <w:i w:val="1"/>
          <w:iCs w:val="1"/>
          <w:color w:val="auto"/>
        </w:rPr>
        <w:t>Target Amount</w:t>
      </w:r>
      <w:r>
        <w:rPr>
          <w:rFonts w:ascii="Arial" w:cs="Arial" w:eastAsia="Arial" w:hAnsi="Arial"/>
          <w:sz w:val="16"/>
          <w:szCs w:val="16"/>
          <w:color w:val="auto"/>
        </w:rPr>
        <w:t>”). Whether or not Executive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eligible for any Annual Bonus will be dependent upon the actual achievement by Executive and the Company of the applicable individual and corporate performance goals, as determined by the Board. No amount of any Annual Bonus is guaranteed at any time and may be greater or lesser than the Target Amount and may be zero. Any Annual Bonus, if awarded, will be paid in a single installment paid at the same time annual bonuses are generally paid to other similarly-situated employees of the Company and in any event no later than March 1st of the calendar year following the calendar year to which the Annual Bonus is applicable, and will be subject to deductions and withholdings. Executive’s eligibility for an Annual Bonus and the Target Amount, if any, is subject to change in the discretion of the Board (or any authorized committee thereof).</w:t>
      </w:r>
    </w:p>
    <w:p>
      <w:pPr>
        <w:spacing w:after="0" w:line="159"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Expense Reimbursement</w:t>
      </w:r>
      <w:r>
        <w:rPr>
          <w:rFonts w:ascii="Arial" w:cs="Arial" w:eastAsia="Arial" w:hAnsi="Arial"/>
          <w:sz w:val="18"/>
          <w:szCs w:val="18"/>
          <w:color w:val="auto"/>
        </w:rPr>
        <w:t>. The Company will reimburse Executive for reasonable business expenses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standard expense reimbursement policy, as the same may be modified by the Board from time to time. The Company shall reimburse Executive for all customary and appropriate business-related expenses actually incurred and documented in accordance with Company policy, as in effect from time to time . For the avoidance of doubt, to the extent that any reimbursements payable to Executive are subject to the provisions of Section 409A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92" w:lineRule="exact"/>
        <w:rPr>
          <w:sz w:val="20"/>
          <w:szCs w:val="20"/>
          <w:color w:val="auto"/>
        </w:rPr>
      </w:pPr>
    </w:p>
    <w:p>
      <w:pPr>
        <w:ind w:right="20" w:firstLine="991"/>
        <w:spacing w:after="0" w:line="277"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u w:val="single" w:color="auto"/>
          <w:color w:val="auto"/>
        </w:rPr>
        <w:t>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approval by the Board, the Company anticipates granting to Executive an option to purchase 425,305</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the Company’s common stock at the fair market value as determined by the Board as of the date of grant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The anticipated Option will be governed by the terms and conditions of the Company’s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the option grant agreement, and will vest 25% on the one-year anniversary of the date of grant, and thereafter over the ensuing 3 years in a series of thirty-six (36) successive equal monthly installments, subject to your Continuous Service (as defined in the Plan) as of each such date.</w:t>
      </w:r>
    </w:p>
    <w:p>
      <w:pPr>
        <w:spacing w:after="0" w:line="168" w:lineRule="exact"/>
        <w:rPr>
          <w:sz w:val="20"/>
          <w:szCs w:val="20"/>
          <w:color w:val="auto"/>
        </w:rPr>
      </w:pPr>
    </w:p>
    <w:p>
      <w:pPr>
        <w:ind w:right="360" w:firstLine="440"/>
        <w:spacing w:after="0" w:line="258" w:lineRule="auto"/>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ONFIDENTIAL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NFORMATION</w:t>
      </w:r>
      <w:r>
        <w:rPr>
          <w:rFonts w:ascii="Arial" w:cs="Arial" w:eastAsia="Arial" w:hAnsi="Arial"/>
          <w:sz w:val="18"/>
          <w:szCs w:val="18"/>
          <w:b w:val="1"/>
          <w:bCs w:val="1"/>
          <w:u w:val="single" w:color="auto"/>
          <w:color w:val="auto"/>
        </w:rPr>
        <w:t>, I</w:t>
      </w:r>
      <w:r>
        <w:rPr>
          <w:rFonts w:ascii="Arial" w:cs="Arial" w:eastAsia="Arial" w:hAnsi="Arial"/>
          <w:sz w:val="14"/>
          <w:szCs w:val="14"/>
          <w:b w:val="1"/>
          <w:bCs w:val="1"/>
          <w:u w:val="single" w:color="auto"/>
          <w:color w:val="auto"/>
        </w:rPr>
        <w:t>NVENTIONS</w:t>
      </w:r>
      <w:r>
        <w:rPr>
          <w:rFonts w:ascii="Arial" w:cs="Arial" w:eastAsia="Arial" w:hAnsi="Arial"/>
          <w:sz w:val="18"/>
          <w:szCs w:val="18"/>
          <w:b w:val="1"/>
          <w:bCs w:val="1"/>
          <w:u w:val="single" w:color="auto"/>
          <w:color w:val="auto"/>
        </w:rPr>
        <w:t>, N</w:t>
      </w:r>
      <w:r>
        <w:rPr>
          <w:rFonts w:ascii="Arial" w:cs="Arial" w:eastAsia="Arial" w:hAnsi="Arial"/>
          <w:sz w:val="14"/>
          <w:szCs w:val="14"/>
          <w:b w:val="1"/>
          <w:bCs w:val="1"/>
          <w:u w:val="single" w:color="auto"/>
          <w:color w:val="auto"/>
        </w:rPr>
        <w:t>ON</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OMPETITION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ON</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OLICITATION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BLIGATIONS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a condition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employment, Executive agrees to execute and abide by the Employee Confidential Information, Inventions, Non-Solicitation and Non-Competition Agreement, attached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which may be amended by the parties from time to time without regard to this Agreement (the “</w:t>
      </w:r>
      <w:r>
        <w:rPr>
          <w:rFonts w:ascii="Arial" w:cs="Arial" w:eastAsia="Arial" w:hAnsi="Arial"/>
          <w:sz w:val="18"/>
          <w:szCs w:val="18"/>
          <w:b w:val="1"/>
          <w:bCs w:val="1"/>
          <w:i w:val="1"/>
          <w:iCs w:val="1"/>
          <w:color w:val="auto"/>
        </w:rPr>
        <w:t>Confidential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Information Agreement</w:t>
      </w:r>
      <w:r>
        <w:rPr>
          <w:rFonts w:ascii="Arial" w:cs="Arial" w:eastAsia="Arial" w:hAnsi="Arial"/>
          <w:sz w:val="18"/>
          <w:szCs w:val="18"/>
          <w:color w:val="auto"/>
        </w:rPr>
        <w:t>”). The Confidential Information Agreement contains provisions that are intended by the parties to survive and do survive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of this Agreement.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419" w:name="page420"/>
    <w:bookmarkEnd w:id="419"/>
    <w:p>
      <w:pPr>
        <w:ind w:right="100" w:firstLine="436"/>
        <w:spacing w:after="0" w:line="294" w:lineRule="auto"/>
        <w:tabs>
          <w:tab w:leader="none" w:pos="800" w:val="left"/>
        </w:tabs>
        <w:numPr>
          <w:ilvl w:val="0"/>
          <w:numId w:val="3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t>
      </w:r>
      <w:r>
        <w:rPr>
          <w:rFonts w:ascii="Arial" w:cs="Arial" w:eastAsia="Arial" w:hAnsi="Arial"/>
          <w:sz w:val="12"/>
          <w:szCs w:val="12"/>
          <w:b w:val="1"/>
          <w:bCs w:val="1"/>
          <w:u w:val="single" w:color="auto"/>
          <w:color w:val="auto"/>
        </w:rPr>
        <w:t>UTSIDE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w:t>
      </w:r>
      <w:r>
        <w:rPr>
          <w:rFonts w:ascii="Arial" w:cs="Arial" w:eastAsia="Arial" w:hAnsi="Arial"/>
          <w:sz w:val="12"/>
          <w:szCs w:val="12"/>
          <w:b w:val="1"/>
          <w:bCs w:val="1"/>
          <w:u w:val="single" w:color="auto"/>
          <w:color w:val="auto"/>
        </w:rPr>
        <w:t>CTIVITIES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w:t>
      </w:r>
      <w:r>
        <w:rPr>
          <w:rFonts w:ascii="Arial" w:cs="Arial" w:eastAsia="Arial" w:hAnsi="Arial"/>
          <w:sz w:val="12"/>
          <w:szCs w:val="12"/>
          <w:b w:val="1"/>
          <w:bCs w:val="1"/>
          <w:u w:val="single" w:color="auto"/>
          <w:color w:val="auto"/>
        </w:rPr>
        <w:t>URING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w:t>
      </w:r>
      <w:r>
        <w:rPr>
          <w:rFonts w:ascii="Arial" w:cs="Arial" w:eastAsia="Arial" w:hAnsi="Arial"/>
          <w:sz w:val="12"/>
          <w:szCs w:val="12"/>
          <w:b w:val="1"/>
          <w:bCs w:val="1"/>
          <w:u w:val="single" w:color="auto"/>
          <w:color w:val="auto"/>
        </w:rPr>
        <w:t>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with the prior written consent of the Company, Executive will not, while employed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(ii) reasonable time devoted to activities in the non-profit and business communities consistent with Executive’s duties; and (iii) such other activities as may be specifically approved in writing by the Company. [Company hereby acknowledges consent’s to Executive’s existing position at AgeneBio, Inc. and deems that it complies with this Section 4.]</w:t>
      </w:r>
    </w:p>
    <w:p>
      <w:pPr>
        <w:spacing w:after="0" w:line="159" w:lineRule="exact"/>
        <w:rPr>
          <w:rFonts w:ascii="Arial" w:cs="Arial" w:eastAsia="Arial" w:hAnsi="Arial"/>
          <w:sz w:val="16"/>
          <w:szCs w:val="16"/>
          <w:b w:val="1"/>
          <w:bCs w:val="1"/>
          <w:color w:val="auto"/>
        </w:rPr>
      </w:pPr>
    </w:p>
    <w:p>
      <w:pPr>
        <w:ind w:firstLine="436"/>
        <w:spacing w:after="0" w:line="258" w:lineRule="auto"/>
        <w:tabs>
          <w:tab w:leader="none" w:pos="80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ONFLICT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XISTING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BLIGATIONS</w:t>
      </w:r>
      <w:r>
        <w:rPr>
          <w:rFonts w:ascii="Arial" w:cs="Arial" w:eastAsia="Arial" w:hAnsi="Arial"/>
          <w:sz w:val="18"/>
          <w:szCs w:val="18"/>
          <w:color w:val="auto"/>
        </w:rPr>
        <w:t>. Executive represents that Executive’s performance of all the terms of this Agreement and as</w:t>
      </w:r>
      <w:r>
        <w:rPr>
          <w:rFonts w:ascii="Arial" w:cs="Arial" w:eastAsia="Arial" w:hAnsi="Arial"/>
          <w:sz w:val="18"/>
          <w:szCs w:val="18"/>
          <w:b w:val="1"/>
          <w:bCs w:val="1"/>
          <w:color w:val="auto"/>
        </w:rPr>
        <w:t xml:space="preserve"> </w:t>
      </w:r>
      <w:r>
        <w:rPr>
          <w:rFonts w:ascii="Arial" w:cs="Arial" w:eastAsia="Arial" w:hAnsi="Arial"/>
          <w:sz w:val="18"/>
          <w:szCs w:val="18"/>
          <w:color w:val="auto"/>
        </w:rPr>
        <w:t>an Executive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3" w:lineRule="exact"/>
        <w:rPr>
          <w:rFonts w:ascii="Arial" w:cs="Arial" w:eastAsia="Arial" w:hAnsi="Arial"/>
          <w:sz w:val="18"/>
          <w:szCs w:val="18"/>
          <w:b w:val="1"/>
          <w:bCs w:val="1"/>
          <w:color w:val="auto"/>
        </w:rPr>
      </w:pPr>
    </w:p>
    <w:p>
      <w:pPr>
        <w:jc w:val="both"/>
        <w:ind w:right="60" w:firstLine="436"/>
        <w:spacing w:after="0" w:line="261" w:lineRule="auto"/>
        <w:tabs>
          <w:tab w:leader="none" w:pos="80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ERMINATION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acknowledge that Executive’s employment relationship with the Company is at-will. Either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or the Company may terminate the employment relationship for any reason whatsoever at any time, with or without Cause or advance notice. The provisions in this Section govern the amount of compensation, if any, to be provided to Executive upon termination of employment and do not alter this at-will status.</w:t>
      </w:r>
    </w:p>
    <w:p>
      <w:pPr>
        <w:spacing w:after="0" w:line="288"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u w:val="single" w:color="auto"/>
          <w:color w:val="auto"/>
        </w:rPr>
        <w:t>Termination by the Company without Cause or Resignation by Executive for Good Reason</w:t>
      </w:r>
      <w:r>
        <w:rPr>
          <w:rFonts w:ascii="Arial" w:cs="Arial" w:eastAsia="Arial" w:hAnsi="Arial"/>
          <w:sz w:val="16"/>
          <w:szCs w:val="16"/>
          <w:color w:val="auto"/>
        </w:rPr>
        <w:t>.</w:t>
      </w:r>
    </w:p>
    <w:p>
      <w:pPr>
        <w:spacing w:after="0" w:line="121" w:lineRule="exact"/>
        <w:rPr>
          <w:sz w:val="20"/>
          <w:szCs w:val="20"/>
          <w:color w:val="auto"/>
        </w:rPr>
      </w:pPr>
    </w:p>
    <w:p>
      <w:pPr>
        <w:ind w:right="100" w:firstLine="1428"/>
        <w:spacing w:after="0" w:line="286" w:lineRule="auto"/>
        <w:tabs>
          <w:tab w:leader="none" w:pos="1863" w:val="left"/>
        </w:tabs>
        <w:numPr>
          <w:ilvl w:val="0"/>
          <w:numId w:val="324"/>
        </w:numPr>
        <w:rPr>
          <w:rFonts w:ascii="Arial" w:cs="Arial" w:eastAsia="Arial" w:hAnsi="Arial"/>
          <w:sz w:val="17"/>
          <w:szCs w:val="17"/>
          <w:b w:val="1"/>
          <w:bCs w:val="1"/>
          <w:color w:val="auto"/>
        </w:rPr>
      </w:pPr>
      <w:r>
        <w:rPr>
          <w:rFonts w:ascii="Arial" w:cs="Arial" w:eastAsia="Arial" w:hAnsi="Arial"/>
          <w:sz w:val="17"/>
          <w:szCs w:val="17"/>
          <w:color w:val="auto"/>
        </w:rPr>
        <w:t>The Company shall have the right to terminate Executive’s employment with the Company pursuant to this Section 6.1 at any time without Cause (as defined in Section 6.2(b) below) by giving notice as described in Section 7.1 of this Agreement. A termination pursuant to Section 6.4 or 6.5 below is not a termination without Cause for purposes of receiving the benefits described in this Section 6.1.</w:t>
      </w:r>
    </w:p>
    <w:p>
      <w:pPr>
        <w:spacing w:after="0" w:line="165" w:lineRule="exact"/>
        <w:rPr>
          <w:rFonts w:ascii="Arial" w:cs="Arial" w:eastAsia="Arial" w:hAnsi="Arial"/>
          <w:sz w:val="17"/>
          <w:szCs w:val="17"/>
          <w:b w:val="1"/>
          <w:bCs w:val="1"/>
          <w:color w:val="auto"/>
        </w:rPr>
      </w:pPr>
    </w:p>
    <w:p>
      <w:pPr>
        <w:jc w:val="both"/>
        <w:ind w:right="200" w:firstLine="1428"/>
        <w:spacing w:after="0" w:line="259" w:lineRule="auto"/>
        <w:tabs>
          <w:tab w:leader="none" w:pos="1877"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In the event the Company terminates Executive’s employment without Cause or Executive Resigns for Good Reason (as defined in Section 6.1(g) below), and provided that such termination constitutes a “separation from service” (as defined under Treasury Regulation Section 1.409A-1(h), without regard to any alternative definition thereunder, a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then Executive shall be entitled to receive the Accrued Obligations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420" w:name="page421"/>
    <w:bookmarkEnd w:id="420"/>
    <w:p>
      <w:pPr>
        <w:ind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defined below) and, subject to Executive’s compliance with the obligations in Section 6.1(c) below, Executive shall be eligible to receive the following severance benefits (the “</w:t>
      </w:r>
      <w:r>
        <w:rPr>
          <w:rFonts w:ascii="Arial" w:cs="Arial" w:eastAsia="Arial" w:hAnsi="Arial"/>
          <w:sz w:val="18"/>
          <w:szCs w:val="18"/>
          <w:b w:val="1"/>
          <w:bCs w:val="1"/>
          <w:i w:val="1"/>
          <w:iCs w:val="1"/>
          <w:color w:val="auto"/>
        </w:rPr>
        <w:t>Severance Benefits</w:t>
      </w:r>
      <w:r>
        <w:rPr>
          <w:rFonts w:ascii="Arial" w:cs="Arial" w:eastAsia="Arial" w:hAnsi="Arial"/>
          <w:sz w:val="18"/>
          <w:szCs w:val="18"/>
          <w:color w:val="auto"/>
        </w:rPr>
        <w:t>”):</w:t>
      </w:r>
    </w:p>
    <w:p>
      <w:pPr>
        <w:spacing w:after="0" w:line="170" w:lineRule="exact"/>
        <w:rPr>
          <w:sz w:val="20"/>
          <w:szCs w:val="20"/>
          <w:color w:val="auto"/>
        </w:rPr>
      </w:pPr>
    </w:p>
    <w:p>
      <w:pPr>
        <w:jc w:val="both"/>
        <w:ind w:firstLine="1979"/>
        <w:spacing w:after="0" w:line="259" w:lineRule="auto"/>
        <w:tabs>
          <w:tab w:leader="none" w:pos="2374" w:val="left"/>
        </w:tabs>
        <w:numPr>
          <w:ilvl w:val="1"/>
          <w:numId w:val="325"/>
        </w:numPr>
        <w:rPr>
          <w:rFonts w:ascii="Arial" w:cs="Arial" w:eastAsia="Arial" w:hAnsi="Arial"/>
          <w:sz w:val="18"/>
          <w:szCs w:val="18"/>
          <w:b w:val="1"/>
          <w:bCs w:val="1"/>
          <w:color w:val="auto"/>
        </w:rPr>
      </w:pPr>
      <w:r>
        <w:rPr>
          <w:rFonts w:ascii="Arial" w:cs="Arial" w:eastAsia="Arial" w:hAnsi="Arial"/>
          <w:sz w:val="18"/>
          <w:szCs w:val="18"/>
          <w:color w:val="auto"/>
        </w:rPr>
        <w:t>The Company will pay Executive an amount equal to Executive’s then current Base Salary for six (6) months, less all applicable withholdings and deductions, and paid in equal installments beginning on the Company’s second regularly scheduled payroll date following the Release Effective Date (as defined in Section 6.1(c) below), with the remaining installments occurring on the Company’s regularly scheduled payroll dates thereafter.</w:t>
      </w:r>
    </w:p>
    <w:p>
      <w:pPr>
        <w:spacing w:after="0" w:line="186" w:lineRule="exact"/>
        <w:rPr>
          <w:rFonts w:ascii="Arial" w:cs="Arial" w:eastAsia="Arial" w:hAnsi="Arial"/>
          <w:sz w:val="18"/>
          <w:szCs w:val="18"/>
          <w:b w:val="1"/>
          <w:bCs w:val="1"/>
          <w:color w:val="auto"/>
        </w:rPr>
      </w:pPr>
    </w:p>
    <w:p>
      <w:pPr>
        <w:ind w:firstLine="1979"/>
        <w:spacing w:after="0" w:line="287" w:lineRule="auto"/>
        <w:tabs>
          <w:tab w:leader="none" w:pos="2427" w:val="left"/>
        </w:tabs>
        <w:numPr>
          <w:ilvl w:val="1"/>
          <w:numId w:val="325"/>
        </w:numPr>
        <w:rPr>
          <w:rFonts w:ascii="Arial" w:cs="Arial" w:eastAsia="Arial" w:hAnsi="Arial"/>
          <w:sz w:val="16"/>
          <w:szCs w:val="16"/>
          <w:b w:val="1"/>
          <w:bCs w:val="1"/>
          <w:color w:val="auto"/>
        </w:rPr>
      </w:pPr>
      <w:r>
        <w:rPr>
          <w:rFonts w:ascii="Arial" w:cs="Arial" w:eastAsia="Arial" w:hAnsi="Arial"/>
          <w:sz w:val="16"/>
          <w:szCs w:val="16"/>
          <w:color w:val="auto"/>
        </w:rPr>
        <w:t>If Executive timely elects continued coverage under COBRA for Executive and Executive’s dependents under the Company’s group health plans following such termination, then the Company shall pay the COBRA premiums necessary to continue Executive’s and his covered dependents’ health insurance coverage in effect for Executive (and Executive’s covered dependents) on the termination date until the earliest of: (i) twelve (12) months following the termination date (the “</w:t>
      </w:r>
      <w:r>
        <w:rPr>
          <w:rFonts w:ascii="Arial" w:cs="Arial" w:eastAsia="Arial" w:hAnsi="Arial"/>
          <w:sz w:val="16"/>
          <w:szCs w:val="16"/>
          <w:b w:val="1"/>
          <w:bCs w:val="1"/>
          <w:i w:val="1"/>
          <w:iCs w:val="1"/>
          <w:color w:val="auto"/>
        </w:rPr>
        <w:t>COBRA Severance Period</w:t>
      </w:r>
      <w:r>
        <w:rPr>
          <w:rFonts w:ascii="Arial" w:cs="Arial" w:eastAsia="Arial" w:hAnsi="Arial"/>
          <w:sz w:val="16"/>
          <w:szCs w:val="16"/>
          <w:color w:val="auto"/>
        </w:rPr>
        <w:t>”); (ii) the date when Executive becomes eligible for substantially equivalent health insurance coverage in connection with new employment or self-employment; or (iii) the date Executive ceases to be eligible for COBRA continuation coverage for any reason, including plan termination (such period from the termination date through the earlier of (i)-(iii), (the “</w:t>
      </w:r>
      <w:r>
        <w:rPr>
          <w:rFonts w:ascii="Arial" w:cs="Arial" w:eastAsia="Arial" w:hAnsi="Arial"/>
          <w:sz w:val="16"/>
          <w:szCs w:val="16"/>
          <w:b w:val="1"/>
          <w:bCs w:val="1"/>
          <w:i w:val="1"/>
          <w:iCs w:val="1"/>
          <w:color w:val="auto"/>
        </w:rPr>
        <w:t>COBRA Payment Period</w:t>
      </w:r>
      <w:r>
        <w:rPr>
          <w:rFonts w:ascii="Arial" w:cs="Arial" w:eastAsia="Arial" w:hAnsi="Arial"/>
          <w:sz w:val="16"/>
          <w:szCs w:val="16"/>
          <w:color w:val="auto"/>
        </w:rPr>
        <w:t>”). Notwithstanding the foregoing, if at any time the Company determines that its payment of COBRA premiums on 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for the remainder of the COBRA Payment Period. Nothing in this Agreement shall deprive Executive of his rights under COBRA or ERISA for benefits under plans and policies arising under his employment by the Company.</w:t>
      </w:r>
    </w:p>
    <w:p>
      <w:pPr>
        <w:spacing w:after="0" w:line="167" w:lineRule="exact"/>
        <w:rPr>
          <w:rFonts w:ascii="Arial" w:cs="Arial" w:eastAsia="Arial" w:hAnsi="Arial"/>
          <w:sz w:val="16"/>
          <w:szCs w:val="16"/>
          <w:b w:val="1"/>
          <w:bCs w:val="1"/>
          <w:color w:val="auto"/>
        </w:rPr>
      </w:pPr>
    </w:p>
    <w:p>
      <w:pPr>
        <w:ind w:right="80" w:firstLine="1428"/>
        <w:spacing w:after="0" w:line="274" w:lineRule="auto"/>
        <w:tabs>
          <w:tab w:leader="none" w:pos="1856" w:val="left"/>
        </w:tabs>
        <w:numPr>
          <w:ilvl w:val="0"/>
          <w:numId w:val="326"/>
        </w:numPr>
        <w:rPr>
          <w:rFonts w:ascii="Arial" w:cs="Arial" w:eastAsia="Arial" w:hAnsi="Arial"/>
          <w:sz w:val="17"/>
          <w:szCs w:val="17"/>
          <w:b w:val="1"/>
          <w:bCs w:val="1"/>
          <w:color w:val="auto"/>
        </w:rPr>
      </w:pPr>
      <w:r>
        <w:rPr>
          <w:rFonts w:ascii="Arial" w:cs="Arial" w:eastAsia="Arial" w:hAnsi="Arial"/>
          <w:sz w:val="17"/>
          <w:szCs w:val="17"/>
          <w:color w:val="auto"/>
        </w:rPr>
        <w:t>Executive will be paid all of the Accrued Obligations (as defined in Section 6.1(d) below) on the Company’s first payroll date after Executive’s date of termination from employment or earlier if required by law. If eligible to receive the Severance Benefits pursuant to</w:t>
      </w:r>
    </w:p>
    <w:p>
      <w:pPr>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Section 6.1(b) of this Agreement, Executive will only receive such Severance Benefits if: (i) within the time period provided in the separation agreement (which shall be no longer than 60 days following the date of Executive’s Separation from Service), Executive has signed and delivered to the Company a separation agreement that includes, among other terms, an effective general release of claims in favor of the Company and its affiliates and representatives, in the form presented by the Company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which cannot be revoked in whole or part by such date (the date that the Release can no longer be revoked is referred to as the “</w:t>
      </w:r>
      <w:r>
        <w:rPr>
          <w:rFonts w:ascii="Arial" w:cs="Arial" w:eastAsia="Arial" w:hAnsi="Arial"/>
          <w:sz w:val="17"/>
          <w:szCs w:val="17"/>
          <w:b w:val="1"/>
          <w:bCs w:val="1"/>
          <w:i w:val="1"/>
          <w:iCs w:val="1"/>
          <w:color w:val="auto"/>
        </w:rPr>
        <w:t>Release Effective Date</w:t>
      </w:r>
      <w:r>
        <w:rPr>
          <w:rFonts w:ascii="Arial" w:cs="Arial" w:eastAsia="Arial" w:hAnsi="Arial"/>
          <w:sz w:val="17"/>
          <w:szCs w:val="17"/>
          <w:color w:val="auto"/>
        </w:rPr>
        <w:t>”); and (ii) if Executive holds any other positions with the Company, he resigns such position(s) to be effective no later than the date of Executive’s termination date (or such other date as requested by the Board); (iii) Executive returns all Company property; (iv) Executive complies with his post-termination obligations under this Agreement and the Confidential Information Agreement; and (v) Executive complies with the terms of the Release, including, without limitation, any non-disparagement, confidentiality and cooperation provisions contained in Release.</w:t>
      </w:r>
    </w:p>
    <w:p>
      <w:pPr>
        <w:spacing w:after="0" w:line="181" w:lineRule="exact"/>
        <w:rPr>
          <w:rFonts w:ascii="Arial" w:cs="Arial" w:eastAsia="Arial" w:hAnsi="Arial"/>
          <w:sz w:val="17"/>
          <w:szCs w:val="17"/>
          <w:b w:val="1"/>
          <w:bCs w:val="1"/>
          <w:color w:val="auto"/>
        </w:rPr>
      </w:pPr>
    </w:p>
    <w:p>
      <w:pPr>
        <w:ind w:firstLine="1428"/>
        <w:spacing w:after="0" w:line="259" w:lineRule="auto"/>
        <w:tabs>
          <w:tab w:leader="none" w:pos="1877"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Accrued Obligations</w:t>
      </w:r>
      <w:r>
        <w:rPr>
          <w:rFonts w:ascii="Arial" w:cs="Arial" w:eastAsia="Arial" w:hAnsi="Arial"/>
          <w:sz w:val="18"/>
          <w:szCs w:val="18"/>
          <w:color w:val="auto"/>
        </w:rPr>
        <w:t>”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21" w:name="page422"/>
    <w:bookmarkEnd w:id="421"/>
    <w:p>
      <w:pPr>
        <w:ind w:left="4" w:right="60" w:firstLine="1428"/>
        <w:spacing w:after="0" w:line="277" w:lineRule="auto"/>
        <w:tabs>
          <w:tab w:leader="none" w:pos="1857" w:val="left"/>
        </w:tabs>
        <w:numPr>
          <w:ilvl w:val="0"/>
          <w:numId w:val="32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Severance Benefits provided to Executive pursuant to this Section 6.1 are in lieu of, and not in addition to, any benefits to which Executive may otherwise be entitled under any Company severance plan, policy or program.</w:t>
      </w:r>
    </w:p>
    <w:p>
      <w:pPr>
        <w:spacing w:after="0" w:line="170" w:lineRule="exact"/>
        <w:rPr>
          <w:rFonts w:ascii="Arial" w:cs="Arial" w:eastAsia="Arial" w:hAnsi="Arial"/>
          <w:sz w:val="18"/>
          <w:szCs w:val="18"/>
          <w:b w:val="1"/>
          <w:bCs w:val="1"/>
          <w:color w:val="auto"/>
        </w:rPr>
      </w:pPr>
    </w:p>
    <w:p>
      <w:pPr>
        <w:ind w:left="4" w:right="200" w:firstLine="1428"/>
        <w:spacing w:after="0" w:line="263" w:lineRule="auto"/>
        <w:tabs>
          <w:tab w:leader="none" w:pos="1831" w:val="left"/>
        </w:tabs>
        <w:numPr>
          <w:ilvl w:val="0"/>
          <w:numId w:val="327"/>
        </w:numPr>
        <w:rPr>
          <w:rFonts w:ascii="Arial" w:cs="Arial" w:eastAsia="Arial" w:hAnsi="Arial"/>
          <w:sz w:val="18"/>
          <w:szCs w:val="18"/>
          <w:b w:val="1"/>
          <w:bCs w:val="1"/>
          <w:color w:val="auto"/>
        </w:rPr>
      </w:pPr>
      <w:r>
        <w:rPr>
          <w:rFonts w:ascii="Arial" w:cs="Arial" w:eastAsia="Arial" w:hAnsi="Arial"/>
          <w:sz w:val="18"/>
          <w:szCs w:val="18"/>
          <w:color w:val="auto"/>
        </w:rPr>
        <w:t>Any damages caused by the termination of Executive’s employment without Cause would be difficult to ascertain; therefore, the Severance Benefits for which Executive is eligible pursuant to Section 6.1(b) above in exchange for the Release is agreed to by the parties as liquidated damages, to serve as full compensation, and not a penalty.</w:t>
      </w:r>
    </w:p>
    <w:p>
      <w:pPr>
        <w:spacing w:after="0" w:line="183" w:lineRule="exact"/>
        <w:rPr>
          <w:rFonts w:ascii="Arial" w:cs="Arial" w:eastAsia="Arial" w:hAnsi="Arial"/>
          <w:sz w:val="18"/>
          <w:szCs w:val="18"/>
          <w:b w:val="1"/>
          <w:bCs w:val="1"/>
          <w:color w:val="auto"/>
        </w:rPr>
      </w:pPr>
    </w:p>
    <w:p>
      <w:pPr>
        <w:ind w:left="4" w:firstLine="1428"/>
        <w:spacing w:after="0" w:line="287" w:lineRule="auto"/>
        <w:tabs>
          <w:tab w:leader="none" w:pos="1871" w:val="left"/>
        </w:tabs>
        <w:numPr>
          <w:ilvl w:val="0"/>
          <w:numId w:val="32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for purposes of this Agreement shall mean the occurrence of any of the following conditions without Executive’s consent, after Executive’s provision of written notice to the Company of the existence of such condition (which notice must be provided as described in Section 7.1 within thirty (30) days of the initial existence of the condition and must specify the particular condition in reasonable detail), provided that the Company has not first provided notice to Executive of its intent to terminate Executive’s employment: (i) a material reduction in Executive’s duties, responsibilities or authorities, provided, however, that neither the conversation of the Company to a subsidiary, division or unit of an acquiring entity, or Executive’s reporting relationships following a Change in Control, nor a change in title, will be deemed a “material reduction” in and of itself or material adverse alteration in, Executive’s position, title, duties, or responsibilities; (ii) a material (greater than 10%) reduction by the Company of Executive’s Base Salary (except in the case of either an across the board reduction in salaries or a temporary reduction due to financial exigency); or (iii) the relocation of Executive’s principal place of employment by fifty (50) or more miles from Executive’s then-current principal place of employment. Notwithstanding the foregoing, Good Reason shall only exist if the Company is provided a thirty (30) day period to cure the event or condition giving rise to Good Reason, and it fails to do so within that cure period (and, additionally, Executive must resign for such Good Reason condition by giving notice as described in Section 7.1 within thirty (30) days after the period for curing the violation or condition has ended).</w:t>
      </w:r>
    </w:p>
    <w:p>
      <w:pPr>
        <w:spacing w:after="0" w:line="272" w:lineRule="exact"/>
        <w:rPr>
          <w:sz w:val="20"/>
          <w:szCs w:val="20"/>
          <w:color w:val="auto"/>
        </w:rPr>
      </w:pPr>
    </w:p>
    <w:p>
      <w:pPr>
        <w:ind w:left="984"/>
        <w:spacing w:after="0"/>
        <w:tabs>
          <w:tab w:leader="none" w:pos="142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u w:val="single" w:color="auto"/>
          <w:color w:val="auto"/>
        </w:rPr>
        <w:t>Termination by the Company for Cause</w:t>
      </w:r>
      <w:r>
        <w:rPr>
          <w:rFonts w:ascii="Arial" w:cs="Arial" w:eastAsia="Arial" w:hAnsi="Arial"/>
          <w:sz w:val="16"/>
          <w:szCs w:val="16"/>
          <w:color w:val="auto"/>
        </w:rPr>
        <w:t>.</w:t>
      </w:r>
    </w:p>
    <w:p>
      <w:pPr>
        <w:spacing w:after="0" w:line="121" w:lineRule="exact"/>
        <w:rPr>
          <w:sz w:val="20"/>
          <w:szCs w:val="20"/>
          <w:color w:val="auto"/>
        </w:rPr>
      </w:pPr>
    </w:p>
    <w:p>
      <w:pPr>
        <w:ind w:left="4" w:right="280" w:firstLine="1428"/>
        <w:spacing w:after="0" w:line="277" w:lineRule="auto"/>
        <w:tabs>
          <w:tab w:leader="none" w:pos="1867"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The Company shall have the right to terminate Executive’s employment with the Company at any time for Cause by giving notice as described in Section 7.1 of this Agreement.</w:t>
      </w:r>
    </w:p>
    <w:p>
      <w:pPr>
        <w:spacing w:after="0" w:line="170" w:lineRule="exact"/>
        <w:rPr>
          <w:rFonts w:ascii="Arial" w:cs="Arial" w:eastAsia="Arial" w:hAnsi="Arial"/>
          <w:sz w:val="18"/>
          <w:szCs w:val="18"/>
          <w:b w:val="1"/>
          <w:bCs w:val="1"/>
          <w:color w:val="auto"/>
        </w:rPr>
      </w:pPr>
    </w:p>
    <w:p>
      <w:pPr>
        <w:jc w:val="both"/>
        <w:ind w:left="4" w:right="60" w:firstLine="1428"/>
        <w:spacing w:after="0" w:line="286" w:lineRule="auto"/>
        <w:tabs>
          <w:tab w:leader="none" w:pos="1881" w:val="left"/>
        </w:tabs>
        <w:numPr>
          <w:ilvl w:val="1"/>
          <w:numId w:val="328"/>
        </w:numPr>
        <w:rPr>
          <w:rFonts w:ascii="Arial" w:cs="Arial" w:eastAsia="Arial" w:hAnsi="Arial"/>
          <w:sz w:val="16"/>
          <w:szCs w:val="16"/>
          <w:b w:val="1"/>
          <w:bCs w:val="1"/>
          <w:color w:val="auto"/>
        </w:rPr>
      </w:pPr>
      <w:r>
        <w:rPr>
          <w:rFonts w:ascii="Arial" w:cs="Arial" w:eastAsia="Arial" w:hAnsi="Arial"/>
          <w:sz w:val="16"/>
          <w:szCs w:val="16"/>
          <w:color w:val="auto"/>
        </w:rPr>
        <w:t>“Cause” for purposes of this Agreement shall mean that the Company has determined in its sole discretion that Executive has engaged in any of the following: (i) a material breach of any covenant or condition under this Agreement or any other agreement between the Company and Executive; (ii) any act constituting dishonesty, fraud, immoral or disreputable conduct; (iii) any conduct which constitutes a felony under applicable law; (iv) violation of any Company policy or any act of misconduct; (v) refusal to follow or implement a clear and reasonable directive of Company;</w:t>
      </w:r>
    </w:p>
    <w:p>
      <w:pPr>
        <w:spacing w:after="0" w:line="1" w:lineRule="exact"/>
        <w:rPr>
          <w:rFonts w:ascii="Arial" w:cs="Arial" w:eastAsia="Arial" w:hAnsi="Arial"/>
          <w:sz w:val="16"/>
          <w:szCs w:val="16"/>
          <w:b w:val="1"/>
          <w:bCs w:val="1"/>
          <w:color w:val="auto"/>
        </w:rPr>
      </w:pPr>
    </w:p>
    <w:p>
      <w:pPr>
        <w:ind w:left="4" w:right="20" w:hanging="4"/>
        <w:spacing w:after="0" w:line="277" w:lineRule="auto"/>
        <w:tabs>
          <w:tab w:leader="none" w:pos="309" w:val="left"/>
        </w:tabs>
        <w:numPr>
          <w:ilvl w:val="0"/>
          <w:numId w:val="329"/>
        </w:numPr>
        <w:rPr>
          <w:rFonts w:ascii="Arial" w:cs="Arial" w:eastAsia="Arial" w:hAnsi="Arial"/>
          <w:sz w:val="17"/>
          <w:szCs w:val="17"/>
          <w:color w:val="auto"/>
        </w:rPr>
      </w:pPr>
      <w:r>
        <w:rPr>
          <w:rFonts w:ascii="Arial" w:cs="Arial" w:eastAsia="Arial" w:hAnsi="Arial"/>
          <w:sz w:val="17"/>
          <w:szCs w:val="17"/>
          <w:color w:val="auto"/>
        </w:rPr>
        <w:t>negligence or incompetence in the performance of Executive’s duties or failure to perform such duties in a manner satisfactory to the Company after the expiration of ten (10) days without cure after written notice of such failure; (vii) failure to pass to the satisfaction of the Company, a preliminary background check or failure to submit proof of legal eligibility to work in the United States; or (viii) breach of fiduciary duty.</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422" w:name="page423"/>
    <w:bookmarkEnd w:id="422"/>
    <w:p>
      <w:pPr>
        <w:ind w:right="200" w:firstLine="1428"/>
        <w:spacing w:after="0" w:line="263" w:lineRule="auto"/>
        <w:tabs>
          <w:tab w:leader="none" w:pos="1856"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Executive’s employment is terminated at any time for Cause, Executive will not receive Severance Benefits, or any other compensation or benefits, except that, pursuant to the Company’s standard payroll policies, the Company shall provide to Executive the Accrued Obligations.</w:t>
      </w:r>
    </w:p>
    <w:p>
      <w:pPr>
        <w:spacing w:after="0" w:line="288"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u w:val="single" w:color="auto"/>
          <w:color w:val="auto"/>
        </w:rPr>
        <w:t>Resignation by Executive (other than for Good Reason)</w:t>
      </w:r>
      <w:r>
        <w:rPr>
          <w:rFonts w:ascii="Arial" w:cs="Arial" w:eastAsia="Arial" w:hAnsi="Arial"/>
          <w:sz w:val="16"/>
          <w:szCs w:val="16"/>
          <w:b w:val="1"/>
          <w:bCs w:val="1"/>
          <w:color w:val="auto"/>
        </w:rPr>
        <w:t>.</w:t>
      </w:r>
    </w:p>
    <w:p>
      <w:pPr>
        <w:spacing w:after="0" w:line="121" w:lineRule="exact"/>
        <w:rPr>
          <w:sz w:val="20"/>
          <w:szCs w:val="20"/>
          <w:color w:val="auto"/>
        </w:rPr>
      </w:pPr>
    </w:p>
    <w:p>
      <w:pPr>
        <w:ind w:left="1860" w:hanging="432"/>
        <w:spacing w:after="0"/>
        <w:tabs>
          <w:tab w:leader="none" w:pos="1860" w:val="left"/>
        </w:tabs>
        <w:numPr>
          <w:ilvl w:val="0"/>
          <w:numId w:val="331"/>
        </w:numPr>
        <w:rPr>
          <w:rFonts w:ascii="Arial" w:cs="Arial" w:eastAsia="Arial" w:hAnsi="Arial"/>
          <w:sz w:val="17"/>
          <w:szCs w:val="17"/>
          <w:b w:val="1"/>
          <w:bCs w:val="1"/>
          <w:color w:val="auto"/>
        </w:rPr>
      </w:pPr>
      <w:r>
        <w:rPr>
          <w:rFonts w:ascii="Arial" w:cs="Arial" w:eastAsia="Arial" w:hAnsi="Arial"/>
          <w:sz w:val="17"/>
          <w:szCs w:val="17"/>
          <w:color w:val="auto"/>
        </w:rPr>
        <w:t>Executive may resign from Executive’s employment with the Company at any time by giving notice as described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7.1.</w:t>
      </w:r>
    </w:p>
    <w:p>
      <w:pPr>
        <w:spacing w:after="0" w:line="211" w:lineRule="exact"/>
        <w:rPr>
          <w:sz w:val="20"/>
          <w:szCs w:val="20"/>
          <w:color w:val="auto"/>
        </w:rPr>
      </w:pPr>
    </w:p>
    <w:p>
      <w:pPr>
        <w:ind w:firstLine="1428"/>
        <w:spacing w:after="0" w:line="263" w:lineRule="auto"/>
        <w:tabs>
          <w:tab w:leader="none" w:pos="1877"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t>In the event Executive resigns from Executive’s employment with the Company (other than for Good Reason), Executive will not receive Severance Benefits, or any other compensation or benefits, except that, pursuant to the Company’s standard payroll policies, the Company shall provide to Executive the Accrued Obligations.</w:t>
      </w:r>
    </w:p>
    <w:p>
      <w:pPr>
        <w:spacing w:after="0" w:line="288"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u w:val="single" w:color="auto"/>
          <w:color w:val="auto"/>
        </w:rPr>
        <w:t>Termination by Virtue of Death or Disability of Executive</w:t>
      </w:r>
      <w:r>
        <w:rPr>
          <w:rFonts w:ascii="Arial" w:cs="Arial" w:eastAsia="Arial" w:hAnsi="Arial"/>
          <w:sz w:val="16"/>
          <w:szCs w:val="16"/>
          <w:color w:val="auto"/>
        </w:rPr>
        <w:t>.</w:t>
      </w:r>
    </w:p>
    <w:p>
      <w:pPr>
        <w:spacing w:after="0" w:line="121" w:lineRule="exact"/>
        <w:rPr>
          <w:sz w:val="20"/>
          <w:szCs w:val="20"/>
          <w:color w:val="auto"/>
        </w:rPr>
      </w:pPr>
    </w:p>
    <w:p>
      <w:pPr>
        <w:ind w:right="260" w:firstLine="1428"/>
        <w:spacing w:after="0" w:line="279" w:lineRule="auto"/>
        <w:tabs>
          <w:tab w:leader="none" w:pos="1867" w:val="left"/>
        </w:tabs>
        <w:numPr>
          <w:ilvl w:val="0"/>
          <w:numId w:val="333"/>
        </w:numPr>
        <w:rPr>
          <w:rFonts w:ascii="Arial" w:cs="Arial" w:eastAsia="Arial" w:hAnsi="Arial"/>
          <w:sz w:val="17"/>
          <w:szCs w:val="17"/>
          <w:b w:val="1"/>
          <w:bCs w:val="1"/>
          <w:color w:val="auto"/>
        </w:rPr>
      </w:pPr>
      <w:r>
        <w:rPr>
          <w:rFonts w:ascii="Arial" w:cs="Arial" w:eastAsia="Arial" w:hAnsi="Arial"/>
          <w:sz w:val="17"/>
          <w:szCs w:val="17"/>
          <w:color w:val="auto"/>
        </w:rPr>
        <w:t>In the event of Executive’s death while employed pursuant to this Agreement, all obligations of the parties hereunder shall terminate immediately, and the Company shall, pursuant to the Company’s standard payroll policies, provide to Executive’s legal representatives Executive’s accrued but unpaid salary through the date of death together with all compensation and benefits payable to Executive based on his participation in any compensation or benefit plan, program or arrangement through the date of termination.</w:t>
      </w:r>
    </w:p>
    <w:p>
      <w:pPr>
        <w:spacing w:after="0" w:line="171" w:lineRule="exact"/>
        <w:rPr>
          <w:rFonts w:ascii="Arial" w:cs="Arial" w:eastAsia="Arial" w:hAnsi="Arial"/>
          <w:sz w:val="17"/>
          <w:szCs w:val="17"/>
          <w:b w:val="1"/>
          <w:bCs w:val="1"/>
          <w:color w:val="auto"/>
        </w:rPr>
      </w:pPr>
    </w:p>
    <w:p>
      <w:pPr>
        <w:ind w:right="40" w:firstLine="1428"/>
        <w:spacing w:after="0" w:line="288" w:lineRule="auto"/>
        <w:tabs>
          <w:tab w:leader="none" w:pos="1877" w:val="left"/>
        </w:tabs>
        <w:numPr>
          <w:ilvl w:val="0"/>
          <w:numId w:val="333"/>
        </w:numPr>
        <w:rPr>
          <w:rFonts w:ascii="Arial" w:cs="Arial" w:eastAsia="Arial" w:hAnsi="Arial"/>
          <w:sz w:val="16"/>
          <w:szCs w:val="16"/>
          <w:b w:val="1"/>
          <w:bCs w:val="1"/>
          <w:color w:val="auto"/>
        </w:rPr>
      </w:pPr>
      <w:r>
        <w:rPr>
          <w:rFonts w:ascii="Arial" w:cs="Arial" w:eastAsia="Arial" w:hAnsi="Arial"/>
          <w:sz w:val="16"/>
          <w:szCs w:val="16"/>
          <w:color w:val="auto"/>
        </w:rPr>
        <w:t>Subject to applicable state and federal law, the Company shall at all times have the right, upon written notice to Executive, to terminate this Agreement based on Executive’s Disability (as defined below). Termination by the Company of Executive’s employment based on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shall mean termination because Executive is unable due to a physical or mental condition to perform the essential functions of Executive’s position with or without reasonable accommodation for one hundred twenty (120) consecutive calendar days 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the Severance Benefits, or any other severance compensation or benefit, except that, pursuant to the Company’s standard payroll policies, the Company shall pay to Executive the accrued but unpaid salary of Executive through the date of termination, together with all compensation and benefits payable to Executive based on his participation in any compensation or benefit plan, program or arrangement through the date of termination.</w:t>
      </w:r>
    </w:p>
    <w:p>
      <w:pPr>
        <w:spacing w:after="0" w:line="164"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7"/>
          <w:szCs w:val="17"/>
          <w:b w:val="1"/>
          <w:bCs w:val="1"/>
          <w:u w:val="single" w:color="auto"/>
          <w:color w:val="auto"/>
        </w:rPr>
        <w:t>[RESERVED]</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4" w:right="519" w:bottom="1440" w:gutter="0" w:footer="0" w:header="0"/>
        </w:sectPr>
      </w:pPr>
    </w:p>
    <w:bookmarkStart w:id="423" w:name="page424"/>
    <w:bookmarkEnd w:id="423"/>
    <w:p>
      <w:pPr>
        <w:ind w:left="980"/>
        <w:spacing w:after="0"/>
        <w:tabs>
          <w:tab w:leader="none" w:pos="1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6.6</w:t>
      </w:r>
      <w:r>
        <w:rPr>
          <w:sz w:val="20"/>
          <w:szCs w:val="20"/>
          <w:color w:val="auto"/>
        </w:rPr>
        <w:tab/>
      </w:r>
      <w:r>
        <w:rPr>
          <w:rFonts w:ascii="Arial" w:cs="Arial" w:eastAsia="Arial" w:hAnsi="Arial"/>
          <w:sz w:val="16"/>
          <w:szCs w:val="16"/>
          <w:b w:val="1"/>
          <w:bCs w:val="1"/>
          <w:u w:val="single" w:color="auto"/>
          <w:color w:val="auto"/>
        </w:rPr>
        <w:t>Notice; Effective Date of Termination</w:t>
      </w:r>
      <w:r>
        <w:rPr>
          <w:rFonts w:ascii="Arial" w:cs="Arial" w:eastAsia="Arial" w:hAnsi="Arial"/>
          <w:sz w:val="16"/>
          <w:szCs w:val="16"/>
          <w:color w:val="auto"/>
        </w:rPr>
        <w:t>.</w:t>
      </w:r>
    </w:p>
    <w:p>
      <w:pPr>
        <w:spacing w:after="0" w:line="121" w:lineRule="exact"/>
        <w:rPr>
          <w:sz w:val="20"/>
          <w:szCs w:val="20"/>
          <w:color w:val="auto"/>
        </w:rPr>
      </w:pPr>
    </w:p>
    <w:p>
      <w:pPr>
        <w:ind w:left="1860" w:hanging="432"/>
        <w:spacing w:after="0"/>
        <w:tabs>
          <w:tab w:leader="none" w:pos="1860"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Termination of Executive’s employment pursuant to this Agreement shall be effective on the earliest of:</w:t>
      </w:r>
    </w:p>
    <w:p>
      <w:pPr>
        <w:spacing w:after="0" w:line="117" w:lineRule="exact"/>
        <w:rPr>
          <w:rFonts w:ascii="Arial" w:cs="Arial" w:eastAsia="Arial" w:hAnsi="Arial"/>
          <w:sz w:val="18"/>
          <w:szCs w:val="18"/>
          <w:b w:val="1"/>
          <w:bCs w:val="1"/>
          <w:color w:val="auto"/>
        </w:rPr>
      </w:pPr>
    </w:p>
    <w:p>
      <w:pPr>
        <w:ind w:right="240" w:firstLine="1979"/>
        <w:spacing w:after="0" w:line="263" w:lineRule="auto"/>
        <w:tabs>
          <w:tab w:leader="none" w:pos="2377" w:val="left"/>
        </w:tabs>
        <w:numPr>
          <w:ilvl w:val="1"/>
          <w:numId w:val="334"/>
        </w:numPr>
        <w:rPr>
          <w:rFonts w:ascii="Arial" w:cs="Arial" w:eastAsia="Arial" w:hAnsi="Arial"/>
          <w:sz w:val="18"/>
          <w:szCs w:val="18"/>
          <w:b w:val="1"/>
          <w:bCs w:val="1"/>
          <w:color w:val="auto"/>
        </w:rPr>
      </w:pPr>
      <w:r>
        <w:rPr>
          <w:rFonts w:ascii="Arial" w:cs="Arial" w:eastAsia="Arial" w:hAnsi="Arial"/>
          <w:sz w:val="18"/>
          <w:szCs w:val="18"/>
          <w:color w:val="auto"/>
        </w:rPr>
        <w:t>immediately after the Company gives notice to Executive of Executive’s termination, with or without Cause, unless pursuant to Section 6.2(b)(vi) in which case ten (10) days after notice if not cured or unless the Company specifies a later date, in which case, termination shall be effective as of such later date;</w:t>
      </w:r>
    </w:p>
    <w:p>
      <w:pPr>
        <w:spacing w:after="0" w:line="183" w:lineRule="exact"/>
        <w:rPr>
          <w:rFonts w:ascii="Arial" w:cs="Arial" w:eastAsia="Arial" w:hAnsi="Arial"/>
          <w:sz w:val="18"/>
          <w:szCs w:val="18"/>
          <w:b w:val="1"/>
          <w:bCs w:val="1"/>
          <w:color w:val="auto"/>
        </w:rPr>
      </w:pPr>
    </w:p>
    <w:p>
      <w:pPr>
        <w:ind w:left="2420" w:hanging="441"/>
        <w:spacing w:after="0"/>
        <w:tabs>
          <w:tab w:leader="none" w:pos="2420" w:val="left"/>
        </w:tabs>
        <w:numPr>
          <w:ilvl w:val="1"/>
          <w:numId w:val="334"/>
        </w:numPr>
        <w:rPr>
          <w:rFonts w:ascii="Arial" w:cs="Arial" w:eastAsia="Arial" w:hAnsi="Arial"/>
          <w:sz w:val="18"/>
          <w:szCs w:val="18"/>
          <w:b w:val="1"/>
          <w:bCs w:val="1"/>
          <w:color w:val="auto"/>
        </w:rPr>
      </w:pPr>
      <w:r>
        <w:rPr>
          <w:rFonts w:ascii="Arial" w:cs="Arial" w:eastAsia="Arial" w:hAnsi="Arial"/>
          <w:sz w:val="18"/>
          <w:szCs w:val="18"/>
          <w:color w:val="auto"/>
        </w:rPr>
        <w:t>immediately upon Executive’s death;</w:t>
      </w:r>
    </w:p>
    <w:p>
      <w:pPr>
        <w:spacing w:after="0" w:line="225" w:lineRule="exact"/>
        <w:rPr>
          <w:rFonts w:ascii="Arial" w:cs="Arial" w:eastAsia="Arial" w:hAnsi="Arial"/>
          <w:sz w:val="18"/>
          <w:szCs w:val="18"/>
          <w:b w:val="1"/>
          <w:bCs w:val="1"/>
          <w:color w:val="auto"/>
        </w:rPr>
      </w:pPr>
    </w:p>
    <w:p>
      <w:pPr>
        <w:ind w:right="100" w:firstLine="1979"/>
        <w:spacing w:after="0" w:line="263" w:lineRule="auto"/>
        <w:tabs>
          <w:tab w:leader="none" w:pos="2477" w:val="left"/>
        </w:tabs>
        <w:numPr>
          <w:ilvl w:val="1"/>
          <w:numId w:val="334"/>
        </w:numPr>
        <w:rPr>
          <w:rFonts w:ascii="Arial" w:cs="Arial" w:eastAsia="Arial" w:hAnsi="Arial"/>
          <w:sz w:val="18"/>
          <w:szCs w:val="18"/>
          <w:b w:val="1"/>
          <w:bCs w:val="1"/>
          <w:color w:val="auto"/>
        </w:rPr>
      </w:pPr>
      <w:r>
        <w:rPr>
          <w:rFonts w:ascii="Arial" w:cs="Arial" w:eastAsia="Arial" w:hAnsi="Arial"/>
          <w:sz w:val="18"/>
          <w:szCs w:val="18"/>
          <w:color w:val="auto"/>
        </w:rPr>
        <w:t xml:space="preserve">ten (10) days after the Company gives notice to Executive of Executive’s termination on account of Executive’s Disability, unless the Company specifies a later date, in which case, termination shall be effective as of such later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Executive has not returned to the full time performance of Executive’s duties prior to such date;</w:t>
      </w:r>
    </w:p>
    <w:p>
      <w:pPr>
        <w:spacing w:after="0" w:line="183" w:lineRule="exact"/>
        <w:rPr>
          <w:rFonts w:ascii="Arial" w:cs="Arial" w:eastAsia="Arial" w:hAnsi="Arial"/>
          <w:sz w:val="18"/>
          <w:szCs w:val="18"/>
          <w:b w:val="1"/>
          <w:bCs w:val="1"/>
          <w:color w:val="auto"/>
        </w:rPr>
      </w:pPr>
    </w:p>
    <w:p>
      <w:pPr>
        <w:ind w:right="180" w:firstLine="1979"/>
        <w:spacing w:after="0" w:line="286" w:lineRule="auto"/>
        <w:tabs>
          <w:tab w:leader="none" w:pos="2467" w:val="left"/>
        </w:tabs>
        <w:numPr>
          <w:ilvl w:val="1"/>
          <w:numId w:val="334"/>
        </w:numPr>
        <w:rPr>
          <w:rFonts w:ascii="Arial" w:cs="Arial" w:eastAsia="Arial" w:hAnsi="Arial"/>
          <w:sz w:val="17"/>
          <w:szCs w:val="17"/>
          <w:b w:val="1"/>
          <w:bCs w:val="1"/>
          <w:color w:val="auto"/>
        </w:rPr>
      </w:pPr>
      <w:r>
        <w:rPr>
          <w:rFonts w:ascii="Arial" w:cs="Arial" w:eastAsia="Arial" w:hAnsi="Arial"/>
          <w:sz w:val="17"/>
          <w:szCs w:val="17"/>
          <w:color w:val="auto"/>
        </w:rPr>
        <w:t xml:space="preserve">ten (10) days after Executive gives written notice to the Company of Executive’s resignation,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set a termination date at any time between the date of notice and the date of resignation, in which case Executive’s resignation shall be effective as of such other date. Executive will receive compensation through any required notice period; or</w:t>
      </w:r>
    </w:p>
    <w:p>
      <w:pPr>
        <w:spacing w:after="0" w:line="165" w:lineRule="exact"/>
        <w:rPr>
          <w:sz w:val="20"/>
          <w:szCs w:val="20"/>
          <w:color w:val="auto"/>
        </w:rPr>
      </w:pPr>
    </w:p>
    <w:p>
      <w:pPr>
        <w:ind w:left="2380" w:hanging="441"/>
        <w:spacing w:after="0"/>
        <w:tabs>
          <w:tab w:leader="none" w:pos="2380" w:val="left"/>
        </w:tabs>
        <w:numPr>
          <w:ilvl w:val="0"/>
          <w:numId w:val="335"/>
        </w:numPr>
        <w:rPr>
          <w:rFonts w:ascii="Arial" w:cs="Arial" w:eastAsia="Arial" w:hAnsi="Arial"/>
          <w:sz w:val="18"/>
          <w:szCs w:val="18"/>
          <w:b w:val="1"/>
          <w:bCs w:val="1"/>
          <w:color w:val="auto"/>
        </w:rPr>
      </w:pPr>
      <w:r>
        <w:rPr>
          <w:rFonts w:ascii="Arial" w:cs="Arial" w:eastAsia="Arial" w:hAnsi="Arial"/>
          <w:sz w:val="18"/>
          <w:szCs w:val="18"/>
          <w:color w:val="auto"/>
        </w:rPr>
        <w:t>for a termination for Good Reason, immediately upon Executive’s full satisfaction of the requirements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6.1(g).</w:t>
      </w:r>
    </w:p>
    <w:p>
      <w:pPr>
        <w:spacing w:after="0" w:line="211" w:lineRule="exact"/>
        <w:rPr>
          <w:sz w:val="20"/>
          <w:szCs w:val="20"/>
          <w:color w:val="auto"/>
        </w:rPr>
      </w:pPr>
    </w:p>
    <w:p>
      <w:pPr>
        <w:ind w:right="260" w:firstLine="1428"/>
        <w:spacing w:after="0" w:line="259" w:lineRule="auto"/>
        <w:tabs>
          <w:tab w:leader="none" w:pos="1877" w:val="left"/>
        </w:tabs>
        <w:numPr>
          <w:ilvl w:val="0"/>
          <w:numId w:val="336"/>
        </w:numPr>
        <w:rPr>
          <w:rFonts w:ascii="Arial" w:cs="Arial" w:eastAsia="Arial" w:hAnsi="Arial"/>
          <w:sz w:val="18"/>
          <w:szCs w:val="18"/>
          <w:b w:val="1"/>
          <w:bCs w:val="1"/>
          <w:color w:val="auto"/>
        </w:rPr>
      </w:pPr>
      <w:r>
        <w:rPr>
          <w:rFonts w:ascii="Arial" w:cs="Arial" w:eastAsia="Arial" w:hAnsi="Arial"/>
          <w:sz w:val="18"/>
          <w:szCs w:val="18"/>
          <w:color w:val="auto"/>
        </w:rPr>
        <w:t>In the event notice of a termination under subsections (a)(i) and (iii) is given orally, at the other party’s request, the party giving notice must provide written confirmation of such notice within five (5) business days of the request in compliance with the requirement of Section 7.1 below. In the event of a termination for Cause, written confirmation shall specify the subsection(s) of the definition of Cause relied on to support the decision to terminate.</w:t>
      </w:r>
    </w:p>
    <w:p>
      <w:pPr>
        <w:spacing w:after="0" w:line="183" w:lineRule="exact"/>
        <w:rPr>
          <w:sz w:val="20"/>
          <w:szCs w:val="20"/>
          <w:color w:val="auto"/>
        </w:rPr>
      </w:pPr>
    </w:p>
    <w:p>
      <w:pPr>
        <w:ind w:right="220" w:firstLine="991"/>
        <w:spacing w:after="0" w:line="256"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Cooperation With Company After Termination of Employment</w:t>
      </w:r>
      <w:r>
        <w:rPr>
          <w:rFonts w:ascii="Arial" w:cs="Arial" w:eastAsia="Arial" w:hAnsi="Arial"/>
          <w:sz w:val="18"/>
          <w:szCs w:val="18"/>
          <w:color w:val="auto"/>
        </w:rPr>
        <w:t>. Following termination of Executive’s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Executive shall fully cooperate with the Company in all matters relating to the winding up of Executive’s pending work including, but not limited to, any litigation in which the Company is involved, and the orderly transfer of any such pending work to such other employees as may be designated by the Company. The Company will reimburse Executive for reasonable out-of-pocket expenses Executive incurs in connection with any such cooperation (excluding forgone wages, salary, or other compensation) and will make reasonable efforts to accommodate Executive’s scheduling needs.</w:t>
      </w:r>
    </w:p>
    <w:p>
      <w:pPr>
        <w:spacing w:after="0" w:line="187" w:lineRule="exact"/>
        <w:rPr>
          <w:sz w:val="20"/>
          <w:szCs w:val="20"/>
          <w:color w:val="auto"/>
        </w:rPr>
      </w:pPr>
    </w:p>
    <w:p>
      <w:pPr>
        <w:ind w:firstLine="991"/>
        <w:spacing w:after="0" w:line="274" w:lineRule="auto"/>
        <w:rPr>
          <w:sz w:val="20"/>
          <w:szCs w:val="20"/>
          <w:color w:val="auto"/>
        </w:rPr>
      </w:pPr>
      <w:r>
        <w:rPr>
          <w:rFonts w:ascii="Arial" w:cs="Arial" w:eastAsia="Arial" w:hAnsi="Arial"/>
          <w:sz w:val="17"/>
          <w:szCs w:val="17"/>
          <w:b w:val="1"/>
          <w:bCs w:val="1"/>
          <w:color w:val="auto"/>
        </w:rPr>
        <w:t xml:space="preserve">6.8 </w:t>
      </w:r>
      <w:r>
        <w:rPr>
          <w:rFonts w:ascii="Arial" w:cs="Arial" w:eastAsia="Arial" w:hAnsi="Arial"/>
          <w:sz w:val="17"/>
          <w:szCs w:val="17"/>
          <w:b w:val="1"/>
          <w:bCs w:val="1"/>
          <w:u w:val="single" w:color="auto"/>
          <w:color w:val="auto"/>
        </w:rPr>
        <w:t>Application of Section 409A</w:t>
      </w:r>
      <w:r>
        <w:rPr>
          <w:rFonts w:ascii="Arial" w:cs="Arial" w:eastAsia="Arial" w:hAnsi="Arial"/>
          <w:sz w:val="17"/>
          <w:szCs w:val="17"/>
          <w:color w:val="auto"/>
        </w:rPr>
        <w:t>. It is intended that all of the benefits and payments under this Agreement satisfy, to the greatest extent</w:t>
      </w:r>
      <w:r>
        <w:rPr>
          <w:rFonts w:ascii="Arial" w:cs="Arial" w:eastAsia="Arial" w:hAnsi="Arial"/>
          <w:sz w:val="17"/>
          <w:szCs w:val="17"/>
          <w:b w:val="1"/>
          <w:bCs w:val="1"/>
          <w:color w:val="auto"/>
        </w:rPr>
        <w:t xml:space="preserve"> </w:t>
      </w:r>
      <w:r>
        <w:rPr>
          <w:rFonts w:ascii="Arial" w:cs="Arial" w:eastAsia="Arial" w:hAnsi="Arial"/>
          <w:sz w:val="17"/>
          <w:szCs w:val="17"/>
          <w:color w:val="auto"/>
        </w:rPr>
        <w:t>possible, the exemptions from the application of Section 409A of the Code provided under Treasury Regulations 1.409A-1(b)(4), 1.409A-1(b)(5) and 1.409A-1(b)(9), and this Agreement will be construed to the greatest extent possible as consistent with those provisions. If not so exempt, this Agreement (and any definitions hereunder) will be construed in a manner that complies with Section 409A of the Code, and incorporates by reference all required definitions and payment terms. For purposes of Section 409A of the Code (including, without limitation, for purposes of Treasury Regulation Section 1.409A-2(b)(2)(iii)), Executive’s right to receive any installment payments under this Agreement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0" w:right="519" w:bottom="1440" w:gutter="0" w:footer="0" w:header="0"/>
        </w:sectPr>
      </w:pPr>
    </w:p>
    <w:bookmarkStart w:id="424" w:name="page425"/>
    <w:bookmarkEnd w:id="424"/>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(whether severance payments, reimbursements or otherwise) will be treated as a right to receive a series of separate payments and, accordingly, each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installment payment hereunder will at all times be considered a separate and distinct payment. Notwithstanding any provision to the contrary in this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Agreement, if Executive is deemed by the Company at the time of his Separation from Service to be a “specified employee” for purposes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409A(a)(2)(B)(i) of the Code, and if any of the payments upon Separation from Service set forth herein and/or under any other agreement with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Company are deemed to be “deferred compensation”, then if delayed commencement of any portion of such payments is required to avoid a</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prohibited distribution under Section 409A(a)(2)(B)(i) of the Code and the related adverse taxation under Section 409A of the Code, the timing of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payments upon a Separation from Service will be delayed as follows: on the earlier to occur of (i) the date that is six months and one day after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effective date of Executive’s Separation from Service, and (ii) the date of Executive’s death (such earlier date, the “</w:t>
      </w:r>
      <w:r>
        <w:rPr>
          <w:rFonts w:ascii="Arial" w:cs="Arial" w:eastAsia="Arial" w:hAnsi="Arial"/>
          <w:sz w:val="16"/>
          <w:szCs w:val="16"/>
          <w:b w:val="1"/>
          <w:bCs w:val="1"/>
          <w:i w:val="1"/>
          <w:iCs w:val="1"/>
          <w:color w:val="auto"/>
        </w:rPr>
        <w:t>Delayed Initial Payment Date</w:t>
      </w:r>
      <w:r>
        <w:rPr>
          <w:rFonts w:ascii="Arial" w:cs="Arial" w:eastAsia="Arial" w:hAnsi="Arial"/>
          <w:sz w:val="16"/>
          <w:szCs w:val="16"/>
          <w:color w:val="auto"/>
        </w:rPr>
        <w:t>”),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Company will (A) pay to Executive a lump sum amount equal to the sum of the payments upon Separation from Service that Executive would otherwise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have received through the Delayed Initial Payment Date if the commencement of the payments had not been delayed pursuant to this paragraph, and</w:t>
      </w:r>
    </w:p>
    <w:p>
      <w:pPr>
        <w:spacing w:after="0" w:line="32" w:lineRule="exact"/>
        <w:rPr>
          <w:sz w:val="20"/>
          <w:szCs w:val="20"/>
          <w:color w:val="auto"/>
        </w:rPr>
      </w:pPr>
    </w:p>
    <w:p>
      <w:pPr>
        <w:ind w:left="4" w:right="120" w:hanging="4"/>
        <w:spacing w:after="0" w:line="260" w:lineRule="auto"/>
        <w:tabs>
          <w:tab w:leader="none" w:pos="289" w:val="left"/>
        </w:tabs>
        <w:numPr>
          <w:ilvl w:val="0"/>
          <w:numId w:val="337"/>
        </w:numPr>
        <w:rPr>
          <w:rFonts w:ascii="Arial" w:cs="Arial" w:eastAsia="Arial" w:hAnsi="Arial"/>
          <w:sz w:val="18"/>
          <w:szCs w:val="18"/>
          <w:color w:val="auto"/>
        </w:rPr>
      </w:pPr>
      <w:r>
        <w:rPr>
          <w:rFonts w:ascii="Arial" w:cs="Arial" w:eastAsia="Arial" w:hAnsi="Arial"/>
          <w:sz w:val="18"/>
          <w:szCs w:val="18"/>
          <w:color w:val="auto"/>
        </w:rPr>
        <w:t>commence paying the balance of the payments in accordance with the applicable payment schedules set forth above. No interest will be due on any amounts so deferred.</w:t>
      </w:r>
    </w:p>
    <w:p>
      <w:pPr>
        <w:spacing w:after="0" w:line="289" w:lineRule="exact"/>
        <w:rPr>
          <w:sz w:val="20"/>
          <w:szCs w:val="20"/>
          <w:color w:val="auto"/>
        </w:rPr>
      </w:pPr>
    </w:p>
    <w:p>
      <w:pPr>
        <w:ind w:left="804" w:hanging="364"/>
        <w:spacing w:after="0"/>
        <w:tabs>
          <w:tab w:leader="none" w:pos="804"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color w:val="auto"/>
        </w:rPr>
        <w:t>.</w:t>
      </w:r>
    </w:p>
    <w:p>
      <w:pPr>
        <w:spacing w:after="0" w:line="117" w:lineRule="exact"/>
        <w:rPr>
          <w:sz w:val="20"/>
          <w:szCs w:val="20"/>
          <w:color w:val="auto"/>
        </w:rPr>
      </w:pPr>
    </w:p>
    <w:p>
      <w:pPr>
        <w:ind w:left="4" w:firstLine="991"/>
        <w:spacing w:after="0" w:line="273"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notices required hereunder to be in writing shall be deemed effectively given: (a) upon personal delivery to the party to</w:t>
      </w:r>
      <w:r>
        <w:rPr>
          <w:rFonts w:ascii="Arial" w:cs="Arial" w:eastAsia="Arial" w:hAnsi="Arial"/>
          <w:sz w:val="17"/>
          <w:szCs w:val="17"/>
          <w:b w:val="1"/>
          <w:bCs w:val="1"/>
          <w:color w:val="auto"/>
        </w:rPr>
        <w:t xml:space="preserve"> </w:t>
      </w:r>
      <w:r>
        <w:rPr>
          <w:rFonts w:ascii="Arial" w:cs="Arial" w:eastAsia="Arial" w:hAnsi="Arial"/>
          <w:sz w:val="17"/>
          <w:szCs w:val="17"/>
          <w:color w:val="auto"/>
        </w:rPr>
        <w:t>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Executive’s address as listed on the Company payroll or to Executive’s Company-issued email address or Executive’s email address as listed in Company records, or at such other address as the Company or Executive may designate by ten (10) days advance written notice to the other.</w:t>
      </w:r>
    </w:p>
    <w:p>
      <w:pPr>
        <w:spacing w:after="0" w:line="172" w:lineRule="exact"/>
        <w:rPr>
          <w:sz w:val="20"/>
          <w:szCs w:val="20"/>
          <w:color w:val="auto"/>
        </w:rPr>
      </w:pPr>
    </w:p>
    <w:p>
      <w:pPr>
        <w:ind w:left="4" w:firstLine="991"/>
        <w:spacing w:after="0" w:line="303"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Whenever possible, each provision of this Agreement will be interpreted in such manner as to be effective and valid</w:t>
      </w:r>
      <w:r>
        <w:rPr>
          <w:rFonts w:ascii="Arial" w:cs="Arial" w:eastAsia="Arial" w:hAnsi="Arial"/>
          <w:sz w:val="16"/>
          <w:szCs w:val="16"/>
          <w:b w:val="1"/>
          <w:bCs w:val="1"/>
          <w:color w:val="auto"/>
        </w:rPr>
        <w:t xml:space="preserve"> </w:t>
      </w:r>
      <w:r>
        <w:rPr>
          <w:rFonts w:ascii="Arial" w:cs="Arial" w:eastAsia="Arial" w:hAnsi="Arial"/>
          <w:sz w:val="16"/>
          <w:szCs w:val="16"/>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51" w:lineRule="exact"/>
        <w:rPr>
          <w:sz w:val="20"/>
          <w:szCs w:val="20"/>
          <w:color w:val="auto"/>
        </w:rPr>
      </w:pPr>
    </w:p>
    <w:p>
      <w:pPr>
        <w:jc w:val="both"/>
        <w:ind w:left="4" w:right="160" w:firstLine="991"/>
        <w:spacing w:after="0" w:line="266"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Provisions of this Agreement which by their terms must survive the termination of this Agreement in order to effectuate</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intent of the parties will survive any such termination, whether by expiration of the term, termination of Executive’s employment, or otherwise, for such period as may be appropriate under the circumstances.</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425" w:name="page426"/>
    <w:bookmarkEnd w:id="425"/>
    <w:p>
      <w:pPr>
        <w:ind w:right="40"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7.4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If either party should waive any breach of any provisions of this Agreement, it shall not thereby be deemed to have waived</w:t>
      </w:r>
      <w:r>
        <w:rPr>
          <w:rFonts w:ascii="Arial" w:cs="Arial" w:eastAsia="Arial" w:hAnsi="Arial"/>
          <w:sz w:val="18"/>
          <w:szCs w:val="18"/>
          <w:b w:val="1"/>
          <w:bCs w:val="1"/>
          <w:color w:val="auto"/>
        </w:rPr>
        <w:t xml:space="preserve"> </w:t>
      </w:r>
      <w:r>
        <w:rPr>
          <w:rFonts w:ascii="Arial" w:cs="Arial" w:eastAsia="Arial" w:hAnsi="Arial"/>
          <w:sz w:val="18"/>
          <w:szCs w:val="18"/>
          <w:color w:val="auto"/>
        </w:rPr>
        <w:t>any preceding or succeeding breach of the same or any other provision of this Agreement.</w:t>
      </w:r>
    </w:p>
    <w:p>
      <w:pPr>
        <w:spacing w:after="0" w:line="162" w:lineRule="exact"/>
        <w:rPr>
          <w:sz w:val="20"/>
          <w:szCs w:val="20"/>
          <w:color w:val="auto"/>
        </w:rPr>
      </w:pPr>
    </w:p>
    <w:p>
      <w:pPr>
        <w:ind w:right="160" w:firstLine="991"/>
        <w:spacing w:after="0" w:line="291" w:lineRule="auto"/>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b w:val="1"/>
          <w:bCs w:val="1"/>
          <w:u w:val="single" w:color="auto"/>
          <w:color w:val="auto"/>
        </w:rPr>
        <w:t>Complete Agreement</w:t>
      </w:r>
      <w:r>
        <w:rPr>
          <w:rFonts w:ascii="Arial" w:cs="Arial" w:eastAsia="Arial" w:hAnsi="Arial"/>
          <w:sz w:val="16"/>
          <w:szCs w:val="16"/>
          <w:color w:val="auto"/>
        </w:rPr>
        <w:t>. This Agreement constitutes the entire agreement between Executive and the Company with regard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 hereof. This Agreement is the complete, final, and exclusive embodiment of their agreement with regard to this subject matter and supersedes any prior oral discussions or written communications and agreements. This Agreement is entered into without reliance on any promise or representation other than those expressly contained herein, and it cannot be modified or amended except in writing signed by Executive and an authorized officer of the Company. The parties have entered into a separate Confidential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59" w:lineRule="exact"/>
        <w:rPr>
          <w:sz w:val="20"/>
          <w:szCs w:val="20"/>
          <w:color w:val="auto"/>
        </w:rPr>
      </w:pPr>
    </w:p>
    <w:p>
      <w:pPr>
        <w:ind w:right="280" w:firstLine="991"/>
        <w:spacing w:after="0" w:line="282"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separate counterparts, any one of which need not contain signatures of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one party, but all of which taken together will constitute one and the same Agreement.</w:t>
      </w:r>
    </w:p>
    <w:p>
      <w:pPr>
        <w:spacing w:after="0" w:line="162"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b w:val="1"/>
          <w:bCs w:val="1"/>
          <w:color w:val="auto"/>
        </w:rPr>
        <w:t xml:space="preserve">7.7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the sections hereof are inserted for convenience only and shall not be deemed to constitute a part hereof</w:t>
      </w:r>
      <w:r>
        <w:rPr>
          <w:rFonts w:ascii="Arial" w:cs="Arial" w:eastAsia="Arial" w:hAnsi="Arial"/>
          <w:sz w:val="18"/>
          <w:szCs w:val="18"/>
          <w:b w:val="1"/>
          <w:bCs w:val="1"/>
          <w:color w:val="auto"/>
        </w:rPr>
        <w:t xml:space="preserve"> </w:t>
      </w:r>
      <w:r>
        <w:rPr>
          <w:rFonts w:ascii="Arial" w:cs="Arial" w:eastAsia="Arial" w:hAnsi="Arial"/>
          <w:sz w:val="18"/>
          <w:szCs w:val="18"/>
          <w:color w:val="auto"/>
        </w:rPr>
        <w:t>nor to affect the meaning thereof.</w:t>
      </w:r>
    </w:p>
    <w:p>
      <w:pPr>
        <w:spacing w:after="0" w:line="162" w:lineRule="exact"/>
        <w:rPr>
          <w:sz w:val="20"/>
          <w:szCs w:val="20"/>
          <w:color w:val="auto"/>
        </w:rPr>
      </w:pPr>
    </w:p>
    <w:p>
      <w:pPr>
        <w:ind w:right="60" w:firstLine="991"/>
        <w:spacing w:after="0" w:line="256" w:lineRule="auto"/>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Company shall assign this Agreement and its rights and obligations hereunder in whole, but not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w:t>
      </w:r>
    </w:p>
    <w:p>
      <w:pPr>
        <w:spacing w:after="0" w:line="187"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b w:val="1"/>
          <w:bCs w:val="1"/>
          <w:color w:val="auto"/>
        </w:rPr>
        <w:t xml:space="preserve">7.9 </w:t>
      </w: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All questions concerning the construction, validity and interpretation of this Agreement will be governed by the law</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Indiana.</w:t>
      </w:r>
    </w:p>
    <w:p>
      <w:pPr>
        <w:spacing w:after="0" w:line="162"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b w:val="1"/>
          <w:bCs w:val="1"/>
          <w:color w:val="auto"/>
        </w:rPr>
        <w:t xml:space="preserve">7.10 </w:t>
      </w:r>
      <w:r>
        <w:rPr>
          <w:rFonts w:ascii="Arial" w:cs="Arial" w:eastAsia="Arial" w:hAnsi="Arial"/>
          <w:sz w:val="18"/>
          <w:szCs w:val="18"/>
          <w:b w:val="1"/>
          <w:bCs w:val="1"/>
          <w:u w:val="single" w:color="auto"/>
          <w:color w:val="auto"/>
        </w:rPr>
        <w:t>Resolution of Disputes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recognize that litigation in federal or state courts or before federal or state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agencies of disputes arising out of Executive’s employment with the Company or out of this Agreement, or Executive’s termination of employment or termination of this Agreement, may not be in the best interests of either Executive or the Company, and may result in unnecessary costs, delays, complexities, and uncertainty. The parties agree that any dispute between the parties arising out of or relating to the negotiation, execution, performance or termination of this Agreement or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426" w:name="page427"/>
    <w:bookmarkEnd w:id="42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Employment Arbitration Rules and Mediation Procedures of the American Arbitration Association;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this dispute resolution provision shall not apply to any separate agreements between the parties that do not themselves specify arbitration as an exclusive remedy. The location for the arbitration shall be the Charlottesville, Virginia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at Executive’s option, Executive may voluntarily pay up to one-half the costs and fees. The parties acknowledge and agree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Arial" w:cs="Arial" w:eastAsia="Arial" w:hAnsi="Arial"/>
          <w:sz w:val="16"/>
          <w:szCs w:val="16"/>
          <w:b w:val="1"/>
          <w:bCs w:val="1"/>
          <w:color w:val="auto"/>
        </w:rPr>
        <w:t>exclusive remedy</w:t>
      </w:r>
      <w:r>
        <w:rPr>
          <w:rFonts w:ascii="Arial" w:cs="Arial" w:eastAsia="Arial" w:hAnsi="Arial"/>
          <w:sz w:val="16"/>
          <w:szCs w:val="16"/>
          <w:color w:val="auto"/>
        </w:rPr>
        <w:t xml:space="preserve">, and each party expressly waives any right it might have to seek redress in any other forum, except as otherwise expressly provided in this Agreement. By election arbitration as the means for final settlement of all claims, </w:t>
      </w:r>
      <w:r>
        <w:rPr>
          <w:rFonts w:ascii="Arial" w:cs="Arial" w:eastAsia="Arial" w:hAnsi="Arial"/>
          <w:sz w:val="16"/>
          <w:szCs w:val="16"/>
          <w:b w:val="1"/>
          <w:bCs w:val="1"/>
          <w:color w:val="auto"/>
        </w:rPr>
        <w:t>the parties hereby waive their respective</w:t>
      </w:r>
      <w:r>
        <w:rPr>
          <w:rFonts w:ascii="Arial" w:cs="Arial" w:eastAsia="Arial" w:hAnsi="Arial"/>
          <w:sz w:val="16"/>
          <w:szCs w:val="16"/>
          <w:color w:val="auto"/>
        </w:rPr>
        <w:t xml:space="preserve"> </w:t>
      </w:r>
      <w:r>
        <w:rPr>
          <w:rFonts w:ascii="Arial" w:cs="Arial" w:eastAsia="Arial" w:hAnsi="Arial"/>
          <w:sz w:val="16"/>
          <w:szCs w:val="16"/>
          <w:b w:val="1"/>
          <w:bCs w:val="1"/>
          <w:color w:val="auto"/>
        </w:rPr>
        <w:t>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r>
        <w:rPr>
          <w:rFonts w:ascii="Arial" w:cs="Arial" w:eastAsia="Arial" w:hAnsi="Arial"/>
          <w:sz w:val="16"/>
          <w:szCs w:val="16"/>
          <w:color w:val="auto"/>
        </w:rPr>
        <w:t>.</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40" w:top="274" w:right="539" w:bottom="1440" w:gutter="0" w:footer="0" w:header="0"/>
        </w:sectPr>
      </w:pPr>
    </w:p>
    <w:bookmarkStart w:id="427" w:name="page428"/>
    <w:bookmarkEnd w:id="42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have executed this Employment Agreement on the day and year written below effective as of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(as defined herein).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Acumen 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Daniel J.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Daniel J. O’Connell,</w:t>
      </w:r>
    </w:p>
    <w:p>
      <w:pPr>
        <w:spacing w:after="0" w:line="27"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29"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 Russell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Russell Barton</w:t>
      </w:r>
    </w:p>
    <w:p>
      <w:pPr>
        <w:spacing w:after="0" w:line="229"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January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780"/>
          </w:cols>
          <w:pgMar w:left="440" w:top="270" w:right="679" w:bottom="1440" w:gutter="0" w:footer="0" w:header="0"/>
        </w:sectPr>
      </w:pPr>
    </w:p>
    <w:bookmarkStart w:id="428" w:name="page429"/>
    <w:bookmarkEnd w:id="42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April 9, 2021, in the Registration Statement (Form S-1, dated June 9, 2021) and related Prospectus of Acumen Pharmaceuticals, Inc. for the registration of its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9,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EFDFA0"/>
    <w:multiLevelType w:val="hybridMultilevel"/>
    <w:lvl w:ilvl="0">
      <w:lvlJc w:val="left"/>
      <w:lvlText w:val="(%1)"/>
      <w:numFmt w:val="decimal"/>
      <w:start w:val="1"/>
    </w:lvl>
  </w:abstractNum>
  <w:abstractNum w:abstractNumId="1">
    <w:nsid w:val="2123D5F2"/>
    <w:multiLevelType w:val="hybridMultilevel"/>
    <w:lvl w:ilvl="0">
      <w:lvlJc w:val="left"/>
      <w:lvlText w:val="(%1)"/>
      <w:numFmt w:val="decimal"/>
      <w:start w:val="1"/>
    </w:lvl>
  </w:abstractNum>
  <w:abstractNum w:abstractNumId="2">
    <w:nsid w:val="135B8110"/>
    <w:multiLevelType w:val="hybridMultilevel"/>
    <w:lvl w:ilvl="0">
      <w:lvlJc w:val="left"/>
      <w:lvlText w:val="•"/>
      <w:numFmt w:val="bullet"/>
      <w:start w:val="1"/>
    </w:lvl>
  </w:abstractNum>
  <w:abstractNum w:abstractNumId="3">
    <w:nsid w:val="94927A8"/>
    <w:multiLevelType w:val="hybridMultilevel"/>
    <w:lvl w:ilvl="0">
      <w:lvlJc w:val="left"/>
      <w:lvlText w:val="•"/>
      <w:numFmt w:val="bullet"/>
      <w:start w:val="1"/>
    </w:lvl>
  </w:abstractNum>
  <w:abstractNum w:abstractNumId="4">
    <w:nsid w:val="DCDF8F6"/>
    <w:multiLevelType w:val="hybridMultilevel"/>
    <w:lvl w:ilvl="0">
      <w:lvlJc w:val="left"/>
      <w:lvlText w:val="•"/>
      <w:numFmt w:val="bullet"/>
      <w:start w:val="1"/>
    </w:lvl>
  </w:abstractNum>
  <w:abstractNum w:abstractNumId="5">
    <w:nsid w:val="52D7B105"/>
    <w:multiLevelType w:val="hybridMultilevel"/>
    <w:lvl w:ilvl="0">
      <w:lvlJc w:val="left"/>
      <w:lvlText w:val="•"/>
      <w:numFmt w:val="bullet"/>
      <w:start w:val="1"/>
    </w:lvl>
  </w:abstractNum>
  <w:abstractNum w:abstractNumId="6">
    <w:nsid w:val="2E8A6394"/>
    <w:multiLevelType w:val="hybridMultilevel"/>
    <w:lvl w:ilvl="0">
      <w:lvlJc w:val="left"/>
      <w:lvlText w:val="•"/>
      <w:numFmt w:val="bullet"/>
      <w:start w:val="1"/>
    </w:lvl>
  </w:abstractNum>
  <w:abstractNum w:abstractNumId="7">
    <w:nsid w:val="24E60401"/>
    <w:multiLevelType w:val="hybridMultilevel"/>
    <w:lvl w:ilvl="0">
      <w:lvlJc w:val="left"/>
      <w:lvlText w:val="•"/>
      <w:numFmt w:val="bullet"/>
      <w:start w:val="1"/>
    </w:lvl>
  </w:abstractNum>
  <w:abstractNum w:abstractNumId="8">
    <w:nsid w:val="2A6AD9BE"/>
    <w:multiLevelType w:val="hybridMultilevel"/>
    <w:lvl w:ilvl="0">
      <w:lvlJc w:val="left"/>
      <w:lvlText w:val="•"/>
      <w:numFmt w:val="bullet"/>
      <w:start w:val="1"/>
    </w:lvl>
  </w:abstractNum>
  <w:abstractNum w:abstractNumId="9">
    <w:nsid w:val="BAAC1B4"/>
    <w:multiLevelType w:val="hybridMultilevel"/>
    <w:lvl w:ilvl="0">
      <w:lvlJc w:val="left"/>
      <w:lvlText w:val="•"/>
      <w:numFmt w:val="bullet"/>
      <w:start w:val="1"/>
    </w:lvl>
  </w:abstractNum>
  <w:abstractNum w:abstractNumId="10">
    <w:nsid w:val="36B2ACBC"/>
    <w:multiLevelType w:val="hybridMultilevel"/>
    <w:lvl w:ilvl="0">
      <w:lvlJc w:val="left"/>
      <w:lvlText w:val="•"/>
      <w:numFmt w:val="bullet"/>
      <w:start w:val="1"/>
    </w:lvl>
  </w:abstractNum>
  <w:abstractNum w:abstractNumId="11">
    <w:nsid w:val="779D8544"/>
    <w:multiLevelType w:val="hybridMultilevel"/>
    <w:lvl w:ilvl="0">
      <w:lvlJc w:val="left"/>
      <w:lvlText w:val="•"/>
      <w:numFmt w:val="bullet"/>
      <w:start w:val="1"/>
    </w:lvl>
  </w:abstractNum>
  <w:abstractNum w:abstractNumId="12">
    <w:nsid w:val="4AB26E78"/>
    <w:multiLevelType w:val="hybridMultilevel"/>
    <w:lvl w:ilvl="0">
      <w:lvlJc w:val="left"/>
      <w:lvlText w:val="•"/>
      <w:numFmt w:val="bullet"/>
      <w:start w:val="1"/>
    </w:lvl>
  </w:abstractNum>
  <w:abstractNum w:abstractNumId="13">
    <w:nsid w:val="21FAA2FA"/>
    <w:multiLevelType w:val="hybridMultilevel"/>
    <w:lvl w:ilvl="0">
      <w:lvlJc w:val="left"/>
      <w:lvlText w:val="(%1)"/>
      <w:numFmt w:val="decimal"/>
      <w:start w:val="1"/>
    </w:lvl>
  </w:abstractNum>
  <w:abstractNum w:abstractNumId="14">
    <w:nsid w:val="5451CF49"/>
    <w:multiLevelType w:val="hybridMultilevel"/>
    <w:lvl w:ilvl="0">
      <w:lvlJc w:val="left"/>
      <w:lvlText w:val="(%1)"/>
      <w:numFmt w:val="decimal"/>
      <w:start w:val="3"/>
    </w:lvl>
  </w:abstractNum>
  <w:abstractNum w:abstractNumId="15">
    <w:nsid w:val="6181EF69"/>
    <w:multiLevelType w:val="hybridMultilevel"/>
    <w:lvl w:ilvl="0">
      <w:lvlJc w:val="left"/>
      <w:lvlText w:val="•"/>
      <w:numFmt w:val="bullet"/>
      <w:start w:val="1"/>
    </w:lvl>
  </w:abstractNum>
  <w:abstractNum w:abstractNumId="16">
    <w:nsid w:val="3E6400E6"/>
    <w:multiLevelType w:val="hybridMultilevel"/>
    <w:lvl w:ilvl="0">
      <w:lvlJc w:val="left"/>
      <w:lvlText w:val="•"/>
      <w:numFmt w:val="bullet"/>
      <w:start w:val="1"/>
    </w:lvl>
  </w:abstractNum>
  <w:abstractNum w:abstractNumId="17">
    <w:nsid w:val="14217E23"/>
    <w:multiLevelType w:val="hybridMultilevel"/>
    <w:lvl w:ilvl="0">
      <w:lvlJc w:val="left"/>
      <w:lvlText w:val="•"/>
      <w:numFmt w:val="bullet"/>
      <w:start w:val="1"/>
    </w:lvl>
  </w:abstractNum>
  <w:abstractNum w:abstractNumId="18">
    <w:nsid w:val="710757D0"/>
    <w:multiLevelType w:val="hybridMultilevel"/>
    <w:lvl w:ilvl="0">
      <w:lvlJc w:val="left"/>
      <w:lvlText w:val="•"/>
      <w:numFmt w:val="bullet"/>
      <w:start w:val="1"/>
    </w:lvl>
  </w:abstractNum>
  <w:abstractNum w:abstractNumId="19">
    <w:nsid w:val="5015CD1A"/>
    <w:multiLevelType w:val="hybridMultilevel"/>
    <w:lvl w:ilvl="0">
      <w:lvlJc w:val="left"/>
      <w:lvlText w:val="•"/>
      <w:numFmt w:val="bullet"/>
      <w:start w:val="1"/>
    </w:lvl>
  </w:abstractNum>
  <w:abstractNum w:abstractNumId="20">
    <w:nsid w:val="424479DA"/>
    <w:multiLevelType w:val="hybridMultilevel"/>
    <w:lvl w:ilvl="0">
      <w:lvlJc w:val="left"/>
      <w:lvlText w:val="•"/>
      <w:numFmt w:val="bullet"/>
      <w:start w:val="1"/>
    </w:lvl>
  </w:abstractNum>
  <w:abstractNum w:abstractNumId="21">
    <w:nsid w:val="1A9A9E69"/>
    <w:multiLevelType w:val="hybridMultilevel"/>
    <w:lvl w:ilvl="0">
      <w:lvlJc w:val="left"/>
      <w:lvlText w:val="•"/>
      <w:numFmt w:val="bullet"/>
      <w:start w:val="1"/>
    </w:lvl>
  </w:abstractNum>
  <w:abstractNum w:abstractNumId="22">
    <w:nsid w:val="475E256A"/>
    <w:multiLevelType w:val="hybridMultilevel"/>
    <w:lvl w:ilvl="0">
      <w:lvlJc w:val="left"/>
      <w:lvlText w:val="•"/>
      <w:numFmt w:val="bullet"/>
      <w:start w:val="1"/>
    </w:lvl>
  </w:abstractNum>
  <w:abstractNum w:abstractNumId="23">
    <w:nsid w:val="368DB37E"/>
    <w:multiLevelType w:val="hybridMultilevel"/>
    <w:lvl w:ilvl="0">
      <w:lvlJc w:val="left"/>
      <w:lvlText w:val="•"/>
      <w:numFmt w:val="bullet"/>
      <w:start w:val="1"/>
    </w:lvl>
  </w:abstractNum>
  <w:abstractNum w:abstractNumId="24">
    <w:nsid w:val="6A3B714C"/>
    <w:multiLevelType w:val="hybridMultilevel"/>
    <w:lvl w:ilvl="0">
      <w:lvlJc w:val="left"/>
      <w:lvlText w:val="•"/>
      <w:numFmt w:val="bullet"/>
      <w:start w:val="1"/>
    </w:lvl>
  </w:abstractNum>
  <w:abstractNum w:abstractNumId="25">
    <w:nsid w:val="327B517E"/>
    <w:multiLevelType w:val="hybridMultilevel"/>
    <w:lvl w:ilvl="0">
      <w:lvlJc w:val="left"/>
      <w:lvlText w:val="•"/>
      <w:numFmt w:val="bullet"/>
      <w:start w:val="1"/>
    </w:lvl>
  </w:abstractNum>
  <w:abstractNum w:abstractNumId="26">
    <w:nsid w:val="1F461B51"/>
    <w:multiLevelType w:val="hybridMultilevel"/>
    <w:lvl w:ilvl="0">
      <w:lvlJc w:val="left"/>
      <w:lvlText w:val="•"/>
      <w:numFmt w:val="bullet"/>
      <w:start w:val="1"/>
    </w:lvl>
  </w:abstractNum>
  <w:abstractNum w:abstractNumId="27">
    <w:nsid w:val="29BACF25"/>
    <w:multiLevelType w:val="hybridMultilevel"/>
    <w:lvl w:ilvl="0">
      <w:lvlJc w:val="left"/>
      <w:lvlText w:val="•"/>
      <w:numFmt w:val="bullet"/>
      <w:start w:val="1"/>
    </w:lvl>
  </w:abstractNum>
  <w:abstractNum w:abstractNumId="28">
    <w:nsid w:val="5D5BABB3"/>
    <w:multiLevelType w:val="hybridMultilevel"/>
    <w:lvl w:ilvl="0">
      <w:lvlJc w:val="left"/>
      <w:lvlText w:val="•"/>
      <w:numFmt w:val="bullet"/>
      <w:start w:val="1"/>
    </w:lvl>
  </w:abstractNum>
  <w:abstractNum w:abstractNumId="29">
    <w:nsid w:val="51BF6B48"/>
    <w:multiLevelType w:val="hybridMultilevel"/>
    <w:lvl w:ilvl="0">
      <w:lvlJc w:val="left"/>
      <w:lvlText w:val="•"/>
      <w:numFmt w:val="bullet"/>
      <w:start w:val="1"/>
    </w:lvl>
  </w:abstractNum>
  <w:abstractNum w:abstractNumId="30">
    <w:nsid w:val="7E0F6384"/>
    <w:multiLevelType w:val="hybridMultilevel"/>
    <w:lvl w:ilvl="0">
      <w:lvlJc w:val="left"/>
      <w:lvlText w:val="(%1)"/>
      <w:numFmt w:val="decimal"/>
      <w:start w:val="2"/>
    </w:lvl>
  </w:abstractNum>
  <w:abstractNum w:abstractNumId="31">
    <w:nsid w:val="2B4B8B53"/>
    <w:multiLevelType w:val="hybridMultilevel"/>
    <w:lvl w:ilvl="0">
      <w:lvlJc w:val="left"/>
      <w:lvlText w:val="•"/>
      <w:numFmt w:val="bullet"/>
      <w:start w:val="1"/>
    </w:lvl>
  </w:abstractNum>
  <w:abstractNum w:abstractNumId="32">
    <w:nsid w:val="72E3413A"/>
    <w:multiLevelType w:val="hybridMultilevel"/>
    <w:lvl w:ilvl="0">
      <w:lvlJc w:val="left"/>
      <w:lvlText w:val="•"/>
      <w:numFmt w:val="bullet"/>
      <w:start w:val="1"/>
    </w:lvl>
  </w:abstractNum>
  <w:abstractNum w:abstractNumId="33">
    <w:nsid w:val="116AE494"/>
    <w:multiLevelType w:val="hybridMultilevel"/>
    <w:lvl w:ilvl="0">
      <w:lvlJc w:val="left"/>
      <w:lvlText w:val="•"/>
      <w:numFmt w:val="bullet"/>
      <w:start w:val="1"/>
    </w:lvl>
  </w:abstractNum>
  <w:abstractNum w:abstractNumId="34">
    <w:nsid w:val="3494B2FB"/>
    <w:multiLevelType w:val="hybridMultilevel"/>
    <w:lvl w:ilvl="0">
      <w:lvlJc w:val="left"/>
      <w:lvlText w:val="•"/>
      <w:numFmt w:val="bullet"/>
      <w:start w:val="1"/>
    </w:lvl>
  </w:abstractNum>
  <w:abstractNum w:abstractNumId="35">
    <w:nsid w:val="B13A31"/>
    <w:multiLevelType w:val="hybridMultilevel"/>
    <w:lvl w:ilvl="0">
      <w:lvlJc w:val="left"/>
      <w:lvlText w:val="•"/>
      <w:numFmt w:val="bullet"/>
      <w:start w:val="1"/>
    </w:lvl>
  </w:abstractNum>
  <w:abstractNum w:abstractNumId="36">
    <w:nsid w:val="64429599"/>
    <w:multiLevelType w:val="hybridMultilevel"/>
    <w:lvl w:ilvl="0">
      <w:lvlJc w:val="left"/>
      <w:lvlText w:val="•"/>
      <w:numFmt w:val="bullet"/>
      <w:start w:val="1"/>
    </w:lvl>
  </w:abstractNum>
  <w:abstractNum w:abstractNumId="37">
    <w:nsid w:val="631F1690"/>
    <w:multiLevelType w:val="hybridMultilevel"/>
    <w:lvl w:ilvl="0">
      <w:lvlJc w:val="left"/>
      <w:lvlText w:val="•"/>
      <w:numFmt w:val="bullet"/>
      <w:start w:val="1"/>
    </w:lvl>
  </w:abstractNum>
  <w:abstractNum w:abstractNumId="38">
    <w:nsid w:val="25973E32"/>
    <w:multiLevelType w:val="hybridMultilevel"/>
    <w:lvl w:ilvl="0">
      <w:lvlJc w:val="left"/>
      <w:lvlText w:val="•"/>
      <w:numFmt w:val="bullet"/>
      <w:start w:val="1"/>
    </w:lvl>
  </w:abstractNum>
  <w:abstractNum w:abstractNumId="39">
    <w:nsid w:val="EAD6F57"/>
    <w:multiLevelType w:val="hybridMultilevel"/>
    <w:lvl w:ilvl="0">
      <w:lvlJc w:val="left"/>
      <w:lvlText w:val="•"/>
      <w:numFmt w:val="bullet"/>
      <w:start w:val="1"/>
    </w:lvl>
  </w:abstractNum>
  <w:abstractNum w:abstractNumId="40">
    <w:nsid w:val="6EC9D844"/>
    <w:multiLevelType w:val="hybridMultilevel"/>
    <w:lvl w:ilvl="0">
      <w:lvlJc w:val="left"/>
      <w:lvlText w:val="•"/>
      <w:numFmt w:val="bullet"/>
      <w:start w:val="1"/>
    </w:lvl>
  </w:abstractNum>
  <w:abstractNum w:abstractNumId="41">
    <w:nsid w:val="5C49EAEE"/>
    <w:multiLevelType w:val="hybridMultilevel"/>
    <w:lvl w:ilvl="0">
      <w:lvlJc w:val="left"/>
      <w:lvlText w:val="•"/>
      <w:numFmt w:val="bullet"/>
      <w:start w:val="1"/>
    </w:lvl>
  </w:abstractNum>
  <w:abstractNum w:abstractNumId="42">
    <w:nsid w:val="64AF49B"/>
    <w:multiLevelType w:val="hybridMultilevel"/>
    <w:lvl w:ilvl="0">
      <w:lvlJc w:val="left"/>
      <w:lvlText w:val="•"/>
      <w:numFmt w:val="bullet"/>
      <w:start w:val="1"/>
    </w:lvl>
  </w:abstractNum>
  <w:abstractNum w:abstractNumId="43">
    <w:nsid w:val="397C46BC"/>
    <w:multiLevelType w:val="hybridMultilevel"/>
    <w:lvl w:ilvl="0">
      <w:lvlJc w:val="left"/>
      <w:lvlText w:val="•"/>
      <w:numFmt w:val="bullet"/>
      <w:start w:val="1"/>
    </w:lvl>
  </w:abstractNum>
  <w:abstractNum w:abstractNumId="44">
    <w:nsid w:val="7E448DE9"/>
    <w:multiLevelType w:val="hybridMultilevel"/>
    <w:lvl w:ilvl="0">
      <w:lvlJc w:val="left"/>
      <w:lvlText w:val="•"/>
      <w:numFmt w:val="bullet"/>
      <w:start w:val="1"/>
    </w:lvl>
  </w:abstractNum>
  <w:abstractNum w:abstractNumId="45">
    <w:nsid w:val="5A9CC3E5"/>
    <w:multiLevelType w:val="hybridMultilevel"/>
    <w:lvl w:ilvl="0">
      <w:lvlJc w:val="left"/>
      <w:lvlText w:val="•"/>
      <w:numFmt w:val="bullet"/>
      <w:start w:val="1"/>
    </w:lvl>
  </w:abstractNum>
  <w:abstractNum w:abstractNumId="46">
    <w:nsid w:val="1AFE3625"/>
    <w:multiLevelType w:val="hybridMultilevel"/>
    <w:lvl w:ilvl="0">
      <w:lvlJc w:val="left"/>
      <w:lvlText w:val="•"/>
      <w:numFmt w:val="bullet"/>
      <w:start w:val="1"/>
    </w:lvl>
  </w:abstractNum>
  <w:abstractNum w:abstractNumId="47">
    <w:nsid w:val="3CA88ECF"/>
    <w:multiLevelType w:val="hybridMultilevel"/>
    <w:lvl w:ilvl="0">
      <w:lvlJc w:val="left"/>
      <w:lvlText w:val="•"/>
      <w:numFmt w:val="bullet"/>
      <w:start w:val="1"/>
    </w:lvl>
  </w:abstractNum>
  <w:abstractNum w:abstractNumId="48">
    <w:nsid w:val="6EBE4208"/>
    <w:multiLevelType w:val="hybridMultilevel"/>
    <w:lvl w:ilvl="0">
      <w:lvlJc w:val="left"/>
      <w:lvlText w:val="•"/>
      <w:numFmt w:val="bullet"/>
      <w:start w:val="1"/>
    </w:lvl>
  </w:abstractNum>
  <w:abstractNum w:abstractNumId="49">
    <w:nsid w:val="C058DF5"/>
    <w:multiLevelType w:val="hybridMultilevel"/>
    <w:lvl w:ilvl="0">
      <w:lvlJc w:val="left"/>
      <w:lvlText w:val="•"/>
      <w:numFmt w:val="bullet"/>
      <w:start w:val="1"/>
    </w:lvl>
  </w:abstractNum>
  <w:abstractNum w:abstractNumId="50">
    <w:nsid w:val="CBE5BE9"/>
    <w:multiLevelType w:val="hybridMultilevel"/>
    <w:lvl w:ilvl="0">
      <w:lvlJc w:val="left"/>
      <w:lvlText w:val="•"/>
      <w:numFmt w:val="bullet"/>
      <w:start w:val="1"/>
    </w:lvl>
  </w:abstractNum>
  <w:abstractNum w:abstractNumId="51">
    <w:nsid w:val="3102BBE2"/>
    <w:multiLevelType w:val="hybridMultilevel"/>
    <w:lvl w:ilvl="0">
      <w:lvlJc w:val="left"/>
      <w:lvlText w:val="•"/>
      <w:numFmt w:val="bullet"/>
      <w:start w:val="1"/>
    </w:lvl>
  </w:abstractNum>
  <w:abstractNum w:abstractNumId="52">
    <w:nsid w:val="26A02C5E"/>
    <w:multiLevelType w:val="hybridMultilevel"/>
    <w:lvl w:ilvl="0">
      <w:lvlJc w:val="left"/>
      <w:lvlText w:val="•"/>
      <w:numFmt w:val="bullet"/>
      <w:start w:val="1"/>
    </w:lvl>
  </w:abstractNum>
  <w:abstractNum w:abstractNumId="53">
    <w:nsid w:val="541C8153"/>
    <w:multiLevelType w:val="hybridMultilevel"/>
    <w:lvl w:ilvl="0">
      <w:lvlJc w:val="left"/>
      <w:lvlText w:val="•"/>
      <w:numFmt w:val="bullet"/>
      <w:start w:val="1"/>
    </w:lvl>
  </w:abstractNum>
  <w:abstractNum w:abstractNumId="54">
    <w:nsid w:val="67906F60"/>
    <w:multiLevelType w:val="hybridMultilevel"/>
    <w:lvl w:ilvl="0">
      <w:lvlJc w:val="left"/>
      <w:lvlText w:val="•"/>
      <w:numFmt w:val="bullet"/>
      <w:start w:val="1"/>
    </w:lvl>
  </w:abstractNum>
  <w:abstractNum w:abstractNumId="55">
    <w:nsid w:val="10DB9DAA"/>
    <w:multiLevelType w:val="hybridMultilevel"/>
    <w:lvl w:ilvl="0">
      <w:lvlJc w:val="left"/>
      <w:lvlText w:val="•"/>
      <w:numFmt w:val="bullet"/>
      <w:start w:val="1"/>
    </w:lvl>
  </w:abstractNum>
  <w:abstractNum w:abstractNumId="56">
    <w:nsid w:val="697D2D2"/>
    <w:multiLevelType w:val="hybridMultilevel"/>
    <w:lvl w:ilvl="0">
      <w:lvlJc w:val="left"/>
      <w:lvlText w:val="•"/>
      <w:numFmt w:val="bullet"/>
      <w:start w:val="1"/>
    </w:lvl>
  </w:abstractNum>
  <w:abstractNum w:abstractNumId="57">
    <w:nsid w:val="6D68AB2"/>
    <w:multiLevelType w:val="hybridMultilevel"/>
    <w:lvl w:ilvl="0">
      <w:lvlJc w:val="left"/>
      <w:lvlText w:val="•"/>
      <w:numFmt w:val="bullet"/>
      <w:start w:val="1"/>
    </w:lvl>
  </w:abstractNum>
  <w:abstractNum w:abstractNumId="58">
    <w:nsid w:val="3A966CD0"/>
    <w:multiLevelType w:val="hybridMultilevel"/>
    <w:lvl w:ilvl="0">
      <w:lvlJc w:val="left"/>
      <w:lvlText w:val="•"/>
      <w:numFmt w:val="bullet"/>
      <w:start w:val="1"/>
    </w:lvl>
  </w:abstractNum>
  <w:abstractNum w:abstractNumId="59">
    <w:nsid w:val="63F37E85"/>
    <w:multiLevelType w:val="hybridMultilevel"/>
    <w:lvl w:ilvl="0">
      <w:lvlJc w:val="left"/>
      <w:lvlText w:val="•"/>
      <w:numFmt w:val="bullet"/>
      <w:start w:val="1"/>
    </w:lvl>
  </w:abstractNum>
  <w:abstractNum w:abstractNumId="60">
    <w:nsid w:val="5895F5FA"/>
    <w:multiLevelType w:val="hybridMultilevel"/>
    <w:lvl w:ilvl="0">
      <w:lvlJc w:val="left"/>
      <w:lvlText w:val="•"/>
      <w:numFmt w:val="bullet"/>
      <w:start w:val="1"/>
    </w:lvl>
  </w:abstractNum>
  <w:abstractNum w:abstractNumId="61">
    <w:nsid w:val="38A5D054"/>
    <w:multiLevelType w:val="hybridMultilevel"/>
    <w:lvl w:ilvl="0">
      <w:lvlJc w:val="left"/>
      <w:lvlText w:val="•"/>
      <w:numFmt w:val="bullet"/>
      <w:start w:val="1"/>
    </w:lvl>
  </w:abstractNum>
  <w:abstractNum w:abstractNumId="62">
    <w:nsid w:val="F3F09D8"/>
    <w:multiLevelType w:val="hybridMultilevel"/>
    <w:lvl w:ilvl="0">
      <w:lvlJc w:val="left"/>
      <w:lvlText w:val="$"/>
      <w:numFmt w:val="bullet"/>
      <w:start w:val="1"/>
    </w:lvl>
  </w:abstractNum>
  <w:abstractNum w:abstractNumId="63">
    <w:nsid w:val="4B793735"/>
    <w:multiLevelType w:val="hybridMultilevel"/>
    <w:lvl w:ilvl="0">
      <w:lvlJc w:val="left"/>
      <w:lvlText w:val="•"/>
      <w:numFmt w:val="bullet"/>
      <w:start w:val="1"/>
    </w:lvl>
  </w:abstractNum>
  <w:abstractNum w:abstractNumId="64">
    <w:nsid w:val="4A10B4E8"/>
    <w:multiLevelType w:val="hybridMultilevel"/>
    <w:lvl w:ilvl="0">
      <w:lvlJc w:val="left"/>
      <w:lvlText w:val="•"/>
      <w:numFmt w:val="bullet"/>
      <w:start w:val="1"/>
    </w:lvl>
  </w:abstractNum>
  <w:abstractNum w:abstractNumId="65">
    <w:nsid w:val="43D3BCD4"/>
    <w:multiLevelType w:val="hybridMultilevel"/>
    <w:lvl w:ilvl="0">
      <w:lvlJc w:val="left"/>
      <w:lvlText w:val="•"/>
      <w:numFmt w:val="bullet"/>
      <w:start w:val="1"/>
    </w:lvl>
  </w:abstractNum>
  <w:abstractNum w:abstractNumId="66">
    <w:nsid w:val="4C2A7166"/>
    <w:multiLevelType w:val="hybridMultilevel"/>
    <w:lvl w:ilvl="0">
      <w:lvlJc w:val="left"/>
      <w:lvlText w:val="•"/>
      <w:numFmt w:val="bullet"/>
      <w:start w:val="1"/>
    </w:lvl>
  </w:abstractNum>
  <w:abstractNum w:abstractNumId="67">
    <w:nsid w:val="2E534A82"/>
    <w:multiLevelType w:val="hybridMultilevel"/>
    <w:lvl w:ilvl="0">
      <w:lvlJc w:val="left"/>
      <w:lvlText w:val="•"/>
      <w:numFmt w:val="bullet"/>
      <w:start w:val="1"/>
    </w:lvl>
  </w:abstractNum>
  <w:abstractNum w:abstractNumId="68">
    <w:nsid w:val="26F2D364"/>
    <w:multiLevelType w:val="hybridMultilevel"/>
    <w:lvl w:ilvl="0">
      <w:lvlJc w:val="left"/>
      <w:lvlText w:val="•"/>
      <w:numFmt w:val="bullet"/>
      <w:start w:val="1"/>
    </w:lvl>
  </w:abstractNum>
  <w:abstractNum w:abstractNumId="69">
    <w:nsid w:val="71C1AF98"/>
    <w:multiLevelType w:val="hybridMultilevel"/>
    <w:lvl w:ilvl="0">
      <w:lvlJc w:val="left"/>
      <w:lvlText w:val="•"/>
      <w:numFmt w:val="bullet"/>
      <w:start w:val="1"/>
    </w:lvl>
  </w:abstractNum>
  <w:abstractNum w:abstractNumId="70">
    <w:nsid w:val="3D00B9D9"/>
    <w:multiLevelType w:val="hybridMultilevel"/>
    <w:lvl w:ilvl="0">
      <w:lvlJc w:val="left"/>
      <w:lvlText w:val="•"/>
      <w:numFmt w:val="bullet"/>
      <w:start w:val="1"/>
    </w:lvl>
  </w:abstractNum>
  <w:abstractNum w:abstractNumId="71">
    <w:nsid w:val="15BCABA8"/>
    <w:multiLevelType w:val="hybridMultilevel"/>
    <w:lvl w:ilvl="0">
      <w:lvlJc w:val="left"/>
      <w:lvlText w:val="•"/>
      <w:numFmt w:val="bullet"/>
      <w:start w:val="1"/>
    </w:lvl>
  </w:abstractNum>
  <w:abstractNum w:abstractNumId="72">
    <w:nsid w:val="4E0B9A87"/>
    <w:multiLevelType w:val="hybridMultilevel"/>
    <w:lvl w:ilvl="0">
      <w:lvlJc w:val="left"/>
      <w:lvlText w:val="•"/>
      <w:numFmt w:val="bullet"/>
      <w:start w:val="1"/>
    </w:lvl>
  </w:abstractNum>
  <w:abstractNum w:abstractNumId="73">
    <w:nsid w:val="434BAE75"/>
    <w:multiLevelType w:val="hybridMultilevel"/>
    <w:lvl w:ilvl="0">
      <w:lvlJc w:val="left"/>
      <w:lvlText w:val="•"/>
      <w:numFmt w:val="bullet"/>
      <w:start w:val="1"/>
    </w:lvl>
  </w:abstractNum>
  <w:abstractNum w:abstractNumId="74">
    <w:nsid w:val="4F38F265"/>
    <w:multiLevelType w:val="hybridMultilevel"/>
    <w:lvl w:ilvl="0">
      <w:lvlJc w:val="left"/>
      <w:lvlText w:val="*"/>
      <w:numFmt w:val="bullet"/>
      <w:start w:val="1"/>
    </w:lvl>
  </w:abstractNum>
  <w:abstractNum w:abstractNumId="75">
    <w:nsid w:val="4C502870"/>
    <w:multiLevelType w:val="hybridMultilevel"/>
    <w:lvl w:ilvl="0">
      <w:lvlJc w:val="left"/>
      <w:lvlText w:val="+"/>
      <w:numFmt w:val="bullet"/>
      <w:start w:val="1"/>
    </w:lvl>
  </w:abstractNum>
  <w:abstractNum w:abstractNumId="76">
    <w:nsid w:val="1DE8725A"/>
    <w:multiLevelType w:val="hybridMultilevel"/>
    <w:lvl w:ilvl="0">
      <w:lvlJc w:val="left"/>
      <w:lvlText w:val="•"/>
      <w:numFmt w:val="bullet"/>
      <w:start w:val="1"/>
    </w:lvl>
  </w:abstractNum>
  <w:abstractNum w:abstractNumId="77">
    <w:nsid w:val="6A37288A"/>
    <w:multiLevelType w:val="hybridMultilevel"/>
    <w:lvl w:ilvl="0">
      <w:lvlJc w:val="left"/>
      <w:lvlText w:val="•"/>
      <w:numFmt w:val="bullet"/>
      <w:start w:val="1"/>
    </w:lvl>
  </w:abstractNum>
  <w:abstractNum w:abstractNumId="78">
    <w:nsid w:val="8F8B73F"/>
    <w:multiLevelType w:val="hybridMultilevel"/>
    <w:lvl w:ilvl="0">
      <w:lvlJc w:val="left"/>
      <w:lvlText w:val="•"/>
      <w:numFmt w:val="bullet"/>
      <w:start w:val="1"/>
    </w:lvl>
  </w:abstractNum>
  <w:abstractNum w:abstractNumId="79">
    <w:nsid w:val="CA6B462"/>
    <w:multiLevelType w:val="hybridMultilevel"/>
    <w:lvl w:ilvl="0">
      <w:lvlJc w:val="left"/>
      <w:lvlText w:val="[%1]"/>
      <w:numFmt w:val="upperLetter"/>
      <w:start w:val="1"/>
    </w:lvl>
  </w:abstractNum>
  <w:abstractNum w:abstractNumId="80">
    <w:nsid w:val="763CB680"/>
    <w:multiLevelType w:val="hybridMultilevel"/>
    <w:lvl w:ilvl="0">
      <w:lvlJc w:val="left"/>
      <w:lvlText w:val="•"/>
      <w:numFmt w:val="bullet"/>
      <w:start w:val="1"/>
    </w:lvl>
  </w:abstractNum>
  <w:abstractNum w:abstractNumId="81">
    <w:nsid w:val="15B71329"/>
    <w:multiLevelType w:val="hybridMultilevel"/>
    <w:lvl w:ilvl="0">
      <w:lvlJc w:val="left"/>
      <w:lvlText w:val="•"/>
      <w:numFmt w:val="bullet"/>
      <w:start w:val="1"/>
    </w:lvl>
  </w:abstractNum>
  <w:abstractNum w:abstractNumId="82">
    <w:nsid w:val="3DA97044"/>
    <w:multiLevelType w:val="hybridMultilevel"/>
    <w:lvl w:ilvl="0">
      <w:lvlJc w:val="left"/>
      <w:lvlText w:val="•"/>
      <w:numFmt w:val="bullet"/>
      <w:start w:val="1"/>
    </w:lvl>
  </w:abstractNum>
  <w:abstractNum w:abstractNumId="83">
    <w:nsid w:val="1CDCE2DE"/>
    <w:multiLevelType w:val="hybridMultilevel"/>
    <w:lvl w:ilvl="0">
      <w:lvlJc w:val="left"/>
      <w:lvlText w:val="•"/>
      <w:numFmt w:val="bullet"/>
      <w:start w:val="1"/>
    </w:lvl>
  </w:abstractNum>
  <w:abstractNum w:abstractNumId="84">
    <w:nsid w:val="69D3947C"/>
    <w:multiLevelType w:val="hybridMultilevel"/>
    <w:lvl w:ilvl="0">
      <w:lvlJc w:val="left"/>
      <w:lvlText w:val="•"/>
      <w:numFmt w:val="bullet"/>
      <w:start w:val="1"/>
    </w:lvl>
  </w:abstractNum>
  <w:abstractNum w:abstractNumId="85">
    <w:nsid w:val="2539DFA5"/>
    <w:multiLevelType w:val="hybridMultilevel"/>
    <w:lvl w:ilvl="0">
      <w:lvlJc w:val="left"/>
      <w:lvlText w:val="•"/>
      <w:numFmt w:val="bullet"/>
      <w:start w:val="1"/>
    </w:lvl>
  </w:abstractNum>
  <w:abstractNum w:abstractNumId="86">
    <w:nsid w:val="2DB88089"/>
    <w:multiLevelType w:val="hybridMultilevel"/>
    <w:lvl w:ilvl="0">
      <w:lvlJc w:val="left"/>
      <w:lvlText w:val="•"/>
      <w:numFmt w:val="bullet"/>
      <w:start w:val="1"/>
    </w:lvl>
  </w:abstractNum>
  <w:abstractNum w:abstractNumId="87">
    <w:nsid w:val="706B674E"/>
    <w:multiLevelType w:val="hybridMultilevel"/>
    <w:lvl w:ilvl="0">
      <w:lvlJc w:val="left"/>
      <w:lvlText w:val="•"/>
      <w:numFmt w:val="bullet"/>
      <w:start w:val="1"/>
    </w:lvl>
  </w:abstractNum>
  <w:abstractNum w:abstractNumId="88">
    <w:nsid w:val="2C106A57"/>
    <w:multiLevelType w:val="hybridMultilevel"/>
    <w:lvl w:ilvl="0">
      <w:lvlJc w:val="left"/>
      <w:lvlText w:val="•"/>
      <w:numFmt w:val="bullet"/>
      <w:start w:val="1"/>
    </w:lvl>
  </w:abstractNum>
  <w:abstractNum w:abstractNumId="89">
    <w:nsid w:val="684EED59"/>
    <w:multiLevelType w:val="hybridMultilevel"/>
    <w:lvl w:ilvl="0">
      <w:lvlJc w:val="left"/>
      <w:lvlText w:val="•"/>
      <w:numFmt w:val="bullet"/>
      <w:start w:val="1"/>
    </w:lvl>
  </w:abstractNum>
  <w:abstractNum w:abstractNumId="90">
    <w:nsid w:val="545EE5D3"/>
    <w:multiLevelType w:val="hybridMultilevel"/>
    <w:lvl w:ilvl="0">
      <w:lvlJc w:val="left"/>
      <w:lvlText w:val="(%1)"/>
      <w:numFmt w:val="decimal"/>
      <w:start w:val="1"/>
    </w:lvl>
  </w:abstractNum>
  <w:abstractNum w:abstractNumId="91">
    <w:nsid w:val="4A66051"/>
    <w:multiLevelType w:val="hybridMultilevel"/>
    <w:lvl w:ilvl="0">
      <w:lvlJc w:val="left"/>
      <w:lvlText w:val="•"/>
      <w:numFmt w:val="bullet"/>
      <w:start w:val="1"/>
    </w:lvl>
  </w:abstractNum>
  <w:abstractNum w:abstractNumId="92">
    <w:nsid w:val="20F4BDAD"/>
    <w:multiLevelType w:val="hybridMultilevel"/>
    <w:lvl w:ilvl="0">
      <w:lvlJc w:val="left"/>
      <w:lvlText w:val="•"/>
      <w:numFmt w:val="bullet"/>
      <w:start w:val="1"/>
    </w:lvl>
  </w:abstractNum>
  <w:abstractNum w:abstractNumId="93">
    <w:nsid w:val="639DEFAC"/>
    <w:multiLevelType w:val="hybridMultilevel"/>
    <w:lvl w:ilvl="0">
      <w:lvlJc w:val="left"/>
      <w:lvlText w:val="•"/>
      <w:numFmt w:val="bullet"/>
      <w:start w:val="1"/>
    </w:lvl>
  </w:abstractNum>
  <w:abstractNum w:abstractNumId="94">
    <w:nsid w:val="501F9786"/>
    <w:multiLevelType w:val="hybridMultilevel"/>
    <w:lvl w:ilvl="0">
      <w:lvlJc w:val="left"/>
      <w:lvlText w:val="•"/>
      <w:numFmt w:val="bullet"/>
      <w:start w:val="1"/>
    </w:lvl>
  </w:abstractNum>
  <w:abstractNum w:abstractNumId="95">
    <w:nsid w:val="6B057295"/>
    <w:multiLevelType w:val="hybridMultilevel"/>
    <w:lvl w:ilvl="0">
      <w:lvlJc w:val="left"/>
      <w:lvlText w:val="•"/>
      <w:numFmt w:val="bullet"/>
      <w:start w:val="1"/>
    </w:lvl>
  </w:abstractNum>
  <w:abstractNum w:abstractNumId="96">
    <w:nsid w:val="2771AC80"/>
    <w:multiLevelType w:val="hybridMultilevel"/>
    <w:lvl w:ilvl="0">
      <w:lvlJc w:val="left"/>
      <w:lvlText w:val="(%1)"/>
      <w:numFmt w:val="decimal"/>
      <w:start w:val="1"/>
    </w:lvl>
  </w:abstractNum>
  <w:abstractNum w:abstractNumId="97">
    <w:nsid w:val="1C4A08EC"/>
    <w:multiLevelType w:val="hybridMultilevel"/>
    <w:lvl w:ilvl="0">
      <w:lvlJc w:val="left"/>
      <w:lvlText w:val="(%1)"/>
      <w:numFmt w:val="decimal"/>
      <w:start w:val="3"/>
    </w:lvl>
  </w:abstractNum>
  <w:abstractNum w:abstractNumId="98">
    <w:nsid w:val="1958BD17"/>
    <w:multiLevelType w:val="hybridMultilevel"/>
    <w:lvl w:ilvl="0">
      <w:lvlJc w:val="left"/>
      <w:lvlText w:val="(%1)"/>
      <w:numFmt w:val="decimal"/>
      <w:start w:val="1"/>
    </w:lvl>
  </w:abstractNum>
  <w:abstractNum w:abstractNumId="99">
    <w:nsid w:val="4E647FE4"/>
    <w:multiLevelType w:val="hybridMultilevel"/>
    <w:lvl w:ilvl="0">
      <w:lvlJc w:val="left"/>
      <w:lvlText w:val="(%1)"/>
      <w:numFmt w:val="decimal"/>
      <w:start w:val="1"/>
    </w:lvl>
  </w:abstractNum>
  <w:abstractNum w:abstractNumId="100">
    <w:nsid w:val="E0BB885"/>
    <w:multiLevelType w:val="hybridMultilevel"/>
    <w:lvl w:ilvl="0">
      <w:lvlJc w:val="left"/>
      <w:lvlText w:val="•"/>
      <w:numFmt w:val="bullet"/>
      <w:start w:val="1"/>
    </w:lvl>
  </w:abstractNum>
  <w:abstractNum w:abstractNumId="101">
    <w:nsid w:val="565976F1"/>
    <w:multiLevelType w:val="hybridMultilevel"/>
    <w:lvl w:ilvl="0">
      <w:lvlJc w:val="left"/>
      <w:lvlText w:val="•"/>
      <w:numFmt w:val="bullet"/>
      <w:start w:val="1"/>
    </w:lvl>
  </w:abstractNum>
  <w:abstractNum w:abstractNumId="102">
    <w:nsid w:val="64212B8C"/>
    <w:multiLevelType w:val="hybridMultilevel"/>
    <w:lvl w:ilvl="0">
      <w:lvlJc w:val="left"/>
      <w:lvlText w:val="•"/>
      <w:numFmt w:val="bullet"/>
      <w:start w:val="1"/>
    </w:lvl>
  </w:abstractNum>
  <w:abstractNum w:abstractNumId="103">
    <w:nsid w:val="5C17530C"/>
    <w:multiLevelType w:val="hybridMultilevel"/>
    <w:lvl w:ilvl="0">
      <w:lvlJc w:val="left"/>
      <w:lvlText w:val="%1."/>
      <w:numFmt w:val="decimal"/>
      <w:start w:val="1"/>
    </w:lvl>
  </w:abstractNum>
  <w:abstractNum w:abstractNumId="104">
    <w:nsid w:val="19A52566"/>
    <w:multiLevelType w:val="hybridMultilevel"/>
    <w:lvl w:ilvl="0">
      <w:lvlJc w:val="left"/>
      <w:lvlText w:val="(%1)"/>
      <w:numFmt w:val="decimal"/>
      <w:start w:val="11"/>
    </w:lvl>
  </w:abstractNum>
  <w:abstractNum w:abstractNumId="105">
    <w:nsid w:val="335A1DF1"/>
    <w:multiLevelType w:val="hybridMultilevel"/>
    <w:lvl w:ilvl="0">
      <w:lvlJc w:val="left"/>
      <w:lvlText w:val="(%1)"/>
      <w:numFmt w:val="decimal"/>
      <w:start w:val="2"/>
    </w:lvl>
  </w:abstractNum>
  <w:abstractNum w:abstractNumId="106">
    <w:nsid w:val="28677B7C"/>
    <w:multiLevelType w:val="hybridMultilevel"/>
    <w:lvl w:ilvl="0">
      <w:lvlJc w:val="left"/>
      <w:lvlText w:val="•"/>
      <w:numFmt w:val="bullet"/>
      <w:start w:val="1"/>
    </w:lvl>
  </w:abstractNum>
  <w:abstractNum w:abstractNumId="107">
    <w:nsid w:val="378D97C0"/>
    <w:multiLevelType w:val="hybridMultilevel"/>
    <w:lvl w:ilvl="0">
      <w:lvlJc w:val="left"/>
      <w:lvlText w:val="(%1)"/>
      <w:numFmt w:val="decimal"/>
      <w:start w:val="1"/>
    </w:lvl>
  </w:abstractNum>
  <w:abstractNum w:abstractNumId="108">
    <w:nsid w:val="1D91467C"/>
    <w:multiLevelType w:val="hybridMultilevel"/>
    <w:lvl w:ilvl="0">
      <w:lvlJc w:val="left"/>
      <w:lvlText w:val="(%1)"/>
      <w:numFmt w:val="decimal"/>
      <w:start w:val="2"/>
    </w:lvl>
  </w:abstractNum>
  <w:abstractNum w:abstractNumId="109">
    <w:nsid w:val="316032BB"/>
    <w:multiLevelType w:val="hybridMultilevel"/>
    <w:lvl w:ilvl="0">
      <w:lvlJc w:val="left"/>
      <w:lvlText w:val="(%1)"/>
      <w:numFmt w:val="decimal"/>
      <w:start w:val="1"/>
    </w:lvl>
  </w:abstractNum>
  <w:abstractNum w:abstractNumId="110">
    <w:nsid w:val="44344C22"/>
    <w:multiLevelType w:val="hybridMultilevel"/>
    <w:lvl w:ilvl="0">
      <w:lvlJc w:val="left"/>
      <w:lvlText w:val="(%1)"/>
      <w:numFmt w:val="decimal"/>
      <w:start w:val="1"/>
    </w:lvl>
  </w:abstractNum>
  <w:abstractNum w:abstractNumId="111">
    <w:nsid w:val="13CDFCFC"/>
    <w:multiLevelType w:val="hybridMultilevel"/>
    <w:lvl w:ilvl="0">
      <w:lvlJc w:val="left"/>
      <w:lvlText w:val="(%1)"/>
      <w:numFmt w:val="decimal"/>
      <w:start w:val="1"/>
    </w:lvl>
  </w:abstractNum>
  <w:abstractNum w:abstractNumId="112">
    <w:nsid w:val="471745E4"/>
    <w:multiLevelType w:val="hybridMultilevel"/>
    <w:lvl w:ilvl="0">
      <w:lvlJc w:val="left"/>
      <w:lvlText w:val="•"/>
      <w:numFmt w:val="bullet"/>
      <w:start w:val="1"/>
    </w:lvl>
  </w:abstractNum>
  <w:abstractNum w:abstractNumId="113">
    <w:nsid w:val="1DDBC66"/>
    <w:multiLevelType w:val="hybridMultilevel"/>
    <w:lvl w:ilvl="0">
      <w:lvlJc w:val="left"/>
      <w:lvlText w:val="•"/>
      <w:numFmt w:val="bullet"/>
      <w:start w:val="1"/>
    </w:lvl>
  </w:abstractNum>
  <w:abstractNum w:abstractNumId="114">
    <w:nsid w:val="30AADFDA"/>
    <w:multiLevelType w:val="hybridMultilevel"/>
    <w:lvl w:ilvl="0">
      <w:lvlJc w:val="left"/>
      <w:lvlText w:val="*"/>
      <w:numFmt w:val="bullet"/>
      <w:start w:val="1"/>
    </w:lvl>
  </w:abstractNum>
  <w:abstractNum w:abstractNumId="115">
    <w:nsid w:val="30EADA61"/>
    <w:multiLevelType w:val="hybridMultilevel"/>
    <w:lvl w:ilvl="0">
      <w:lvlJc w:val="left"/>
      <w:lvlText w:val="(%1)"/>
      <w:numFmt w:val="decimal"/>
      <w:start w:val="1"/>
    </w:lvl>
  </w:abstractNum>
  <w:abstractNum w:abstractNumId="116">
    <w:nsid w:val="27179C0B"/>
    <w:multiLevelType w:val="hybridMultilevel"/>
    <w:lvl w:ilvl="0">
      <w:lvlJc w:val="left"/>
      <w:lvlText w:val="(%1)"/>
      <w:numFmt w:val="decimal"/>
      <w:start w:val="6"/>
    </w:lvl>
  </w:abstractNum>
  <w:abstractNum w:abstractNumId="117">
    <w:nsid w:val="5E636063"/>
    <w:multiLevelType w:val="hybridMultilevel"/>
    <w:lvl w:ilvl="0">
      <w:lvlJc w:val="left"/>
      <w:lvlText w:val="•"/>
      <w:numFmt w:val="bullet"/>
      <w:start w:val="1"/>
    </w:lvl>
  </w:abstractNum>
  <w:abstractNum w:abstractNumId="118">
    <w:nsid w:val="215641AF"/>
    <w:multiLevelType w:val="hybridMultilevel"/>
    <w:lvl w:ilvl="0">
      <w:lvlJc w:val="left"/>
      <w:lvlText w:val="•"/>
      <w:numFmt w:val="bullet"/>
      <w:start w:val="1"/>
    </w:lvl>
  </w:abstractNum>
  <w:abstractNum w:abstractNumId="119">
    <w:nsid w:val="53280662"/>
    <w:multiLevelType w:val="hybridMultilevel"/>
    <w:lvl w:ilvl="0">
      <w:lvlJc w:val="left"/>
      <w:lvlText w:val="•"/>
      <w:numFmt w:val="bullet"/>
      <w:start w:val="1"/>
    </w:lvl>
  </w:abstractNum>
  <w:abstractNum w:abstractNumId="120">
    <w:nsid w:val="46B24DBC"/>
    <w:multiLevelType w:val="hybridMultilevel"/>
    <w:lvl w:ilvl="0">
      <w:lvlJc w:val="left"/>
      <w:lvlText w:val="•"/>
      <w:numFmt w:val="bullet"/>
      <w:start w:val="1"/>
    </w:lvl>
  </w:abstractNum>
  <w:abstractNum w:abstractNumId="121">
    <w:nsid w:val="75B52783"/>
    <w:multiLevelType w:val="hybridMultilevel"/>
    <w:lvl w:ilvl="0">
      <w:lvlJc w:val="left"/>
      <w:lvlText w:val="•"/>
      <w:numFmt w:val="bullet"/>
      <w:start w:val="1"/>
    </w:lvl>
  </w:abstractNum>
  <w:abstractNum w:abstractNumId="122">
    <w:nsid w:val="57CE66B4"/>
    <w:multiLevelType w:val="hybridMultilevel"/>
    <w:lvl w:ilvl="0">
      <w:lvlJc w:val="left"/>
      <w:lvlText w:val="•"/>
      <w:numFmt w:val="bullet"/>
      <w:start w:val="1"/>
    </w:lvl>
  </w:abstractNum>
  <w:abstractNum w:abstractNumId="123">
    <w:nsid w:val="67A70B69"/>
    <w:multiLevelType w:val="hybridMultilevel"/>
    <w:lvl w:ilvl="0">
      <w:lvlJc w:val="left"/>
      <w:lvlText w:val="•"/>
      <w:numFmt w:val="bullet"/>
      <w:start w:val="1"/>
    </w:lvl>
  </w:abstractNum>
  <w:abstractNum w:abstractNumId="124">
    <w:nsid w:val="5953172F"/>
    <w:multiLevelType w:val="hybridMultilevel"/>
    <w:lvl w:ilvl="0">
      <w:lvlJc w:val="left"/>
      <w:lvlText w:val="•"/>
      <w:numFmt w:val="bullet"/>
      <w:start w:val="1"/>
    </w:lvl>
  </w:abstractNum>
  <w:abstractNum w:abstractNumId="125">
    <w:nsid w:val="27EDFE3A"/>
    <w:multiLevelType w:val="hybridMultilevel"/>
    <w:lvl w:ilvl="0">
      <w:lvlJc w:val="left"/>
      <w:lvlText w:val="•"/>
      <w:numFmt w:val="bullet"/>
      <w:start w:val="1"/>
    </w:lvl>
  </w:abstractNum>
  <w:abstractNum w:abstractNumId="126">
    <w:nsid w:val="52AC7DFF"/>
    <w:multiLevelType w:val="hybridMultilevel"/>
    <w:lvl w:ilvl="0">
      <w:lvlJc w:val="left"/>
      <w:lvlText w:val="•"/>
      <w:numFmt w:val="bullet"/>
      <w:start w:val="1"/>
    </w:lvl>
  </w:abstractNum>
  <w:abstractNum w:abstractNumId="127">
    <w:nsid w:val="C4C3AF"/>
    <w:multiLevelType w:val="hybridMultilevel"/>
    <w:lvl w:ilvl="0">
      <w:lvlJc w:val="left"/>
      <w:lvlText w:val="(%1)"/>
      <w:numFmt w:val="lowerRoman"/>
      <w:start w:val="2"/>
    </w:lvl>
  </w:abstractNum>
  <w:abstractNum w:abstractNumId="128">
    <w:nsid w:val="44380727"/>
    <w:multiLevelType w:val="hybridMultilevel"/>
    <w:lvl w:ilvl="0">
      <w:lvlJc w:val="left"/>
      <w:lvlText w:val="•"/>
      <w:numFmt w:val="bullet"/>
      <w:start w:val="1"/>
    </w:lvl>
  </w:abstractNum>
  <w:abstractNum w:abstractNumId="129">
    <w:nsid w:val="6C053B16"/>
    <w:multiLevelType w:val="hybridMultilevel"/>
    <w:lvl w:ilvl="0">
      <w:lvlJc w:val="left"/>
      <w:lvlText w:val="%1."/>
      <w:numFmt w:val="lowerLetter"/>
      <w:start w:val="1"/>
    </w:lvl>
  </w:abstractNum>
  <w:abstractNum w:abstractNumId="130">
    <w:nsid w:val="4F294393"/>
    <w:multiLevelType w:val="hybridMultilevel"/>
    <w:lvl w:ilvl="0">
      <w:lvlJc w:val="left"/>
      <w:lvlText w:val="%1."/>
      <w:numFmt w:val="lowerLetter"/>
      <w:start w:val="1"/>
    </w:lvl>
  </w:abstractNum>
  <w:abstractNum w:abstractNumId="131">
    <w:nsid w:val="5243BFAC"/>
    <w:multiLevelType w:val="hybridMultilevel"/>
    <w:lvl w:ilvl="0">
      <w:lvlJc w:val="left"/>
      <w:lvlText w:val="(%1)"/>
      <w:numFmt w:val="lowerLetter"/>
      <w:start w:val="1"/>
    </w:lvl>
  </w:abstractNum>
  <w:abstractNum w:abstractNumId="132">
    <w:nsid w:val="425EB207"/>
    <w:multiLevelType w:val="hybridMultilevel"/>
    <w:lvl w:ilvl="0">
      <w:lvlJc w:val="left"/>
      <w:lvlText w:val="(%1)"/>
      <w:numFmt w:val="lowerLetter"/>
      <w:start w:val="1"/>
    </w:lvl>
  </w:abstractNum>
  <w:abstractNum w:abstractNumId="133">
    <w:nsid w:val="334A6F1F"/>
    <w:multiLevelType w:val="hybridMultilevel"/>
    <w:lvl w:ilvl="0">
      <w:lvlJc w:val="left"/>
      <w:lvlText w:val="(%1)"/>
      <w:numFmt w:val="lowerRoman"/>
      <w:start w:val="3"/>
    </w:lvl>
  </w:abstractNum>
  <w:abstractNum w:abstractNumId="134">
    <w:nsid w:val="2E5B12B8"/>
    <w:multiLevelType w:val="hybridMultilevel"/>
    <w:lvl w:ilvl="0">
      <w:lvlJc w:val="left"/>
      <w:lvlText w:val="†"/>
      <w:numFmt w:val="bullet"/>
      <w:start w:val="1"/>
    </w:lvl>
  </w:abstractNum>
  <w:abstractNum w:abstractNumId="135">
    <w:nsid w:val="5C03D76D"/>
    <w:multiLevelType w:val="hybridMultilevel"/>
    <w:lvl w:ilvl="0">
      <w:lvlJc w:val="left"/>
      <w:lvlText w:val="*"/>
      <w:numFmt w:val="bullet"/>
      <w:start w:val="1"/>
    </w:lvl>
    <w:lvl w:ilvl="1">
      <w:lvlJc w:val="left"/>
      <w:lvlText w:val="(%2)"/>
      <w:numFmt w:val="lowerLetter"/>
      <w:start w:val="2"/>
    </w:lvl>
  </w:abstractNum>
  <w:abstractNum w:abstractNumId="136">
    <w:nsid w:val="66A48D11"/>
    <w:multiLevelType w:val="hybridMultilevel"/>
    <w:lvl w:ilvl="0">
      <w:lvlJc w:val="left"/>
      <w:lvlText w:val="(%1)"/>
      <w:numFmt w:val="decimal"/>
      <w:start w:val="1"/>
    </w:lvl>
  </w:abstractNum>
  <w:abstractNum w:abstractNumId="137">
    <w:nsid w:val="56C28E34"/>
    <w:multiLevelType w:val="hybridMultilevel"/>
    <w:lvl w:ilvl="0">
      <w:lvlJc w:val="left"/>
      <w:lvlText w:val="(%1)"/>
      <w:numFmt w:val="decimal"/>
      <w:start w:val="2"/>
    </w:lvl>
  </w:abstractNum>
  <w:abstractNum w:abstractNumId="138">
    <w:nsid w:val="13916F2D"/>
    <w:multiLevelType w:val="hybridMultilevel"/>
    <w:lvl w:ilvl="0">
      <w:lvlJc w:val="left"/>
      <w:lvlText w:val="%1."/>
      <w:numFmt w:val="decimal"/>
      <w:start w:val="1"/>
    </w:lvl>
  </w:abstractNum>
  <w:abstractNum w:abstractNumId="139">
    <w:nsid w:val="435D38D"/>
    <w:multiLevelType w:val="hybridMultilevel"/>
    <w:lvl w:ilvl="0">
      <w:lvlJc w:val="left"/>
      <w:lvlText w:val="%1"/>
      <w:numFmt w:val="upperLetter"/>
      <w:start w:val="1"/>
    </w:lvl>
    <w:lvl w:ilvl="1">
      <w:lvlJc w:val="left"/>
      <w:lvlText w:val="%2."/>
      <w:numFmt w:val="decimal"/>
      <w:start w:val="1"/>
    </w:lvl>
  </w:abstractNum>
  <w:abstractNum w:abstractNumId="140">
    <w:nsid w:val="822C0EF"/>
    <w:multiLevelType w:val="hybridMultilevel"/>
    <w:lvl w:ilvl="0">
      <w:lvlJc w:val="left"/>
      <w:lvlText w:val="%1."/>
      <w:numFmt w:val="upperLetter"/>
      <w:start w:val="2"/>
    </w:lvl>
    <w:lvl w:ilvl="1">
      <w:lvlJc w:val="left"/>
      <w:lvlText w:val="%2"/>
      <w:numFmt w:val="decimal"/>
      <w:start w:val="1"/>
    </w:lvl>
  </w:abstractNum>
  <w:abstractNum w:abstractNumId="141">
    <w:nsid w:val="57C5BB4F"/>
    <w:multiLevelType w:val="hybridMultilevel"/>
    <w:lvl w:ilvl="0">
      <w:lvlJc w:val="left"/>
      <w:lvlText w:val="%1."/>
      <w:numFmt w:val="decimal"/>
      <w:start w:val="1"/>
    </w:lvl>
  </w:abstractNum>
  <w:abstractNum w:abstractNumId="142">
    <w:nsid w:val="1803D089"/>
    <w:multiLevelType w:val="hybridMultilevel"/>
    <w:lvl w:ilvl="0">
      <w:lvlJc w:val="left"/>
      <w:lvlText w:val="%1."/>
      <w:numFmt w:val="decimal"/>
      <w:start w:val="2"/>
    </w:lvl>
  </w:abstractNum>
  <w:abstractNum w:abstractNumId="143">
    <w:nsid w:val="4F3A06D4"/>
    <w:multiLevelType w:val="hybridMultilevel"/>
    <w:lvl w:ilvl="0">
      <w:lvlJc w:val="left"/>
      <w:lvlText w:val="(%1)"/>
      <w:numFmt w:val="lowerLetter"/>
      <w:start w:val="1"/>
    </w:lvl>
    <w:lvl w:ilvl="1">
      <w:lvlJc w:val="left"/>
      <w:lvlText w:val="(%2)"/>
      <w:numFmt w:val="lowerRoman"/>
      <w:start w:val="1"/>
    </w:lvl>
  </w:abstractNum>
  <w:abstractNum w:abstractNumId="144">
    <w:nsid w:val="59A377B6"/>
    <w:multiLevelType w:val="hybridMultilevel"/>
    <w:lvl w:ilvl="0">
      <w:lvlJc w:val="left"/>
      <w:lvlText w:val="(%1)"/>
      <w:numFmt w:val="decimal"/>
      <w:start w:val="2"/>
    </w:lvl>
    <w:lvl w:ilvl="1">
      <w:lvlJc w:val="left"/>
      <w:lvlText w:val="(%2)"/>
      <w:numFmt w:val="lowerLetter"/>
      <w:start w:val="2"/>
    </w:lvl>
  </w:abstractNum>
  <w:abstractNum w:abstractNumId="145">
    <w:nsid w:val="48AEB063"/>
    <w:multiLevelType w:val="hybridMultilevel"/>
    <w:lvl w:ilvl="0">
      <w:lvlJc w:val="left"/>
      <w:lvlText w:val="(%1)"/>
      <w:numFmt w:val="lowerLetter"/>
      <w:start w:val="1"/>
    </w:lvl>
  </w:abstractNum>
  <w:abstractNum w:abstractNumId="146">
    <w:nsid w:val="24E135"/>
    <w:multiLevelType w:val="hybridMultilevel"/>
    <w:lvl w:ilvl="0">
      <w:lvlJc w:val="left"/>
      <w:lvlText w:val="%1."/>
      <w:numFmt w:val="decimal"/>
      <w:start w:val="3"/>
    </w:lvl>
  </w:abstractNum>
  <w:abstractNum w:abstractNumId="147">
    <w:nsid w:val="BB13C1"/>
    <w:multiLevelType w:val="hybridMultilevel"/>
    <w:lvl w:ilvl="0">
      <w:lvlJc w:val="left"/>
      <w:lvlText w:val="(%1)"/>
      <w:numFmt w:val="lowerRoman"/>
      <w:start w:val="2"/>
    </w:lvl>
  </w:abstractNum>
  <w:abstractNum w:abstractNumId="148">
    <w:nsid w:val="271210C7"/>
    <w:multiLevelType w:val="hybridMultilevel"/>
    <w:lvl w:ilvl="0">
      <w:lvlJc w:val="left"/>
      <w:lvlText w:val="(%1)"/>
      <w:numFmt w:val="lowerRoman"/>
      <w:start w:val="2"/>
    </w:lvl>
  </w:abstractNum>
  <w:abstractNum w:abstractNumId="149">
    <w:nsid w:val="217B22E4"/>
    <w:multiLevelType w:val="hybridMultilevel"/>
    <w:lvl w:ilvl="0">
      <w:lvlJc w:val="left"/>
      <w:lvlText w:val="(%1)"/>
      <w:numFmt w:val="lowerRoman"/>
      <w:start w:val="2"/>
    </w:lvl>
  </w:abstractNum>
  <w:abstractNum w:abstractNumId="150">
    <w:nsid w:val="53E31A24"/>
    <w:multiLevelType w:val="hybridMultilevel"/>
    <w:lvl w:ilvl="0">
      <w:lvlJc w:val="left"/>
      <w:lvlText w:val="%1."/>
      <w:numFmt w:val="decimal"/>
      <w:start w:val="4"/>
    </w:lvl>
  </w:abstractNum>
  <w:abstractNum w:abstractNumId="151">
    <w:nsid w:val="6DC45E83"/>
    <w:multiLevelType w:val="hybridMultilevel"/>
    <w:lvl w:ilvl="0">
      <w:lvlJc w:val="left"/>
      <w:lvlText w:val="(%1)"/>
      <w:numFmt w:val="lowerLetter"/>
      <w:start w:val="2"/>
    </w:lvl>
  </w:abstractNum>
  <w:abstractNum w:abstractNumId="152">
    <w:nsid w:val="17304A67"/>
    <w:multiLevelType w:val="hybridMultilevel"/>
    <w:lvl w:ilvl="0">
      <w:lvlJc w:val="left"/>
      <w:lvlText w:val="(%1)"/>
      <w:numFmt w:val="decimal"/>
      <w:start w:val="2"/>
    </w:lvl>
    <w:lvl w:ilvl="1">
      <w:lvlJc w:val="left"/>
      <w:lvlText w:val="(%2)"/>
      <w:numFmt w:val="lowerRoman"/>
      <w:start w:val="1"/>
    </w:lvl>
  </w:abstractNum>
  <w:abstractNum w:abstractNumId="153">
    <w:nsid w:val="2BB180D8"/>
    <w:multiLevelType w:val="hybridMultilevel"/>
    <w:lvl w:ilvl="0">
      <w:lvlJc w:val="left"/>
      <w:lvlText w:val="(%1)"/>
      <w:numFmt w:val="lowerLetter"/>
      <w:start w:val="1"/>
    </w:lvl>
  </w:abstractNum>
  <w:abstractNum w:abstractNumId="154">
    <w:nsid w:val="556B69ED"/>
    <w:multiLevelType w:val="hybridMultilevel"/>
    <w:lvl w:ilvl="0">
      <w:lvlJc w:val="left"/>
      <w:lvlText w:val="(%1)"/>
      <w:numFmt w:val="lowerLetter"/>
      <w:start w:val="4"/>
    </w:lvl>
  </w:abstractNum>
  <w:abstractNum w:abstractNumId="155">
    <w:nsid w:val="70836196"/>
    <w:multiLevelType w:val="hybridMultilevel"/>
    <w:lvl w:ilvl="0">
      <w:lvlJc w:val="left"/>
      <w:lvlText w:val="(%1)"/>
      <w:numFmt w:val="lowerLetter"/>
      <w:start w:val="1"/>
    </w:lvl>
  </w:abstractNum>
  <w:abstractNum w:abstractNumId="156">
    <w:nsid w:val="539F7F12"/>
    <w:multiLevelType w:val="hybridMultilevel"/>
    <w:lvl w:ilvl="0">
      <w:lvlJc w:val="left"/>
      <w:lvlText w:val="(%1)"/>
      <w:numFmt w:val="lowerLetter"/>
      <w:start w:val="3"/>
    </w:lvl>
  </w:abstractNum>
  <w:abstractNum w:abstractNumId="157">
    <w:nsid w:val="2817E7EC"/>
    <w:multiLevelType w:val="hybridMultilevel"/>
    <w:lvl w:ilvl="0">
      <w:lvlJc w:val="left"/>
      <w:lvlText w:val="(%1)"/>
      <w:numFmt w:val="lowerLetter"/>
      <w:start w:val="1"/>
    </w:lvl>
    <w:lvl w:ilvl="1">
      <w:lvlJc w:val="left"/>
      <w:lvlText w:val="(%2)"/>
      <w:numFmt w:val="lowerRoman"/>
      <w:start w:val="1"/>
    </w:lvl>
  </w:abstractNum>
  <w:abstractNum w:abstractNumId="158">
    <w:nsid w:val="71482545"/>
    <w:multiLevelType w:val="hybridMultilevel"/>
    <w:lvl w:ilvl="0">
      <w:lvlJc w:val="left"/>
      <w:lvlText w:val="(%1)"/>
      <w:numFmt w:val="lowerRoman"/>
      <w:start w:val="2"/>
    </w:lvl>
  </w:abstractNum>
  <w:abstractNum w:abstractNumId="159">
    <w:nsid w:val="17D78639"/>
    <w:multiLevelType w:val="hybridMultilevel"/>
    <w:lvl w:ilvl="0">
      <w:lvlJc w:val="left"/>
      <w:lvlText w:val="(%1)"/>
      <w:numFmt w:val="decimal"/>
      <w:start w:val="1"/>
    </w:lvl>
  </w:abstractNum>
  <w:abstractNum w:abstractNumId="160">
    <w:nsid w:val="141D2302"/>
    <w:multiLevelType w:val="hybridMultilevel"/>
    <w:lvl w:ilvl="0">
      <w:lvlJc w:val="left"/>
      <w:lvlText w:val="(%1)"/>
      <w:numFmt w:val="lowerLetter"/>
      <w:start w:val="1"/>
    </w:lvl>
  </w:abstractNum>
  <w:abstractNum w:abstractNumId="161">
    <w:nsid w:val="407168D8"/>
    <w:multiLevelType w:val="hybridMultilevel"/>
    <w:lvl w:ilvl="0">
      <w:lvlJc w:val="left"/>
      <w:lvlText w:val="(%1)"/>
      <w:numFmt w:val="lowerRoman"/>
      <w:start w:val="1"/>
    </w:lvl>
  </w:abstractNum>
  <w:abstractNum w:abstractNumId="162">
    <w:nsid w:val="6A1B45E5"/>
    <w:multiLevelType w:val="hybridMultilevel"/>
    <w:lvl w:ilvl="0">
      <w:lvlJc w:val="left"/>
      <w:lvlText w:val="%1."/>
      <w:numFmt w:val="decimal"/>
      <w:start w:val="5"/>
    </w:lvl>
  </w:abstractNum>
  <w:abstractNum w:abstractNumId="163">
    <w:nsid w:val="567BD50A"/>
    <w:multiLevelType w:val="hybridMultilevel"/>
    <w:lvl w:ilvl="0">
      <w:lvlJc w:val="left"/>
      <w:lvlText w:val="(%1)"/>
      <w:numFmt w:val="lowerLetter"/>
      <w:start w:val="2"/>
    </w:lvl>
  </w:abstractNum>
  <w:abstractNum w:abstractNumId="164">
    <w:nsid w:val="73BBD7F8"/>
    <w:multiLevelType w:val="hybridMultilevel"/>
    <w:lvl w:ilvl="0">
      <w:lvlJc w:val="left"/>
      <w:lvlText w:val="(%1)"/>
      <w:numFmt w:val="lowerLetter"/>
      <w:start w:val="9"/>
    </w:lvl>
  </w:abstractNum>
  <w:abstractNum w:abstractNumId="165">
    <w:nsid w:val="1876589D"/>
    <w:multiLevelType w:val="hybridMultilevel"/>
    <w:lvl w:ilvl="0">
      <w:lvlJc w:val="left"/>
      <w:lvlText w:val="%1."/>
      <w:numFmt w:val="decimal"/>
      <w:start w:val="6"/>
    </w:lvl>
  </w:abstractNum>
  <w:abstractNum w:abstractNumId="166">
    <w:nsid w:val="327FAC77"/>
    <w:multiLevelType w:val="hybridMultilevel"/>
    <w:lvl w:ilvl="0">
      <w:lvlJc w:val="left"/>
      <w:lvlText w:val="%1."/>
      <w:numFmt w:val="decimal"/>
      <w:start w:val="7"/>
    </w:lvl>
  </w:abstractNum>
  <w:abstractNum w:abstractNumId="167">
    <w:nsid w:val="5A606509"/>
    <w:multiLevelType w:val="hybridMultilevel"/>
    <w:lvl w:ilvl="0">
      <w:lvlJc w:val="left"/>
      <w:lvlText w:val="%1."/>
      <w:numFmt w:val="decimal"/>
      <w:start w:val="3"/>
    </w:lvl>
  </w:abstractNum>
  <w:abstractNum w:abstractNumId="168">
    <w:nsid w:val="6F38E6D1"/>
    <w:multiLevelType w:val="hybridMultilevel"/>
    <w:lvl w:ilvl="0">
      <w:lvlJc w:val="left"/>
      <w:lvlText w:val="§"/>
      <w:numFmt w:val="bullet"/>
      <w:start w:val="1"/>
    </w:lvl>
  </w:abstractNum>
  <w:abstractNum w:abstractNumId="169">
    <w:nsid w:val="46111BA5"/>
    <w:multiLevelType w:val="hybridMultilevel"/>
    <w:lvl w:ilvl="0">
      <w:lvlJc w:val="left"/>
      <w:lvlText w:val="§"/>
      <w:numFmt w:val="bullet"/>
      <w:start w:val="1"/>
    </w:lvl>
  </w:abstractNum>
  <w:abstractNum w:abstractNumId="170">
    <w:nsid w:val="5E963896"/>
    <w:multiLevelType w:val="hybridMultilevel"/>
    <w:lvl w:ilvl="0">
      <w:lvlJc w:val="left"/>
      <w:lvlText w:val="§"/>
      <w:numFmt w:val="bullet"/>
      <w:start w:val="1"/>
    </w:lvl>
    <w:lvl w:ilvl="1">
      <w:lvlJc w:val="left"/>
      <w:lvlText w:val="(%2)"/>
      <w:numFmt w:val="lowerLetter"/>
      <w:start w:val="1"/>
    </w:lvl>
  </w:abstractNum>
  <w:abstractNum w:abstractNumId="171">
    <w:nsid w:val="775BA7C1"/>
    <w:multiLevelType w:val="hybridMultilevel"/>
    <w:lvl w:ilvl="0">
      <w:lvlJc w:val="left"/>
      <w:lvlText w:val="§"/>
      <w:numFmt w:val="bullet"/>
      <w:start w:val="1"/>
    </w:lvl>
    <w:lvl w:ilvl="1">
      <w:lvlJc w:val="left"/>
      <w:lvlText w:val="(%2)"/>
      <w:numFmt w:val="lowerLetter"/>
      <w:start w:val="3"/>
    </w:lvl>
  </w:abstractNum>
  <w:abstractNum w:abstractNumId="172">
    <w:nsid w:val="1DD6D6F4"/>
    <w:multiLevelType w:val="hybridMultilevel"/>
    <w:lvl w:ilvl="0">
      <w:lvlJc w:val="left"/>
      <w:lvlText w:val="§"/>
      <w:numFmt w:val="bullet"/>
      <w:start w:val="1"/>
    </w:lvl>
  </w:abstractNum>
  <w:abstractNum w:abstractNumId="173">
    <w:nsid w:val="769A091F"/>
    <w:multiLevelType w:val="hybridMultilevel"/>
    <w:lvl w:ilvl="0">
      <w:lvlJc w:val="left"/>
      <w:lvlText w:val="§"/>
      <w:numFmt w:val="bullet"/>
      <w:start w:val="1"/>
    </w:lvl>
  </w:abstractNum>
  <w:abstractNum w:abstractNumId="174">
    <w:nsid w:val="4695AE95"/>
    <w:multiLevelType w:val="hybridMultilevel"/>
    <w:lvl w:ilvl="0">
      <w:lvlJc w:val="left"/>
      <w:lvlText w:val="§"/>
      <w:numFmt w:val="bullet"/>
      <w:start w:val="1"/>
    </w:lvl>
  </w:abstractNum>
  <w:abstractNum w:abstractNumId="175">
    <w:nsid w:val="777A4EAA"/>
    <w:multiLevelType w:val="hybridMultilevel"/>
    <w:lvl w:ilvl="0">
      <w:lvlJc w:val="left"/>
      <w:lvlText w:val="§"/>
      <w:numFmt w:val="bullet"/>
      <w:start w:val="1"/>
    </w:lvl>
  </w:abstractNum>
  <w:abstractNum w:abstractNumId="176">
    <w:nsid w:val="3F48B982"/>
    <w:multiLevelType w:val="hybridMultilevel"/>
    <w:lvl w:ilvl="0">
      <w:lvlJc w:val="left"/>
      <w:lvlText w:val="§"/>
      <w:numFmt w:val="bullet"/>
      <w:start w:val="1"/>
    </w:lvl>
  </w:abstractNum>
  <w:abstractNum w:abstractNumId="177">
    <w:nsid w:val="46BA8FCA"/>
    <w:multiLevelType w:val="hybridMultilevel"/>
    <w:lvl w:ilvl="0">
      <w:lvlJc w:val="left"/>
      <w:lvlText w:val="§"/>
      <w:numFmt w:val="bullet"/>
      <w:start w:val="1"/>
    </w:lvl>
  </w:abstractNum>
  <w:abstractNum w:abstractNumId="178">
    <w:nsid w:val="7835626C"/>
    <w:multiLevelType w:val="hybridMultilevel"/>
    <w:lvl w:ilvl="0">
      <w:lvlJc w:val="left"/>
      <w:lvlText w:val="§"/>
      <w:numFmt w:val="bullet"/>
      <w:start w:val="1"/>
    </w:lvl>
  </w:abstractNum>
  <w:abstractNum w:abstractNumId="179">
    <w:nsid w:val="665ACA49"/>
    <w:multiLevelType w:val="hybridMultilevel"/>
    <w:lvl w:ilvl="0">
      <w:lvlJc w:val="left"/>
      <w:lvlText w:val="§"/>
      <w:numFmt w:val="bullet"/>
      <w:start w:val="1"/>
    </w:lvl>
  </w:abstractNum>
  <w:abstractNum w:abstractNumId="180">
    <w:nsid w:val="6835B2AE"/>
    <w:multiLevelType w:val="hybridMultilevel"/>
    <w:lvl w:ilvl="0">
      <w:lvlJc w:val="left"/>
      <w:lvlText w:val="§"/>
      <w:numFmt w:val="bullet"/>
      <w:start w:val="1"/>
    </w:lvl>
  </w:abstractNum>
  <w:abstractNum w:abstractNumId="181">
    <w:nsid w:val="4C187C90"/>
    <w:multiLevelType w:val="hybridMultilevel"/>
    <w:lvl w:ilvl="0">
      <w:lvlJc w:val="left"/>
      <w:lvlText w:val="§"/>
      <w:numFmt w:val="bullet"/>
      <w:start w:val="1"/>
    </w:lvl>
  </w:abstractNum>
  <w:abstractNum w:abstractNumId="182">
    <w:nsid w:val="541F28CD"/>
    <w:multiLevelType w:val="hybridMultilevel"/>
    <w:lvl w:ilvl="0">
      <w:lvlJc w:val="left"/>
      <w:lvlText w:val="§"/>
      <w:numFmt w:val="bullet"/>
      <w:start w:val="1"/>
    </w:lvl>
  </w:abstractNum>
  <w:abstractNum w:abstractNumId="183">
    <w:nsid w:val="7F65FD16"/>
    <w:multiLevelType w:val="hybridMultilevel"/>
    <w:lvl w:ilvl="0">
      <w:lvlJc w:val="left"/>
      <w:lvlText w:val="§"/>
      <w:numFmt w:val="bullet"/>
      <w:start w:val="1"/>
    </w:lvl>
  </w:abstractNum>
  <w:abstractNum w:abstractNumId="184">
    <w:nsid w:val="77C9FD68"/>
    <w:multiLevelType w:val="hybridMultilevel"/>
    <w:lvl w:ilvl="0">
      <w:lvlJc w:val="left"/>
      <w:lvlText w:val="§"/>
      <w:numFmt w:val="bullet"/>
      <w:start w:val="1"/>
    </w:lvl>
  </w:abstractNum>
  <w:abstractNum w:abstractNumId="185">
    <w:nsid w:val="298A92BA"/>
    <w:multiLevelType w:val="hybridMultilevel"/>
    <w:lvl w:ilvl="0">
      <w:lvlJc w:val="left"/>
      <w:lvlText w:val="§"/>
      <w:numFmt w:val="bullet"/>
      <w:start w:val="1"/>
    </w:lvl>
  </w:abstractNum>
  <w:abstractNum w:abstractNumId="186">
    <w:nsid w:val="6FE95EAC"/>
    <w:multiLevelType w:val="hybridMultilevel"/>
    <w:lvl w:ilvl="0">
      <w:lvlJc w:val="left"/>
      <w:lvlText w:val="§"/>
      <w:numFmt w:val="bullet"/>
      <w:start w:val="1"/>
    </w:lvl>
  </w:abstractNum>
  <w:abstractNum w:abstractNumId="187">
    <w:nsid w:val="4B697C7A"/>
    <w:multiLevelType w:val="hybridMultilevel"/>
    <w:lvl w:ilvl="0">
      <w:lvlJc w:val="left"/>
      <w:lvlText w:val="§"/>
      <w:numFmt w:val="bullet"/>
      <w:start w:val="1"/>
    </w:lvl>
  </w:abstractNum>
  <w:abstractNum w:abstractNumId="188">
    <w:nsid w:val="51A27AA6"/>
    <w:multiLevelType w:val="hybridMultilevel"/>
    <w:lvl w:ilvl="0">
      <w:lvlJc w:val="left"/>
      <w:lvlText w:val="§"/>
      <w:numFmt w:val="bullet"/>
      <w:start w:val="1"/>
    </w:lvl>
  </w:abstractNum>
  <w:abstractNum w:abstractNumId="189">
    <w:nsid w:val="613183F2"/>
    <w:multiLevelType w:val="hybridMultilevel"/>
    <w:lvl w:ilvl="0">
      <w:lvlJc w:val="left"/>
      <w:lvlText w:val="§"/>
      <w:numFmt w:val="bullet"/>
      <w:start w:val="1"/>
    </w:lvl>
  </w:abstractNum>
  <w:abstractNum w:abstractNumId="190">
    <w:nsid w:val="634102B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91">
    <w:nsid w:val="65BF9DA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92">
    <w:nsid w:val="21A2ECCA"/>
    <w:multiLevelType w:val="hybridMultilevel"/>
    <w:lvl w:ilvl="0">
      <w:lvlJc w:val="left"/>
      <w:lvlText w:val="(%1)"/>
      <w:numFmt w:val="lowerLetter"/>
      <w:start w:val="3"/>
    </w:lvl>
  </w:abstractNum>
  <w:abstractNum w:abstractNumId="193">
    <w:nsid w:val="4D5C4899"/>
    <w:multiLevelType w:val="hybridMultilevel"/>
    <w:lvl w:ilvl="0">
      <w:lvlJc w:val="left"/>
      <w:lvlText w:val="(%1)"/>
      <w:numFmt w:val="lowerLetter"/>
      <w:start w:val="1"/>
    </w:lvl>
  </w:abstractNum>
  <w:abstractNum w:abstractNumId="194">
    <w:nsid w:val="3C3B72B2"/>
    <w:multiLevelType w:val="hybridMultilevel"/>
    <w:lvl w:ilvl="0">
      <w:lvlJc w:val="left"/>
      <w:lvlText w:val="(%1)"/>
      <w:numFmt w:val="lowerLetter"/>
      <w:start w:val="3"/>
    </w:lvl>
  </w:abstractNum>
  <w:abstractNum w:abstractNumId="195">
    <w:nsid w:val="155EC4C2"/>
    <w:multiLevelType w:val="hybridMultilevel"/>
    <w:lvl w:ilvl="0">
      <w:lvlJc w:val="left"/>
      <w:lvlText w:val="(%1)"/>
      <w:numFmt w:val="lowerLetter"/>
      <w:start w:val="1"/>
    </w:lvl>
  </w:abstractNum>
  <w:abstractNum w:abstractNumId="196">
    <w:nsid w:val="65D2A137"/>
    <w:multiLevelType w:val="hybridMultilevel"/>
    <w:lvl w:ilvl="0">
      <w:lvlJc w:val="left"/>
      <w:lvlText w:val="(%1)"/>
      <w:numFmt w:val="lowerLetter"/>
      <w:start w:val="7"/>
    </w:lvl>
  </w:abstractNum>
  <w:abstractNum w:abstractNumId="197">
    <w:nsid w:val="6EBB1F2A"/>
    <w:multiLevelType w:val="hybridMultilevel"/>
    <w:lvl w:ilvl="0">
      <w:lvlJc w:val="left"/>
      <w:lvlText w:val="(%1)"/>
      <w:numFmt w:val="lowerLetter"/>
      <w:start w:val="1"/>
    </w:lvl>
  </w:abstractNum>
  <w:abstractNum w:abstractNumId="198">
    <w:nsid w:val="6FBF29CB"/>
    <w:multiLevelType w:val="hybridMultilevel"/>
    <w:lvl w:ilvl="0">
      <w:lvlJc w:val="left"/>
      <w:lvlText w:val="%1"/>
      <w:numFmt w:val="lowerLetter"/>
      <w:start w:val="1"/>
    </w:lvl>
    <w:lvl w:ilvl="1">
      <w:lvlJc w:val="left"/>
      <w:lvlText w:val="(%2)"/>
      <w:numFmt w:val="lowerLetter"/>
      <w:start w:val="4"/>
    </w:lvl>
  </w:abstractNum>
  <w:abstractNum w:abstractNumId="199">
    <w:nsid w:val="550B8808"/>
    <w:multiLevelType w:val="hybridMultilevel"/>
    <w:lvl w:ilvl="0">
      <w:lvlJc w:val="left"/>
      <w:lvlText w:val="(%1)"/>
      <w:numFmt w:val="lowerLetter"/>
      <w:start w:val="35"/>
    </w:lvl>
    <w:lvl w:ilvl="1">
      <w:lvlJc w:val="left"/>
      <w:lvlText w:val="(%2)"/>
      <w:numFmt w:val="lowerLetter"/>
      <w:start w:val="5"/>
    </w:lvl>
  </w:abstractNum>
  <w:abstractNum w:abstractNumId="200">
    <w:nsid w:val="34CC3ACF"/>
    <w:multiLevelType w:val="hybridMultilevel"/>
    <w:lvl w:ilvl="0">
      <w:lvlJc w:val="left"/>
      <w:lvlText w:val="(%1)"/>
      <w:numFmt w:val="lowerLetter"/>
      <w:start w:val="1"/>
    </w:lvl>
  </w:abstractNum>
  <w:abstractNum w:abstractNumId="201">
    <w:nsid w:val="4E556261"/>
    <w:multiLevelType w:val="hybridMultilevel"/>
    <w:lvl w:ilvl="0">
      <w:lvlJc w:val="left"/>
      <w:lvlText w:val="(%1)"/>
      <w:numFmt w:val="lowerRoman"/>
      <w:start w:val="2"/>
    </w:lvl>
  </w:abstractNum>
  <w:abstractNum w:abstractNumId="202">
    <w:nsid w:val="4C672FC9"/>
    <w:multiLevelType w:val="hybridMultilevel"/>
    <w:lvl w:ilvl="0">
      <w:lvlJc w:val="left"/>
      <w:lvlText w:val="(%1)"/>
      <w:numFmt w:val="lowerRoman"/>
      <w:start w:val="10"/>
    </w:lvl>
  </w:abstractNum>
  <w:abstractNum w:abstractNumId="203">
    <w:nsid w:val="52A311C3"/>
    <w:multiLevelType w:val="hybridMultilevel"/>
    <w:lvl w:ilvl="0">
      <w:lvlJc w:val="left"/>
      <w:lvlText w:val="(%1)"/>
      <w:numFmt w:val="lowerLetter"/>
      <w:start w:val="1"/>
    </w:lvl>
  </w:abstractNum>
  <w:abstractNum w:abstractNumId="204">
    <w:nsid w:val="44EF6B80"/>
    <w:multiLevelType w:val="hybridMultilevel"/>
    <w:lvl w:ilvl="0">
      <w:lvlJc w:val="left"/>
      <w:lvlText w:val="(%1)"/>
      <w:numFmt w:val="lowerLetter"/>
      <w:start w:val="3"/>
    </w:lvl>
  </w:abstractNum>
  <w:abstractNum w:abstractNumId="205">
    <w:nsid w:val="12FCDE5E"/>
    <w:multiLevelType w:val="hybridMultilevel"/>
    <w:lvl w:ilvl="0">
      <w:lvlJc w:val="left"/>
      <w:lvlText w:val="%1"/>
      <w:numFmt w:val="decimal"/>
      <w:start w:val="1"/>
    </w:lvl>
    <w:lvl w:ilvl="1">
      <w:lvlJc w:val="left"/>
      <w:lvlText w:val="(%2)"/>
      <w:numFmt w:val="lowerLetter"/>
      <w:start w:val="1"/>
    </w:lvl>
  </w:abstractNum>
  <w:abstractNum w:abstractNumId="206">
    <w:nsid w:val="4A1D606E"/>
    <w:multiLevelType w:val="hybridMultilevel"/>
    <w:lvl w:ilvl="0">
      <w:lvlJc w:val="left"/>
      <w:lvlText w:val="%1."/>
      <w:numFmt w:val="decimal"/>
      <w:start w:val="3"/>
    </w:lvl>
    <w:lvl w:ilvl="1">
      <w:lvlJc w:val="left"/>
      <w:lvlText w:val="%2"/>
      <w:numFmt w:val="lowerLetter"/>
      <w:start w:val="1"/>
    </w:lvl>
  </w:abstractNum>
  <w:abstractNum w:abstractNumId="207">
    <w:nsid w:val="4382503"/>
    <w:multiLevelType w:val="hybridMultilevel"/>
    <w:lvl w:ilvl="0">
      <w:lvlJc w:val="left"/>
      <w:lvlText w:val="(%1)"/>
      <w:numFmt w:val="lowerLetter"/>
      <w:start w:val="1"/>
    </w:lvl>
  </w:abstractNum>
  <w:abstractNum w:abstractNumId="208">
    <w:nsid w:val="59B76E28"/>
    <w:multiLevelType w:val="hybridMultilevel"/>
    <w:lvl w:ilvl="0">
      <w:lvlJc w:val="left"/>
      <w:lvlText w:val="(%1)"/>
      <w:numFmt w:val="lowerLetter"/>
      <w:start w:val="2"/>
    </w:lvl>
  </w:abstractNum>
  <w:abstractNum w:abstractNumId="209">
    <w:nsid w:val="4252C2DA"/>
    <w:multiLevelType w:val="hybridMultilevel"/>
    <w:lvl w:ilvl="0">
      <w:lvlJc w:val="left"/>
      <w:lvlText w:val="(%1)"/>
      <w:numFmt w:val="lowerRoman"/>
      <w:start w:val="1"/>
    </w:lvl>
  </w:abstractNum>
  <w:abstractNum w:abstractNumId="210">
    <w:nsid w:val="6A92EF4C"/>
    <w:multiLevelType w:val="hybridMultilevel"/>
    <w:lvl w:ilvl="0">
      <w:lvlJc w:val="left"/>
      <w:lvlText w:val="%1."/>
      <w:numFmt w:val="decimal"/>
      <w:start w:val="4"/>
    </w:lvl>
  </w:abstractNum>
  <w:abstractNum w:abstractNumId="211">
    <w:nsid w:val="41ED20D7"/>
    <w:multiLevelType w:val="hybridMultilevel"/>
    <w:lvl w:ilvl="0">
      <w:lvlJc w:val="left"/>
      <w:lvlText w:val="(%1)"/>
      <w:numFmt w:val="lowerLetter"/>
      <w:start w:val="1"/>
    </w:lvl>
  </w:abstractNum>
  <w:abstractNum w:abstractNumId="212">
    <w:nsid w:val="E6B3F6A"/>
    <w:multiLevelType w:val="hybridMultilevel"/>
    <w:lvl w:ilvl="0">
      <w:lvlJc w:val="left"/>
      <w:lvlText w:val="%1."/>
      <w:numFmt w:val="decimal"/>
      <w:start w:val="5"/>
    </w:lvl>
  </w:abstractNum>
  <w:abstractNum w:abstractNumId="213">
    <w:nsid w:val="3EB21819"/>
    <w:multiLevelType w:val="hybridMultilevel"/>
    <w:lvl w:ilvl="0">
      <w:lvlJc w:val="left"/>
      <w:lvlText w:val="(%1)"/>
      <w:numFmt w:val="lowerLetter"/>
      <w:start w:val="1"/>
    </w:lvl>
  </w:abstractNum>
  <w:abstractNum w:abstractNumId="214">
    <w:nsid w:val="41531DED"/>
    <w:multiLevelType w:val="hybridMultilevel"/>
    <w:lvl w:ilvl="0">
      <w:lvlJc w:val="left"/>
      <w:lvlText w:val="(%1)"/>
      <w:numFmt w:val="lowerLetter"/>
      <w:start w:val="2"/>
    </w:lvl>
  </w:abstractNum>
  <w:abstractNum w:abstractNumId="215">
    <w:nsid w:val="6353CD2"/>
    <w:multiLevelType w:val="hybridMultilevel"/>
    <w:lvl w:ilvl="0">
      <w:lvlJc w:val="left"/>
      <w:lvlText w:val="%1."/>
      <w:numFmt w:val="decimal"/>
      <w:start w:val="6"/>
    </w:lvl>
  </w:abstractNum>
  <w:abstractNum w:abstractNumId="216">
    <w:nsid w:val="683CAAD3"/>
    <w:multiLevelType w:val="hybridMultilevel"/>
    <w:lvl w:ilvl="0">
      <w:lvlJc w:val="left"/>
      <w:lvlText w:val="(%1)"/>
      <w:numFmt w:val="lowerLetter"/>
      <w:start w:val="1"/>
    </w:lvl>
  </w:abstractNum>
  <w:abstractNum w:abstractNumId="217">
    <w:nsid w:val="313C7C99"/>
    <w:multiLevelType w:val="hybridMultilevel"/>
    <w:lvl w:ilvl="0">
      <w:lvlJc w:val="left"/>
      <w:lvlText w:val="(%1)"/>
      <w:numFmt w:val="lowerLetter"/>
      <w:start w:val="2"/>
    </w:lvl>
  </w:abstractNum>
  <w:abstractNum w:abstractNumId="218">
    <w:nsid w:val="519EB94C"/>
    <w:multiLevelType w:val="hybridMultilevel"/>
    <w:lvl w:ilvl="0">
      <w:lvlJc w:val="left"/>
      <w:lvlText w:val="(%1)"/>
      <w:numFmt w:val="lowerLetter"/>
      <w:start w:val="9"/>
    </w:lvl>
  </w:abstractNum>
  <w:abstractNum w:abstractNumId="219">
    <w:nsid w:val="39DF2579"/>
    <w:multiLevelType w:val="hybridMultilevel"/>
    <w:lvl w:ilvl="0">
      <w:lvlJc w:val="left"/>
      <w:lvlText w:val="(%1)"/>
      <w:numFmt w:val="lowerLetter"/>
      <w:start w:val="2"/>
    </w:lvl>
  </w:abstractNum>
  <w:abstractNum w:abstractNumId="220">
    <w:nsid w:val="126E008B"/>
    <w:multiLevelType w:val="hybridMultilevel"/>
    <w:lvl w:ilvl="0">
      <w:lvlJc w:val="left"/>
      <w:lvlText w:val="(%1)"/>
      <w:numFmt w:val="upperLetter"/>
      <w:start w:val="2"/>
    </w:lvl>
  </w:abstractNum>
  <w:abstractNum w:abstractNumId="221">
    <w:nsid w:val="34DFBC00"/>
    <w:multiLevelType w:val="hybridMultilevel"/>
    <w:lvl w:ilvl="0">
      <w:lvlJc w:val="left"/>
      <w:lvlText w:val="(%1)"/>
      <w:numFmt w:val="lowerRoman"/>
      <w:start w:val="2"/>
    </w:lvl>
  </w:abstractNum>
  <w:abstractNum w:abstractNumId="222">
    <w:nsid w:val="1F9EC322"/>
    <w:multiLevelType w:val="hybridMultilevel"/>
    <w:lvl w:ilvl="0">
      <w:lvlJc w:val="left"/>
      <w:lvlText w:val="(%1)"/>
      <w:numFmt w:val="upperLetter"/>
      <w:start w:val="2"/>
    </w:lvl>
  </w:abstractNum>
  <w:abstractNum w:abstractNumId="223">
    <w:nsid w:val="3410ED56"/>
    <w:multiLevelType w:val="hybridMultilevel"/>
    <w:lvl w:ilvl="0">
      <w:lvlJc w:val="left"/>
      <w:lvlText w:val="(%1)"/>
      <w:numFmt w:val="lowerRoman"/>
      <w:start w:val="1"/>
    </w:lvl>
  </w:abstractNum>
  <w:abstractNum w:abstractNumId="224">
    <w:nsid w:val="23C049A"/>
    <w:multiLevelType w:val="hybridMultilevel"/>
    <w:lvl w:ilvl="0">
      <w:lvlJc w:val="left"/>
      <w:lvlText w:val="(%1)"/>
      <w:numFmt w:val="lowerLetter"/>
      <w:start w:val="9"/>
    </w:lvl>
    <w:lvl w:ilvl="1">
      <w:lvlJc w:val="left"/>
      <w:lvlText w:val="(%2)"/>
      <w:numFmt w:val="lowerLetter"/>
      <w:start w:val="2"/>
    </w:lvl>
  </w:abstractNum>
  <w:abstractNum w:abstractNumId="225">
    <w:nsid w:val="5BDA35D4"/>
    <w:multiLevelType w:val="hybridMultilevel"/>
    <w:lvl w:ilvl="0">
      <w:lvlJc w:val="left"/>
      <w:lvlText w:val="[***]"/>
      <w:numFmt w:val="bullet"/>
      <w:start w:val="1"/>
    </w:lvl>
  </w:abstractNum>
  <w:abstractNum w:abstractNumId="226">
    <w:nsid w:val="496FB218"/>
    <w:multiLevelType w:val="hybridMultilevel"/>
    <w:lvl w:ilvl="0">
      <w:lvlJc w:val="left"/>
      <w:lvlText w:val="(%1)"/>
      <w:numFmt w:val="decimal"/>
      <w:start w:val="30"/>
    </w:lvl>
  </w:abstractNum>
  <w:abstractNum w:abstractNumId="227">
    <w:nsid w:val="680EA5D1"/>
    <w:multiLevelType w:val="hybridMultilevel"/>
    <w:lvl w:ilvl="0">
      <w:lvlJc w:val="left"/>
      <w:lvlText w:val="(%1)"/>
      <w:numFmt w:val="lowerLetter"/>
      <w:start w:val="2"/>
    </w:lvl>
  </w:abstractNum>
  <w:abstractNum w:abstractNumId="228">
    <w:nsid w:val="4A9554FE"/>
    <w:multiLevelType w:val="hybridMultilevel"/>
    <w:lvl w:ilvl="0">
      <w:lvlJc w:val="left"/>
      <w:lvlText w:val="(%1)"/>
      <w:numFmt w:val="lowerLetter"/>
      <w:start w:val="1"/>
    </w:lvl>
  </w:abstractNum>
  <w:abstractNum w:abstractNumId="229">
    <w:nsid w:val="392EDBE4"/>
    <w:multiLevelType w:val="hybridMultilevel"/>
    <w:lvl w:ilvl="0">
      <w:lvlJc w:val="left"/>
      <w:lvlText w:val="(%1)"/>
      <w:numFmt w:val="lowerLetter"/>
      <w:start w:val="2"/>
    </w:lvl>
    <w:lvl w:ilvl="1">
      <w:lvlJc w:val="left"/>
      <w:lvlText w:val="(%2)"/>
      <w:numFmt w:val="decimal"/>
      <w:start w:val="1"/>
    </w:lvl>
  </w:abstractNum>
  <w:abstractNum w:abstractNumId="230">
    <w:nsid w:val="3D1A2DD9"/>
    <w:multiLevelType w:val="hybridMultilevel"/>
    <w:lvl w:ilvl="0">
      <w:lvlJc w:val="left"/>
      <w:lvlText w:val="(%1)"/>
      <w:numFmt w:val="decimal"/>
      <w:start w:val="2"/>
    </w:lvl>
  </w:abstractNum>
  <w:abstractNum w:abstractNumId="231">
    <w:nsid w:val="7F618FCD"/>
    <w:multiLevelType w:val="hybridMultilevel"/>
    <w:lvl w:ilvl="0">
      <w:lvlJc w:val="left"/>
      <w:lvlText w:val="%1"/>
      <w:numFmt w:val="decimal"/>
      <w:start w:val="1"/>
    </w:lvl>
    <w:lvl w:ilvl="1">
      <w:lvlJc w:val="left"/>
      <w:lvlText w:val="(%2)"/>
      <w:numFmt w:val="lowerLetter"/>
      <w:start w:val="1"/>
    </w:lvl>
  </w:abstractNum>
  <w:abstractNum w:abstractNumId="232">
    <w:nsid w:val="7843E45"/>
    <w:multiLevelType w:val="hybridMultilevel"/>
    <w:lvl w:ilvl="0">
      <w:lvlJc w:val="left"/>
      <w:lvlText w:val="(%1)"/>
      <w:numFmt w:val="decimal"/>
      <w:start w:val="1"/>
    </w:lvl>
    <w:lvl w:ilvl="1">
      <w:lvlJc w:val="left"/>
      <w:lvlText w:val="%2"/>
      <w:numFmt w:val="lowerLetter"/>
      <w:start w:val="1"/>
    </w:lvl>
  </w:abstractNum>
  <w:abstractNum w:abstractNumId="233">
    <w:nsid w:val="9815DA3"/>
    <w:multiLevelType w:val="hybridMultilevel"/>
    <w:lvl w:ilvl="0">
      <w:lvlJc w:val="left"/>
      <w:lvlText w:val="%1"/>
      <w:numFmt w:val="lowerLetter"/>
      <w:start w:val="1"/>
    </w:lvl>
    <w:lvl w:ilvl="1">
      <w:lvlJc w:val="left"/>
      <w:lvlText w:val="(%2)"/>
      <w:numFmt w:val="decimal"/>
      <w:start w:val="3"/>
    </w:lvl>
  </w:abstractNum>
  <w:abstractNum w:abstractNumId="234">
    <w:nsid w:val="5204A191"/>
    <w:multiLevelType w:val="hybridMultilevel"/>
    <w:lvl w:ilvl="0">
      <w:lvlJc w:val="left"/>
      <w:lvlText w:val="(%1)"/>
      <w:numFmt w:val="lowerLetter"/>
      <w:start w:val="2"/>
    </w:lvl>
    <w:lvl w:ilvl="1">
      <w:lvlJc w:val="left"/>
      <w:lvlText w:val="%2"/>
      <w:numFmt w:val="decimal"/>
      <w:start w:val="1"/>
    </w:lvl>
  </w:abstractNum>
  <w:abstractNum w:abstractNumId="235">
    <w:nsid w:val="4C73A9C6"/>
    <w:multiLevelType w:val="hybridMultilevel"/>
    <w:lvl w:ilvl="0">
      <w:lvlJc w:val="left"/>
      <w:lvlText w:val="(%1)"/>
      <w:numFmt w:val="lowerLetter"/>
      <w:start w:val="35"/>
    </w:lvl>
    <w:lvl w:ilvl="1">
      <w:lvlJc w:val="left"/>
      <w:lvlText w:val="(%2)"/>
      <w:numFmt w:val="lowerLetter"/>
      <w:start w:val="1"/>
    </w:lvl>
  </w:abstractNum>
  <w:abstractNum w:abstractNumId="236">
    <w:nsid w:val="1C7E3C01"/>
    <w:multiLevelType w:val="hybridMultilevel"/>
    <w:lvl w:ilvl="0">
      <w:lvlJc w:val="left"/>
      <w:lvlText w:val="(%1)"/>
      <w:numFmt w:val="lowerLetter"/>
      <w:start w:val="1"/>
    </w:lvl>
  </w:abstractNum>
  <w:abstractNum w:abstractNumId="237">
    <w:nsid w:val="1C2201FF"/>
    <w:multiLevelType w:val="hybridMultilevel"/>
    <w:lvl w:ilvl="0">
      <w:lvlJc w:val="left"/>
      <w:lvlText w:val="(%1)"/>
      <w:numFmt w:val="lowerLetter"/>
      <w:start w:val="3"/>
    </w:lvl>
  </w:abstractNum>
  <w:abstractNum w:abstractNumId="238">
    <w:nsid w:val="50ABCEC9"/>
    <w:multiLevelType w:val="hybridMultilevel"/>
    <w:lvl w:ilvl="0">
      <w:lvlJc w:val="left"/>
      <w:lvlText w:val="(%1)"/>
      <w:numFmt w:val="lowerLetter"/>
      <w:start w:val="1"/>
    </w:lvl>
  </w:abstractNum>
  <w:abstractNum w:abstractNumId="239">
    <w:nsid w:val="7635AA2A"/>
    <w:multiLevelType w:val="hybridMultilevel"/>
    <w:lvl w:ilvl="0">
      <w:lvlJc w:val="left"/>
      <w:lvlText w:val="(%1)"/>
      <w:numFmt w:val="lowerLetter"/>
      <w:start w:val="1"/>
    </w:lvl>
  </w:abstractNum>
  <w:abstractNum w:abstractNumId="240">
    <w:nsid w:val="5E74C4D9"/>
    <w:multiLevelType w:val="hybridMultilevel"/>
    <w:lvl w:ilvl="0">
      <w:lvlJc w:val="left"/>
      <w:lvlText w:val="(%1)"/>
      <w:numFmt w:val="lowerLetter"/>
      <w:start w:val="2"/>
    </w:lvl>
  </w:abstractNum>
  <w:abstractNum w:abstractNumId="241">
    <w:nsid w:val="3B3EBE15"/>
    <w:multiLevelType w:val="hybridMultilevel"/>
    <w:lvl w:ilvl="0">
      <w:lvlJc w:val="left"/>
      <w:lvlText w:val="[***]"/>
      <w:numFmt w:val="bullet"/>
      <w:start w:val="1"/>
    </w:lvl>
  </w:abstractNum>
  <w:abstractNum w:abstractNumId="242">
    <w:nsid w:val="3822CB01"/>
    <w:multiLevelType w:val="hybridMultilevel"/>
    <w:lvl w:ilvl="0">
      <w:lvlJc w:val="left"/>
      <w:lvlText w:val="(%1)"/>
      <w:numFmt w:val="lowerRoman"/>
      <w:start w:val="6"/>
    </w:lvl>
  </w:abstractNum>
  <w:abstractNum w:abstractNumId="243">
    <w:nsid w:val="6CE00443"/>
    <w:multiLevelType w:val="hybridMultilevel"/>
    <w:lvl w:ilvl="0">
      <w:lvlJc w:val="left"/>
      <w:lvlText w:val="(%1)"/>
      <w:numFmt w:val="lowerRoman"/>
      <w:start w:val="2"/>
    </w:lvl>
  </w:abstractNum>
  <w:abstractNum w:abstractNumId="244">
    <w:nsid w:val="79F0D62F"/>
    <w:multiLevelType w:val="hybridMultilevel"/>
    <w:lvl w:ilvl="0">
      <w:lvlJc w:val="left"/>
      <w:lvlText w:val="[***]"/>
      <w:numFmt w:val="bullet"/>
      <w:start w:val="1"/>
    </w:lvl>
  </w:abstractNum>
  <w:abstractNum w:abstractNumId="245">
    <w:nsid w:val="7975E8E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46">
    <w:nsid w:val="73154115"/>
    <w:multiLevelType w:val="hybridMultilevel"/>
    <w:lvl w:ilvl="0">
      <w:lvlJc w:val="left"/>
      <w:lvlText w:val="%1"/>
      <w:numFmt w:val="decimal"/>
      <w:start w:val="1"/>
    </w:lvl>
    <w:lvl w:ilvl="1">
      <w:lvlJc w:val="left"/>
      <w:lvlText w:val="(%2)"/>
      <w:numFmt w:val="upperLetter"/>
      <w:start w:val="2"/>
    </w:lvl>
  </w:abstractNum>
  <w:abstractNum w:abstractNumId="247">
    <w:nsid w:val="622D8102"/>
    <w:multiLevelType w:val="hybridMultilevel"/>
    <w:lvl w:ilvl="0">
      <w:lvlJc w:val="left"/>
      <w:lvlText w:val="(%1)"/>
      <w:numFmt w:val="decimal"/>
      <w:start w:val="3"/>
    </w:lvl>
    <w:lvl w:ilvl="1">
      <w:lvlJc w:val="left"/>
      <w:lvlText w:val="(%2)"/>
      <w:numFmt w:val="upperLetter"/>
      <w:start w:val="1"/>
    </w:lvl>
  </w:abstractNum>
  <w:abstractNum w:abstractNumId="248">
    <w:nsid w:val="2AB26587"/>
    <w:multiLevelType w:val="hybridMultilevel"/>
    <w:lvl w:ilvl="0">
      <w:lvlJc w:val="left"/>
      <w:lvlText w:val="(%1)"/>
      <w:numFmt w:val="upperLetter"/>
      <w:start w:val="1"/>
    </w:lvl>
  </w:abstractNum>
  <w:abstractNum w:abstractNumId="249">
    <w:nsid w:val="44B3FA61"/>
    <w:multiLevelType w:val="hybridMultilevel"/>
    <w:lvl w:ilvl="0">
      <w:lvlJc w:val="left"/>
      <w:lvlText w:val="(%1)"/>
      <w:numFmt w:val="upperLetter"/>
      <w:start w:val="4"/>
    </w:lvl>
  </w:abstractNum>
  <w:abstractNum w:abstractNumId="250">
    <w:nsid w:val="1C0CA67C"/>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upperLetter"/>
      <w:start w:val="7"/>
    </w:lvl>
  </w:abstractNum>
  <w:abstractNum w:abstractNumId="251">
    <w:nsid w:val="3D206613"/>
    <w:multiLevelType w:val="hybridMultilevel"/>
    <w:lvl w:ilvl="0">
      <w:lvlJc w:val="left"/>
      <w:lvlText w:val="[***]"/>
      <w:numFmt w:val="bullet"/>
      <w:start w:val="1"/>
    </w:lvl>
    <w:lvl w:ilvl="1">
      <w:lvlJc w:val="left"/>
      <w:lvlText w:val="%2"/>
      <w:numFmt w:val="lowerLetter"/>
      <w:start w:val="1"/>
    </w:lvl>
    <w:lvl w:ilvl="2">
      <w:lvlJc w:val="left"/>
      <w:lvlText w:val="(%3)"/>
      <w:numFmt w:val="decimal"/>
      <w:start w:val="5"/>
    </w:lvl>
    <w:lvl w:ilvl="3">
      <w:lvlJc w:val="left"/>
      <w:lvlText w:val="%4"/>
      <w:numFmt w:val="upperLetter"/>
      <w:start w:val="1"/>
    </w:lvl>
  </w:abstractNum>
  <w:abstractNum w:abstractNumId="252">
    <w:nsid w:val="7993B662"/>
    <w:multiLevelType w:val="hybridMultilevel"/>
    <w:lvl w:ilvl="0">
      <w:lvlJc w:val="left"/>
      <w:lvlText w:val="[***]"/>
      <w:numFmt w:val="bullet"/>
      <w:start w:val="1"/>
    </w:lvl>
    <w:lvl w:ilvl="1">
      <w:lvlJc w:val="left"/>
      <w:lvlText w:val="(%2)"/>
      <w:numFmt w:val="lowerLetter"/>
      <w:start w:val="2"/>
    </w:lvl>
    <w:lvl w:ilvl="2">
      <w:lvlJc w:val="left"/>
      <w:lvlText w:val="%3"/>
      <w:numFmt w:val="decimal"/>
      <w:start w:val="1"/>
    </w:lvl>
    <w:lvl w:ilvl="3">
      <w:lvlJc w:val="left"/>
      <w:lvlText w:val="%4"/>
      <w:numFmt w:val="upperLetter"/>
      <w:start w:val="1"/>
    </w:lvl>
  </w:abstractNum>
  <w:abstractNum w:abstractNumId="253">
    <w:nsid w:val="3BAB699E"/>
    <w:multiLevelType w:val="hybridMultilevel"/>
    <w:lvl w:ilvl="0">
      <w:lvlJc w:val="left"/>
      <w:lvlText w:val="(%1)"/>
      <w:numFmt w:val="decimal"/>
      <w:start w:val="1"/>
    </w:lvl>
  </w:abstractNum>
  <w:abstractNum w:abstractNumId="254">
    <w:nsid w:val="71315369"/>
    <w:multiLevelType w:val="hybridMultilevel"/>
    <w:lvl w:ilvl="0">
      <w:lvlJc w:val="left"/>
      <w:lvlText w:val="(%1)"/>
      <w:numFmt w:val="decimal"/>
      <w:start w:val="3"/>
    </w:lvl>
  </w:abstractNum>
  <w:abstractNum w:abstractNumId="255">
    <w:nsid w:val="7BCFBAFC"/>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abstractNum>
  <w:abstractNum w:abstractNumId="256">
    <w:nsid w:val="17859F72"/>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257">
    <w:nsid w:val="3AA10581"/>
    <w:multiLevelType w:val="hybridMultilevel"/>
    <w:lvl w:ilvl="0">
      <w:lvlJc w:val="left"/>
      <w:lvlText w:val="(%1)"/>
      <w:numFmt w:val="upperLetter"/>
      <w:start w:val="2"/>
    </w:lvl>
  </w:abstractNum>
  <w:abstractNum w:abstractNumId="258">
    <w:nsid w:val="63DE60CD"/>
    <w:multiLevelType w:val="hybridMultilevel"/>
    <w:lvl w:ilvl="0">
      <w:lvlJc w:val="left"/>
      <w:lvlText w:val="%1)"/>
      <w:numFmt w:val="decimal"/>
      <w:start w:val="1"/>
    </w:lvl>
  </w:abstractNum>
  <w:abstractNum w:abstractNumId="259">
    <w:nsid w:val="621AF471"/>
    <w:multiLevelType w:val="hybridMultilevel"/>
    <w:lvl w:ilvl="0">
      <w:lvlJc w:val="left"/>
      <w:lvlText w:val="%1)"/>
      <w:numFmt w:val="decimal"/>
      <w:start w:val="1"/>
    </w:lvl>
  </w:abstractNum>
  <w:abstractNum w:abstractNumId="260">
    <w:nsid w:val="73CFE165"/>
    <w:multiLevelType w:val="hybridMultilevel"/>
    <w:lvl w:ilvl="0">
      <w:lvlJc w:val="left"/>
      <w:lvlText w:val="%1)"/>
      <w:numFmt w:val="decimal"/>
      <w:start w:val="1"/>
    </w:lvl>
  </w:abstractNum>
  <w:abstractNum w:abstractNumId="261">
    <w:nsid w:val="20F88EA6"/>
    <w:multiLevelType w:val="hybridMultilevel"/>
    <w:lvl w:ilvl="0">
      <w:lvlJc w:val="left"/>
      <w:lvlText w:val="%1)"/>
      <w:numFmt w:val="decimal"/>
      <w:start w:val="1"/>
    </w:lvl>
  </w:abstractNum>
  <w:abstractNum w:abstractNumId="262">
    <w:nsid w:val="617C843E"/>
    <w:multiLevelType w:val="hybridMultilevel"/>
    <w:lvl w:ilvl="0">
      <w:lvlJc w:val="left"/>
      <w:lvlText w:val="(%1)"/>
      <w:numFmt w:val="lowerLetter"/>
      <w:start w:val="1"/>
    </w:lvl>
  </w:abstractNum>
  <w:abstractNum w:abstractNumId="263">
    <w:nsid w:val="7B541FAB"/>
    <w:multiLevelType w:val="hybridMultilevel"/>
    <w:lvl w:ilvl="0">
      <w:lvlJc w:val="left"/>
      <w:lvlText w:val="%1"/>
      <w:numFmt w:val="lowerLetter"/>
      <w:start w:val="1"/>
    </w:lvl>
    <w:lvl w:ilvl="1">
      <w:lvlJc w:val="left"/>
      <w:lvlText w:val="(%2)"/>
      <w:numFmt w:val="decimal"/>
      <w:start w:val="1"/>
    </w:lvl>
  </w:abstractNum>
  <w:abstractNum w:abstractNumId="264">
    <w:nsid w:val="2A79EC49"/>
    <w:multiLevelType w:val="hybridMultilevel"/>
    <w:lvl w:ilvl="0">
      <w:lvlJc w:val="left"/>
      <w:lvlText w:val="(%1)"/>
      <w:numFmt w:val="lowerLetter"/>
      <w:start w:val="9"/>
    </w:lvl>
    <w:lvl w:ilvl="1">
      <w:lvlJc w:val="left"/>
      <w:lvlText w:val="%2"/>
      <w:numFmt w:val="decimal"/>
      <w:start w:val="1"/>
    </w:lvl>
  </w:abstractNum>
  <w:abstractNum w:abstractNumId="265">
    <w:nsid w:val="338125CF"/>
    <w:multiLevelType w:val="hybridMultilevel"/>
    <w:lvl w:ilvl="0">
      <w:lvlJc w:val="left"/>
      <w:lvlText w:val="(%1)"/>
      <w:numFmt w:val="lowerLetter"/>
      <w:start w:val="15"/>
    </w:lvl>
    <w:lvl w:ilvl="1">
      <w:lvlJc w:val="left"/>
      <w:lvlText w:val="(%2)"/>
      <w:numFmt w:val="decimal"/>
      <w:start w:val="1"/>
    </w:lvl>
  </w:abstractNum>
  <w:abstractNum w:abstractNumId="266">
    <w:nsid w:val="47C7C971"/>
    <w:multiLevelType w:val="hybridMultilevel"/>
    <w:lvl w:ilvl="0">
      <w:lvlJc w:val="left"/>
      <w:lvlText w:val="(%1)"/>
      <w:numFmt w:val="lowerLetter"/>
      <w:start w:val="25"/>
    </w:lvl>
  </w:abstractNum>
  <w:abstractNum w:abstractNumId="267">
    <w:nsid w:val="46F8284B"/>
    <w:multiLevelType w:val="hybridMultilevel"/>
    <w:lvl w:ilvl="0">
      <w:lvlJc w:val="left"/>
      <w:lvlText w:val="(%1)"/>
      <w:numFmt w:val="lowerLetter"/>
      <w:start w:val="27"/>
    </w:lvl>
  </w:abstractNum>
  <w:abstractNum w:abstractNumId="268">
    <w:nsid w:val="4FA327CE"/>
    <w:multiLevelType w:val="hybridMultilevel"/>
    <w:lvl w:ilvl="0">
      <w:lvlJc w:val="left"/>
      <w:lvlText w:val="(%1)"/>
      <w:numFmt w:val="lowerLetter"/>
      <w:start w:val="1"/>
    </w:lvl>
  </w:abstractNum>
  <w:abstractNum w:abstractNumId="269">
    <w:nsid w:val="1873983A"/>
    <w:multiLevelType w:val="hybridMultilevel"/>
    <w:lvl w:ilvl="0">
      <w:lvlJc w:val="left"/>
      <w:lvlText w:val="(%1)"/>
      <w:numFmt w:val="lowerLetter"/>
      <w:start w:val="1"/>
    </w:lvl>
  </w:abstractNum>
  <w:abstractNum w:abstractNumId="270">
    <w:nsid w:val="3D2DD27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71">
    <w:nsid w:val="2E17ECA7"/>
    <w:multiLevelType w:val="hybridMultilevel"/>
    <w:lvl w:ilvl="0">
      <w:lvlJc w:val="left"/>
      <w:lvlText w:val="%1"/>
      <w:numFmt w:val="lowerLetter"/>
      <w:start w:val="1"/>
    </w:lvl>
    <w:lvl w:ilvl="1">
      <w:lvlJc w:val="left"/>
      <w:lvlText w:val="(%2)"/>
      <w:numFmt w:val="decimal"/>
      <w:start w:val="2"/>
    </w:lvl>
  </w:abstractNum>
  <w:abstractNum w:abstractNumId="272">
    <w:nsid w:val="53B2564F"/>
    <w:multiLevelType w:val="hybridMultilevel"/>
    <w:lvl w:ilvl="0">
      <w:lvlJc w:val="left"/>
      <w:lvlText w:val="(%1)"/>
      <w:numFmt w:val="lowerLetter"/>
      <w:start w:val="2"/>
    </w:lvl>
    <w:lvl w:ilvl="1">
      <w:lvlJc w:val="left"/>
      <w:lvlText w:val="(%2)"/>
      <w:numFmt w:val="decimal"/>
      <w:start w:val="1"/>
    </w:lvl>
  </w:abstractNum>
  <w:abstractNum w:abstractNumId="273">
    <w:nsid w:val="75509D76"/>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4"/>
    </w:lvl>
  </w:abstractNum>
  <w:abstractNum w:abstractNumId="274">
    <w:nsid w:val="1AF7F0EA"/>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275">
    <w:nsid w:val="4DA32C7E"/>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276">
    <w:nsid w:val="6EC68664"/>
    <w:multiLevelType w:val="hybridMultilevel"/>
    <w:lvl w:ilvl="0">
      <w:lvlJc w:val="left"/>
      <w:lvlText w:val="(%1)"/>
      <w:numFmt w:val="lowerLetter"/>
      <w:start w:val="1"/>
    </w:lvl>
  </w:abstractNum>
  <w:abstractNum w:abstractNumId="277">
    <w:nsid w:val="E0D31FF"/>
    <w:multiLevelType w:val="hybridMultilevel"/>
    <w:lvl w:ilvl="0">
      <w:lvlJc w:val="left"/>
      <w:lvlText w:val="(%1)"/>
      <w:numFmt w:val="lowerLetter"/>
      <w:start w:val="2"/>
    </w:lvl>
  </w:abstractNum>
  <w:abstractNum w:abstractNumId="278">
    <w:nsid w:val="2FD0AD81"/>
    <w:multiLevelType w:val="hybridMultilevel"/>
    <w:lvl w:ilvl="0">
      <w:lvlJc w:val="left"/>
      <w:lvlText w:val="(%1)"/>
      <w:numFmt w:val="lowerLetter"/>
      <w:start w:val="3"/>
    </w:lvl>
  </w:abstractNum>
  <w:abstractNum w:abstractNumId="279">
    <w:nsid w:val="1978EBEB"/>
    <w:multiLevelType w:val="hybridMultilevel"/>
    <w:lvl w:ilvl="0">
      <w:lvlJc w:val="left"/>
      <w:lvlText w:val="%1"/>
      <w:numFmt w:val="decimal"/>
      <w:start w:val="1"/>
    </w:lvl>
    <w:lvl w:ilvl="1">
      <w:lvlJc w:val="left"/>
      <w:lvlText w:val="(%2)"/>
      <w:numFmt w:val="lowerLetter"/>
      <w:start w:val="4"/>
    </w:lvl>
  </w:abstractNum>
  <w:abstractNum w:abstractNumId="280">
    <w:nsid w:val="52C12C61"/>
    <w:multiLevelType w:val="hybridMultilevel"/>
    <w:lvl w:ilvl="0">
      <w:lvlJc w:val="left"/>
      <w:lvlText w:val="(%1)"/>
      <w:numFmt w:val="decimal"/>
      <w:start w:val="12"/>
    </w:lvl>
    <w:lvl w:ilvl="1">
      <w:lvlJc w:val="left"/>
      <w:lvlText w:val="(%2)"/>
      <w:numFmt w:val="lowerLetter"/>
      <w:start w:val="5"/>
    </w:lvl>
  </w:abstractNum>
  <w:abstractNum w:abstractNumId="281">
    <w:nsid w:val="4BDD53FD"/>
    <w:multiLevelType w:val="hybridMultilevel"/>
    <w:lvl w:ilvl="0">
      <w:lvlJc w:val="left"/>
      <w:lvlText w:val="(%1)"/>
      <w:numFmt w:val="lowerLetter"/>
      <w:start w:val="1"/>
    </w:lvl>
  </w:abstractNum>
  <w:abstractNum w:abstractNumId="282">
    <w:nsid w:val="569951FE"/>
    <w:multiLevelType w:val="hybridMultilevel"/>
    <w:lvl w:ilvl="0">
      <w:lvlJc w:val="left"/>
      <w:lvlText w:val="(%1)"/>
      <w:numFmt w:val="lowerLetter"/>
      <w:start w:val="2"/>
    </w:lvl>
  </w:abstractNum>
  <w:abstractNum w:abstractNumId="283">
    <w:nsid w:val="4C54E2C3"/>
    <w:multiLevelType w:val="hybridMultilevel"/>
    <w:lvl w:ilvl="0">
      <w:lvlJc w:val="left"/>
      <w:lvlText w:val="(%1)"/>
      <w:numFmt w:val="lowerLetter"/>
      <w:start w:val="1"/>
    </w:lvl>
  </w:abstractNum>
  <w:abstractNum w:abstractNumId="284">
    <w:nsid w:val="788BD9B"/>
    <w:multiLevelType w:val="hybridMultilevel"/>
    <w:lvl w:ilvl="0">
      <w:lvlJc w:val="left"/>
      <w:lvlText w:val="(%1)"/>
      <w:numFmt w:val="lowerLetter"/>
      <w:start w:val="1"/>
    </w:lvl>
  </w:abstractNum>
  <w:abstractNum w:abstractNumId="285">
    <w:nsid w:val="47CAA567"/>
    <w:multiLevelType w:val="hybridMultilevel"/>
    <w:lvl w:ilvl="0">
      <w:lvlJc w:val="left"/>
      <w:lvlText w:val="(%1)"/>
      <w:numFmt w:val="lowerLetter"/>
      <w:start w:val="1"/>
    </w:lvl>
  </w:abstractNum>
  <w:abstractNum w:abstractNumId="286">
    <w:nsid w:val="48249DBF"/>
    <w:multiLevelType w:val="hybridMultilevel"/>
    <w:lvl w:ilvl="0">
      <w:lvlJc w:val="left"/>
      <w:lvlText w:val="(%1)"/>
      <w:numFmt w:val="lowerLetter"/>
      <w:start w:val="1"/>
    </w:lvl>
  </w:abstractNum>
  <w:abstractNum w:abstractNumId="287">
    <w:nsid w:val="1F0E5D0D"/>
    <w:multiLevelType w:val="hybridMultilevel"/>
    <w:lvl w:ilvl="0">
      <w:lvlJc w:val="left"/>
      <w:lvlText w:val="%1."/>
      <w:numFmt w:val="decimal"/>
      <w:start w:val="1"/>
    </w:lvl>
  </w:abstractNum>
  <w:abstractNum w:abstractNumId="288">
    <w:nsid w:val="26BAAE9"/>
    <w:multiLevelType w:val="hybridMultilevel"/>
    <w:lvl w:ilvl="0">
      <w:lvlJc w:val="left"/>
      <w:lvlText w:val="%1."/>
      <w:numFmt w:val="decimal"/>
      <w:start w:val="2"/>
    </w:lvl>
  </w:abstractNum>
  <w:abstractNum w:abstractNumId="289">
    <w:nsid w:val="2C02FE8C"/>
    <w:multiLevelType w:val="hybridMultilevel"/>
    <w:lvl w:ilvl="0">
      <w:lvlJc w:val="left"/>
      <w:lvlText w:val="%1."/>
      <w:numFmt w:val="decimal"/>
      <w:start w:val="3"/>
    </w:lvl>
  </w:abstractNum>
  <w:abstractNum w:abstractNumId="290">
    <w:nsid w:val="129517E"/>
    <w:multiLevelType w:val="hybridMultilevel"/>
    <w:lvl w:ilvl="0">
      <w:lvlJc w:val="left"/>
      <w:lvlText w:val="%1."/>
      <w:numFmt w:val="decimal"/>
      <w:start w:val="4"/>
    </w:lvl>
  </w:abstractNum>
  <w:abstractNum w:abstractNumId="291">
    <w:nsid w:val="763B8C4E"/>
    <w:multiLevelType w:val="hybridMultilevel"/>
    <w:lvl w:ilvl="0">
      <w:lvlJc w:val="left"/>
      <w:lvlText w:val="(%1)"/>
      <w:numFmt w:val="lowerLetter"/>
      <w:start w:val="1"/>
    </w:lvl>
  </w:abstractNum>
  <w:abstractNum w:abstractNumId="292">
    <w:nsid w:val="4CFB8D32"/>
    <w:multiLevelType w:val="hybridMultilevel"/>
    <w:lvl w:ilvl="0">
      <w:lvlJc w:val="left"/>
      <w:lvlText w:val="%1"/>
      <w:numFmt w:val="lowerLetter"/>
      <w:start w:val="1"/>
    </w:lvl>
    <w:lvl w:ilvl="1">
      <w:lvlJc w:val="left"/>
      <w:lvlText w:val="(%2)"/>
      <w:numFmt w:val="lowerRoman"/>
      <w:start w:val="1"/>
    </w:lvl>
  </w:abstractNum>
  <w:abstractNum w:abstractNumId="293">
    <w:nsid w:val="62A5D5BD"/>
    <w:multiLevelType w:val="hybridMultilevel"/>
    <w:lvl w:ilvl="0">
      <w:lvlJc w:val="left"/>
      <w:lvlText w:val="(%1)"/>
      <w:numFmt w:val="lowerLetter"/>
      <w:start w:val="3"/>
    </w:lvl>
    <w:lvl w:ilvl="1">
      <w:lvlJc w:val="left"/>
      <w:lvlText w:val="%2"/>
      <w:numFmt w:val="lowerRoman"/>
      <w:start w:val="1"/>
    </w:lvl>
  </w:abstractNum>
  <w:abstractNum w:abstractNumId="294">
    <w:nsid w:val="718FABF9"/>
    <w:multiLevelType w:val="hybridMultilevel"/>
    <w:lvl w:ilvl="0">
      <w:lvlJc w:val="left"/>
      <w:lvlText w:val="(%1)"/>
      <w:numFmt w:val="lowerLetter"/>
      <w:start w:val="4"/>
    </w:lvl>
  </w:abstractNum>
  <w:abstractNum w:abstractNumId="295">
    <w:nsid w:val="7775797C"/>
    <w:multiLevelType w:val="hybridMultilevel"/>
    <w:lvl w:ilvl="0">
      <w:lvlJc w:val="left"/>
      <w:lvlText w:val="(%1)"/>
      <w:numFmt w:val="lowerLetter"/>
      <w:start w:val="1"/>
    </w:lvl>
  </w:abstractNum>
  <w:abstractNum w:abstractNumId="296">
    <w:nsid w:val="1626FB8C"/>
    <w:multiLevelType w:val="hybridMultilevel"/>
    <w:lvl w:ilvl="0">
      <w:lvlJc w:val="left"/>
      <w:lvlText w:val="(%1)"/>
      <w:numFmt w:val="lowerLetter"/>
      <w:start w:val="22"/>
    </w:lvl>
    <w:lvl w:ilvl="1">
      <w:lvlJc w:val="left"/>
      <w:lvlText w:val="(%2)"/>
      <w:numFmt w:val="lowerLetter"/>
      <w:start w:val="3"/>
    </w:lvl>
  </w:abstractNum>
  <w:abstractNum w:abstractNumId="297">
    <w:nsid w:val="3957756A"/>
    <w:multiLevelType w:val="hybridMultilevel"/>
    <w:lvl w:ilvl="0">
      <w:lvlJc w:val="left"/>
      <w:lvlText w:val="(%1)"/>
      <w:numFmt w:val="lowerLetter"/>
      <w:start w:val="1"/>
    </w:lvl>
  </w:abstractNum>
  <w:abstractNum w:abstractNumId="298">
    <w:nsid w:val="3E6DA1C7"/>
    <w:multiLevelType w:val="hybridMultilevel"/>
    <w:lvl w:ilvl="0">
      <w:lvlJc w:val="left"/>
      <w:lvlText w:val="(%1)"/>
      <w:numFmt w:val="lowerLetter"/>
      <w:start w:val="2"/>
    </w:lvl>
  </w:abstractNum>
  <w:abstractNum w:abstractNumId="299">
    <w:nsid w:val="65CA235B"/>
    <w:multiLevelType w:val="hybridMultilevel"/>
    <w:lvl w:ilvl="0">
      <w:lvlJc w:val="left"/>
      <w:lvlText w:val="(%1)"/>
      <w:numFmt w:val="lowerLetter"/>
      <w:start w:val="1"/>
    </w:lvl>
  </w:abstractNum>
  <w:abstractNum w:abstractNumId="300">
    <w:nsid w:val="51CB0DA4"/>
    <w:multiLevelType w:val="hybridMultilevel"/>
    <w:lvl w:ilvl="0">
      <w:lvlJc w:val="left"/>
      <w:lvlText w:val="(%1)"/>
      <w:numFmt w:val="lowerLetter"/>
      <w:start w:val="1"/>
    </w:lvl>
    <w:lvl w:ilvl="1">
      <w:lvlJc w:val="left"/>
      <w:lvlText w:val="(%2)"/>
      <w:numFmt w:val="lowerRoman"/>
      <w:start w:val="1"/>
    </w:lvl>
  </w:abstractNum>
  <w:abstractNum w:abstractNumId="301">
    <w:nsid w:val="7B9B743C"/>
    <w:multiLevelType w:val="hybridMultilevel"/>
    <w:lvl w:ilvl="0">
      <w:lvlJc w:val="left"/>
      <w:lvlText w:val="(%1)"/>
      <w:numFmt w:val="lowerRoman"/>
      <w:start w:val="5"/>
    </w:lvl>
  </w:abstractNum>
  <w:abstractNum w:abstractNumId="302">
    <w:nsid w:val="13E21002"/>
    <w:multiLevelType w:val="hybridMultilevel"/>
    <w:lvl w:ilvl="0">
      <w:lvlJc w:val="left"/>
      <w:lvlText w:val="(%1)"/>
      <w:numFmt w:val="lowerLetter"/>
      <w:start w:val="2"/>
    </w:lvl>
  </w:abstractNum>
  <w:abstractNum w:abstractNumId="303">
    <w:nsid w:val="257D63F4"/>
    <w:multiLevelType w:val="hybridMultilevel"/>
    <w:lvl w:ilvl="0">
      <w:lvlJc w:val="left"/>
      <w:lvlText w:val="%1."/>
      <w:numFmt w:val="decimal"/>
      <w:start w:val="7"/>
    </w:lvl>
  </w:abstractNum>
  <w:abstractNum w:abstractNumId="304">
    <w:nsid w:val="70EC11B2"/>
    <w:multiLevelType w:val="hybridMultilevel"/>
    <w:lvl w:ilvl="0">
      <w:lvlJc w:val="left"/>
      <w:lvlText w:val="%1."/>
      <w:numFmt w:val="decimal"/>
      <w:start w:val="1"/>
    </w:lvl>
  </w:abstractNum>
  <w:abstractNum w:abstractNumId="305">
    <w:nsid w:val="2EDA00ED"/>
    <w:multiLevelType w:val="hybridMultilevel"/>
    <w:lvl w:ilvl="0">
      <w:lvlJc w:val="left"/>
      <w:lvlText w:val="%1."/>
      <w:numFmt w:val="decimal"/>
      <w:start w:val="2"/>
    </w:lvl>
  </w:abstractNum>
  <w:abstractNum w:abstractNumId="306">
    <w:nsid w:val="73209072"/>
    <w:multiLevelType w:val="hybridMultilevel"/>
    <w:lvl w:ilvl="0">
      <w:lvlJc w:val="left"/>
      <w:lvlText w:val="%1."/>
      <w:numFmt w:val="decimal"/>
      <w:start w:val="3"/>
    </w:lvl>
  </w:abstractNum>
  <w:abstractNum w:abstractNumId="307">
    <w:nsid w:val="5FB29816"/>
    <w:multiLevelType w:val="hybridMultilevel"/>
    <w:lvl w:ilvl="0">
      <w:lvlJc w:val="left"/>
      <w:lvlText w:val="%1."/>
      <w:numFmt w:val="decimal"/>
      <w:start w:val="4"/>
    </w:lvl>
  </w:abstractNum>
  <w:abstractNum w:abstractNumId="308">
    <w:nsid w:val="3CE732EC"/>
    <w:multiLevelType w:val="hybridMultilevel"/>
    <w:lvl w:ilvl="0">
      <w:lvlJc w:val="left"/>
      <w:lvlText w:val="(%1)"/>
      <w:numFmt w:val="lowerLetter"/>
      <w:start w:val="1"/>
    </w:lvl>
  </w:abstractNum>
  <w:abstractNum w:abstractNumId="309">
    <w:nsid w:val="22F13DF3"/>
    <w:multiLevelType w:val="hybridMultilevel"/>
    <w:lvl w:ilvl="0">
      <w:lvlJc w:val="left"/>
      <w:lvlText w:val="%1"/>
      <w:numFmt w:val="lowerLetter"/>
      <w:start w:val="1"/>
    </w:lvl>
    <w:lvl w:ilvl="1">
      <w:lvlJc w:val="left"/>
      <w:lvlText w:val="(%2)"/>
      <w:numFmt w:val="lowerRoman"/>
      <w:start w:val="1"/>
    </w:lvl>
  </w:abstractNum>
  <w:abstractNum w:abstractNumId="310">
    <w:nsid w:val="792B8401"/>
    <w:multiLevelType w:val="hybridMultilevel"/>
    <w:lvl w:ilvl="0">
      <w:lvlJc w:val="left"/>
      <w:lvlText w:val="(%1)"/>
      <w:numFmt w:val="lowerLetter"/>
      <w:start w:val="3"/>
    </w:lvl>
    <w:lvl w:ilvl="1">
      <w:lvlJc w:val="left"/>
      <w:lvlText w:val="%2"/>
      <w:numFmt w:val="lowerRoman"/>
      <w:start w:val="1"/>
    </w:lvl>
  </w:abstractNum>
  <w:abstractNum w:abstractNumId="311">
    <w:nsid w:val="FA85F4D"/>
    <w:multiLevelType w:val="hybridMultilevel"/>
    <w:lvl w:ilvl="0">
      <w:lvlJc w:val="left"/>
      <w:lvlText w:val="(%1)"/>
      <w:numFmt w:val="lowerLetter"/>
      <w:start w:val="4"/>
    </w:lvl>
  </w:abstractNum>
  <w:abstractNum w:abstractNumId="312">
    <w:nsid w:val="6ECE91F0"/>
    <w:multiLevelType w:val="hybridMultilevel"/>
    <w:lvl w:ilvl="0">
      <w:lvlJc w:val="left"/>
      <w:lvlText w:val="(%1)"/>
      <w:numFmt w:val="lowerLetter"/>
      <w:start w:val="1"/>
    </w:lvl>
  </w:abstractNum>
  <w:abstractNum w:abstractNumId="313">
    <w:nsid w:val="4FC4D600"/>
    <w:multiLevelType w:val="hybridMultilevel"/>
    <w:lvl w:ilvl="0">
      <w:lvlJc w:val="left"/>
      <w:lvlText w:val="%1"/>
      <w:numFmt w:val="lowerRoman"/>
      <w:start w:val="1"/>
    </w:lvl>
    <w:lvl w:ilvl="1">
      <w:lvlJc w:val="left"/>
      <w:lvlText w:val="(%2)"/>
      <w:numFmt w:val="lowerLetter"/>
      <w:start w:val="2"/>
    </w:lvl>
  </w:abstractNum>
  <w:abstractNum w:abstractNumId="314">
    <w:nsid w:val="5BFD4210"/>
    <w:multiLevelType w:val="hybridMultilevel"/>
    <w:lvl w:ilvl="0">
      <w:lvlJc w:val="left"/>
      <w:lvlText w:val="(%1)"/>
      <w:numFmt w:val="lowerRoman"/>
      <w:start w:val="6"/>
    </w:lvl>
    <w:lvl w:ilvl="1">
      <w:lvlJc w:val="left"/>
      <w:lvlText w:val="(%2)"/>
      <w:numFmt w:val="lowerLetter"/>
      <w:start w:val="3"/>
    </w:lvl>
  </w:abstractNum>
  <w:abstractNum w:abstractNumId="315">
    <w:nsid w:val="76574F8B"/>
    <w:multiLevelType w:val="hybridMultilevel"/>
    <w:lvl w:ilvl="0">
      <w:lvlJc w:val="left"/>
      <w:lvlText w:val="(%1)"/>
      <w:numFmt w:val="lowerLetter"/>
      <w:start w:val="1"/>
    </w:lvl>
  </w:abstractNum>
  <w:abstractNum w:abstractNumId="316">
    <w:nsid w:val="178F7B67"/>
    <w:multiLevelType w:val="hybridMultilevel"/>
    <w:lvl w:ilvl="0">
      <w:lvlJc w:val="left"/>
      <w:lvlText w:val="(%1)"/>
      <w:numFmt w:val="lowerLetter"/>
      <w:start w:val="2"/>
    </w:lvl>
  </w:abstractNum>
  <w:abstractNum w:abstractNumId="317">
    <w:nsid w:val="2421DFCF"/>
    <w:multiLevelType w:val="hybridMultilevel"/>
    <w:lvl w:ilvl="0">
      <w:lvlJc w:val="left"/>
      <w:lvlText w:val="(%1)"/>
      <w:numFmt w:val="lowerLetter"/>
      <w:start w:val="1"/>
    </w:lvl>
  </w:abstractNum>
  <w:abstractNum w:abstractNumId="318">
    <w:nsid w:val="1565AC99"/>
    <w:multiLevelType w:val="hybridMultilevel"/>
    <w:lvl w:ilvl="0">
      <w:lvlJc w:val="left"/>
      <w:lvlText w:val="(%1)"/>
      <w:numFmt w:val="lowerLetter"/>
      <w:start w:val="1"/>
    </w:lvl>
    <w:lvl w:ilvl="1">
      <w:lvlJc w:val="left"/>
      <w:lvlText w:val="(%2)"/>
      <w:numFmt w:val="lowerRoman"/>
      <w:start w:val="1"/>
    </w:lvl>
  </w:abstractNum>
  <w:abstractNum w:abstractNumId="319">
    <w:nsid w:val="19FB2650"/>
    <w:multiLevelType w:val="hybridMultilevel"/>
    <w:lvl w:ilvl="0">
      <w:lvlJc w:val="left"/>
      <w:lvlText w:val="(%1)"/>
      <w:numFmt w:val="lowerRoman"/>
      <w:start w:val="5"/>
    </w:lvl>
  </w:abstractNum>
  <w:abstractNum w:abstractNumId="320">
    <w:nsid w:val="5024DE5B"/>
    <w:multiLevelType w:val="hybridMultilevel"/>
    <w:lvl w:ilvl="0">
      <w:lvlJc w:val="left"/>
      <w:lvlText w:val="(%1)"/>
      <w:numFmt w:val="lowerLetter"/>
      <w:start w:val="2"/>
    </w:lvl>
  </w:abstractNum>
  <w:abstractNum w:abstractNumId="321">
    <w:nsid w:val="168EFE17"/>
    <w:multiLevelType w:val="hybridMultilevel"/>
    <w:lvl w:ilvl="0">
      <w:lvlJc w:val="left"/>
      <w:lvlText w:val="%1."/>
      <w:numFmt w:val="decimal"/>
      <w:start w:val="7"/>
    </w:lvl>
  </w:abstractNum>
  <w:abstractNum w:abstractNumId="322">
    <w:nsid w:val="1036B29F"/>
    <w:multiLevelType w:val="hybridMultilevel"/>
    <w:lvl w:ilvl="0">
      <w:lvlJc w:val="left"/>
      <w:lvlText w:val="%1."/>
      <w:numFmt w:val="decimal"/>
      <w:start w:val="4"/>
    </w:lvl>
  </w:abstractNum>
  <w:abstractNum w:abstractNumId="323">
    <w:nsid w:val="1D206B8E"/>
    <w:multiLevelType w:val="hybridMultilevel"/>
    <w:lvl w:ilvl="0">
      <w:lvlJc w:val="left"/>
      <w:lvlText w:val="(%1)"/>
      <w:numFmt w:val="lowerLetter"/>
      <w:start w:val="1"/>
    </w:lvl>
  </w:abstractNum>
  <w:abstractNum w:abstractNumId="324">
    <w:nsid w:val="7934D3D4"/>
    <w:multiLevelType w:val="hybridMultilevel"/>
    <w:lvl w:ilvl="0">
      <w:lvlJc w:val="left"/>
      <w:lvlText w:val="%1"/>
      <w:numFmt w:val="lowerLetter"/>
      <w:start w:val="1"/>
    </w:lvl>
    <w:lvl w:ilvl="1">
      <w:lvlJc w:val="left"/>
      <w:lvlText w:val="(%2)"/>
      <w:numFmt w:val="lowerRoman"/>
      <w:start w:val="1"/>
    </w:lvl>
  </w:abstractNum>
  <w:abstractNum w:abstractNumId="325">
    <w:nsid w:val="1C65E98"/>
    <w:multiLevelType w:val="hybridMultilevel"/>
    <w:lvl w:ilvl="0">
      <w:lvlJc w:val="left"/>
      <w:lvlText w:val="(%1)"/>
      <w:numFmt w:val="lowerLetter"/>
      <w:start w:val="3"/>
    </w:lvl>
    <w:lvl w:ilvl="1">
      <w:lvlJc w:val="left"/>
      <w:lvlText w:val="%2"/>
      <w:numFmt w:val="lowerRoman"/>
      <w:start w:val="1"/>
    </w:lvl>
  </w:abstractNum>
  <w:abstractNum w:abstractNumId="326">
    <w:nsid w:val="1495E50A"/>
    <w:multiLevelType w:val="hybridMultilevel"/>
    <w:lvl w:ilvl="0">
      <w:lvlJc w:val="left"/>
      <w:lvlText w:val="(%1)"/>
      <w:numFmt w:val="lowerLetter"/>
      <w:start w:val="5"/>
    </w:lvl>
  </w:abstractNum>
  <w:abstractNum w:abstractNumId="327">
    <w:nsid w:val="F5BCF61"/>
    <w:multiLevelType w:val="hybridMultilevel"/>
    <w:lvl w:ilvl="0">
      <w:lvlJc w:val="left"/>
      <w:lvlText w:val="%1"/>
      <w:numFmt w:val="lowerRoman"/>
      <w:start w:val="1"/>
    </w:lvl>
    <w:lvl w:ilvl="1">
      <w:lvlJc w:val="left"/>
      <w:lvlText w:val="(%2)"/>
      <w:numFmt w:val="lowerLetter"/>
      <w:start w:val="1"/>
    </w:lvl>
  </w:abstractNum>
  <w:abstractNum w:abstractNumId="328">
    <w:nsid w:val="3B1DD403"/>
    <w:multiLevelType w:val="hybridMultilevel"/>
    <w:lvl w:ilvl="0">
      <w:lvlJc w:val="left"/>
      <w:lvlText w:val="(%1)"/>
      <w:numFmt w:val="lowerRoman"/>
      <w:start w:val="6"/>
    </w:lvl>
    <w:lvl w:ilvl="1">
      <w:lvlJc w:val="left"/>
      <w:lvlText w:val="%2"/>
      <w:numFmt w:val="lowerLetter"/>
      <w:start w:val="1"/>
    </w:lvl>
  </w:abstractNum>
  <w:abstractNum w:abstractNumId="329">
    <w:nsid w:val="530386D1"/>
    <w:multiLevelType w:val="hybridMultilevel"/>
    <w:lvl w:ilvl="0">
      <w:lvlJc w:val="left"/>
      <w:lvlText w:val="(%1)"/>
      <w:numFmt w:val="lowerLetter"/>
      <w:start w:val="3"/>
    </w:lvl>
  </w:abstractNum>
  <w:abstractNum w:abstractNumId="330">
    <w:nsid w:val="7525F2BC"/>
    <w:multiLevelType w:val="hybridMultilevel"/>
    <w:lvl w:ilvl="0">
      <w:lvlJc w:val="left"/>
      <w:lvlText w:val="(%1)"/>
      <w:numFmt w:val="lowerLetter"/>
      <w:start w:val="1"/>
    </w:lvl>
  </w:abstractNum>
  <w:abstractNum w:abstractNumId="331">
    <w:nsid w:val="CE8E1A7"/>
    <w:multiLevelType w:val="hybridMultilevel"/>
    <w:lvl w:ilvl="0">
      <w:lvlJc w:val="left"/>
      <w:lvlText w:val="(%1)"/>
      <w:numFmt w:val="lowerLetter"/>
      <w:start w:val="2"/>
    </w:lvl>
  </w:abstractNum>
  <w:abstractNum w:abstractNumId="332">
    <w:nsid w:val="4E9EFB0D"/>
    <w:multiLevelType w:val="hybridMultilevel"/>
    <w:lvl w:ilvl="0">
      <w:lvlJc w:val="left"/>
      <w:lvlText w:val="(%1)"/>
      <w:numFmt w:val="lowerLetter"/>
      <w:start w:val="1"/>
    </w:lvl>
  </w:abstractNum>
  <w:abstractNum w:abstractNumId="333">
    <w:nsid w:val="90802BE"/>
    <w:multiLevelType w:val="hybridMultilevel"/>
    <w:lvl w:ilvl="0">
      <w:lvlJc w:val="left"/>
      <w:lvlText w:val="(%1)"/>
      <w:numFmt w:val="lowerLetter"/>
      <w:start w:val="1"/>
    </w:lvl>
    <w:lvl w:ilvl="1">
      <w:lvlJc w:val="left"/>
      <w:lvlText w:val="(%2)"/>
      <w:numFmt w:val="lowerRoman"/>
      <w:start w:val="1"/>
    </w:lvl>
  </w:abstractNum>
  <w:abstractNum w:abstractNumId="334">
    <w:nsid w:val="3266459B"/>
    <w:multiLevelType w:val="hybridMultilevel"/>
    <w:lvl w:ilvl="0">
      <w:lvlJc w:val="left"/>
      <w:lvlText w:val="(%1)"/>
      <w:numFmt w:val="lowerRoman"/>
      <w:start w:val="5"/>
    </w:lvl>
  </w:abstractNum>
  <w:abstractNum w:abstractNumId="335">
    <w:nsid w:val="3F8B0CBF"/>
    <w:multiLevelType w:val="hybridMultilevel"/>
    <w:lvl w:ilvl="0">
      <w:lvlJc w:val="left"/>
      <w:lvlText w:val="(%1)"/>
      <w:numFmt w:val="lowerLetter"/>
      <w:start w:val="2"/>
    </w:lvl>
  </w:abstractNum>
  <w:abstractNum w:abstractNumId="336">
    <w:nsid w:val="37E203AB"/>
    <w:multiLevelType w:val="hybridMultilevel"/>
    <w:lvl w:ilvl="0">
      <w:lvlJc w:val="left"/>
      <w:lvlText w:val="(%1)"/>
      <w:numFmt w:val="upperLetter"/>
      <w:start w:val="2"/>
    </w:lvl>
  </w:abstractNum>
  <w:abstractNum w:abstractNumId="337">
    <w:nsid w:val="2586D60E"/>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2021-06-09T16:06:31Z</dcterms:created>
  <dcterms:modified xsi:type="dcterms:W3CDTF">2021-06-09T16:06:31Z</dcterms:modified>
</cp:coreProperties>
</file>