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1"/>
          <w:szCs w:val="11"/>
          <w:b w:val="1"/>
          <w:bCs w:val="1"/>
          <w:color w:val="auto"/>
        </w:rPr>
        <w:t>As filed with the Securities and Exchange Commission on October 26, 2026.</w:t>
      </w:r>
    </w:p>
    <w:p>
      <w:pPr>
        <w:spacing w:after="0" w:line="12" w:lineRule="exact"/>
        <w:rPr>
          <w:sz w:val="24"/>
          <w:szCs w:val="24"/>
          <w:color w:val="auto"/>
        </w:rPr>
      </w:pPr>
    </w:p>
    <w:p>
      <w:pPr>
        <w:ind w:left="10140"/>
        <w:spacing w:after="0"/>
        <w:rPr>
          <w:sz w:val="20"/>
          <w:szCs w:val="20"/>
          <w:color w:val="auto"/>
        </w:rPr>
      </w:pPr>
      <w:r>
        <w:rPr>
          <w:rFonts w:ascii="Times New Roman" w:cs="Times New Roman" w:eastAsia="Times New Roman" w:hAnsi="Times New Roman"/>
          <w:sz w:val="11"/>
          <w:szCs w:val="11"/>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716470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470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41275</wp:posOffset>
            </wp:positionV>
            <wp:extent cx="716470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pacing w:after="0" w:line="8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2983230</wp:posOffset>
            </wp:positionH>
            <wp:positionV relativeFrom="paragraph">
              <wp:posOffset>41910</wp:posOffset>
            </wp:positionV>
            <wp:extent cx="120142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01420" cy="6350"/>
                    </a:xfrm>
                    <a:prstGeom prst="rect">
                      <a:avLst/>
                    </a:prstGeom>
                    <a:noFill/>
                  </pic:spPr>
                </pic:pic>
              </a:graphicData>
            </a:graphic>
          </wp:anchor>
        </w:drawing>
      </w:r>
    </w:p>
    <w:p>
      <w:pPr>
        <w:spacing w:after="0" w:line="9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FORM S-3</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REGISTRATION STATEMENT</w:t>
      </w:r>
    </w:p>
    <w:p>
      <w:pPr>
        <w:jc w:val="center"/>
        <w:ind w:right="-59"/>
        <w:spacing w:after="0" w:line="233" w:lineRule="auto"/>
        <w:rPr>
          <w:sz w:val="20"/>
          <w:szCs w:val="20"/>
          <w:color w:val="auto"/>
        </w:rPr>
      </w:pPr>
      <w:r>
        <w:rPr>
          <w:rFonts w:ascii="Times New Roman" w:cs="Times New Roman" w:eastAsia="Times New Roman" w:hAnsi="Times New Roman"/>
          <w:sz w:val="12"/>
          <w:szCs w:val="12"/>
          <w:b w:val="1"/>
          <w:bCs w:val="1"/>
          <w:i w:val="1"/>
          <w:iCs w:val="1"/>
          <w:color w:val="auto"/>
        </w:rPr>
        <w:t>UNDER</w:t>
      </w:r>
    </w:p>
    <w:p>
      <w:pPr>
        <w:jc w:val="center"/>
        <w:ind w:right="-59"/>
        <w:spacing w:after="0"/>
        <w:rPr>
          <w:sz w:val="20"/>
          <w:szCs w:val="20"/>
          <w:color w:val="auto"/>
        </w:rPr>
      </w:pPr>
      <w:r>
        <w:rPr>
          <w:rFonts w:ascii="Times New Roman" w:cs="Times New Roman" w:eastAsia="Times New Roman" w:hAnsi="Times New Roman"/>
          <w:sz w:val="12"/>
          <w:szCs w:val="1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2983230</wp:posOffset>
            </wp:positionH>
            <wp:positionV relativeFrom="paragraph">
              <wp:posOffset>41910</wp:posOffset>
            </wp:positionV>
            <wp:extent cx="120142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01420" cy="6350"/>
                    </a:xfrm>
                    <a:prstGeom prst="rect">
                      <a:avLst/>
                    </a:prstGeom>
                    <a:noFill/>
                  </pic:spPr>
                </pic:pic>
              </a:graphicData>
            </a:graphic>
          </wp:anchor>
        </w:drawing>
      </w:r>
    </w:p>
    <w:p>
      <w:pPr>
        <w:spacing w:after="0" w:line="8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0"/>
          <w:szCs w:val="30"/>
          <w:b w:val="1"/>
          <w:bCs w:val="1"/>
          <w:color w:val="auto"/>
        </w:rPr>
        <w:t>ACUMEN PHARMACEUTICALS, INC.</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2983230</wp:posOffset>
            </wp:positionH>
            <wp:positionV relativeFrom="paragraph">
              <wp:posOffset>41910</wp:posOffset>
            </wp:positionV>
            <wp:extent cx="120142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01420" cy="6350"/>
                    </a:xfrm>
                    <a:prstGeom prst="rect">
                      <a:avLst/>
                    </a:prstGeom>
                    <a:noFill/>
                  </pic:spPr>
                </pic:pic>
              </a:graphicData>
            </a:graphic>
          </wp:anchor>
        </w:drawing>
      </w:r>
    </w:p>
    <w:p>
      <w:pPr>
        <w:spacing w:after="0" w:line="147" w:lineRule="exact"/>
        <w:rPr>
          <w:sz w:val="24"/>
          <w:szCs w:val="24"/>
          <w:color w:val="auto"/>
        </w:rPr>
      </w:pPr>
    </w:p>
    <w:tbl>
      <w:tblPr>
        <w:tblLayout w:type="fixed"/>
        <w:tblInd w:w="2020" w:type="dxa"/>
        <w:tblCellMar>
          <w:top w:w="0" w:type="dxa"/>
          <w:left w:w="0" w:type="dxa"/>
          <w:bottom w:w="0" w:type="dxa"/>
          <w:right w:w="0" w:type="dxa"/>
        </w:tblCellMar>
      </w:tblPr>
      <w:tr>
        <w:trPr>
          <w:trHeight w:val="163"/>
        </w:trPr>
        <w:tc>
          <w:tcPr>
            <w:tcW w:w="3720" w:type="dxa"/>
            <w:vAlign w:val="bottom"/>
          </w:tcPr>
          <w:p>
            <w:pPr>
              <w:jc w:val="center"/>
              <w:ind w:right="2038"/>
              <w:spacing w:after="0"/>
              <w:rPr>
                <w:sz w:val="20"/>
                <w:szCs w:val="20"/>
                <w:color w:val="auto"/>
              </w:rPr>
            </w:pPr>
            <w:r>
              <w:rPr>
                <w:rFonts w:ascii="Times New Roman" w:cs="Times New Roman" w:eastAsia="Times New Roman" w:hAnsi="Times New Roman"/>
                <w:sz w:val="12"/>
                <w:szCs w:val="12"/>
                <w:b w:val="1"/>
                <w:bCs w:val="1"/>
                <w:color w:val="auto"/>
              </w:rPr>
              <w:t>Delaware</w:t>
            </w:r>
          </w:p>
        </w:tc>
        <w:tc>
          <w:tcPr>
            <w:tcW w:w="3340" w:type="dxa"/>
            <w:vAlign w:val="bottom"/>
          </w:tcPr>
          <w:p>
            <w:pPr>
              <w:jc w:val="center"/>
              <w:ind w:left="2038"/>
              <w:spacing w:after="0"/>
              <w:rPr>
                <w:sz w:val="20"/>
                <w:szCs w:val="20"/>
                <w:color w:val="auto"/>
              </w:rPr>
            </w:pPr>
            <w:r>
              <w:rPr>
                <w:rFonts w:ascii="Times New Roman" w:cs="Times New Roman" w:eastAsia="Times New Roman" w:hAnsi="Times New Roman"/>
                <w:sz w:val="12"/>
                <w:szCs w:val="12"/>
                <w:b w:val="1"/>
                <w:bCs w:val="1"/>
                <w:color w:val="auto"/>
              </w:rPr>
              <w:t>36-4108129</w:t>
            </w:r>
          </w:p>
        </w:tc>
      </w:tr>
      <w:tr>
        <w:trPr>
          <w:trHeight w:val="129"/>
        </w:trPr>
        <w:tc>
          <w:tcPr>
            <w:tcW w:w="3720" w:type="dxa"/>
            <w:vAlign w:val="bottom"/>
          </w:tcPr>
          <w:p>
            <w:pPr>
              <w:jc w:val="center"/>
              <w:ind w:right="2038"/>
              <w:spacing w:after="0" w:line="130" w:lineRule="exact"/>
              <w:rPr>
                <w:sz w:val="20"/>
                <w:szCs w:val="20"/>
                <w:color w:val="auto"/>
              </w:rPr>
            </w:pPr>
            <w:r>
              <w:rPr>
                <w:rFonts w:ascii="Times New Roman" w:cs="Times New Roman" w:eastAsia="Times New Roman" w:hAnsi="Times New Roman"/>
                <w:sz w:val="12"/>
                <w:szCs w:val="12"/>
                <w:b w:val="1"/>
                <w:bCs w:val="1"/>
                <w:color w:val="auto"/>
              </w:rPr>
              <w:t>(State or other jurisdiction of</w:t>
            </w:r>
          </w:p>
        </w:tc>
        <w:tc>
          <w:tcPr>
            <w:tcW w:w="3340" w:type="dxa"/>
            <w:vAlign w:val="bottom"/>
          </w:tcPr>
          <w:p>
            <w:pPr>
              <w:jc w:val="center"/>
              <w:ind w:left="2058"/>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63"/>
        </w:trPr>
        <w:tc>
          <w:tcPr>
            <w:tcW w:w="3720" w:type="dxa"/>
            <w:vAlign w:val="bottom"/>
          </w:tcPr>
          <w:p>
            <w:pPr>
              <w:jc w:val="center"/>
              <w:ind w:right="2038"/>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tc>
        <w:tc>
          <w:tcPr>
            <w:tcW w:w="3340" w:type="dxa"/>
            <w:vAlign w:val="bottom"/>
          </w:tcPr>
          <w:p>
            <w:pPr>
              <w:jc w:val="center"/>
              <w:ind w:left="2058"/>
              <w:spacing w:after="0"/>
              <w:rPr>
                <w:sz w:val="20"/>
                <w:szCs w:val="20"/>
                <w:color w:val="auto"/>
              </w:rPr>
            </w:pPr>
            <w:r>
              <w:rPr>
                <w:rFonts w:ascii="Times New Roman" w:cs="Times New Roman" w:eastAsia="Times New Roman" w:hAnsi="Times New Roman"/>
                <w:sz w:val="12"/>
                <w:szCs w:val="12"/>
                <w:b w:val="1"/>
                <w:bCs w:val="1"/>
                <w:color w:val="auto"/>
              </w:rPr>
              <w:t>Identification Number)</w:t>
            </w:r>
          </w:p>
        </w:tc>
      </w:tr>
    </w:tbl>
    <w:p>
      <w:pPr>
        <w:spacing w:after="0" w:line="18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1210-1220 Washington Street, Suite 210</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Newton, Massachusetts 02465</w:t>
      </w:r>
    </w:p>
    <w:p>
      <w:pPr>
        <w:jc w:val="center"/>
        <w:ind w:right="-59"/>
        <w:spacing w:after="0" w:line="237" w:lineRule="auto"/>
        <w:rPr>
          <w:sz w:val="20"/>
          <w:szCs w:val="20"/>
          <w:color w:val="auto"/>
        </w:rPr>
      </w:pPr>
      <w:r>
        <w:rPr>
          <w:rFonts w:ascii="Times New Roman" w:cs="Times New Roman" w:eastAsia="Times New Roman" w:hAnsi="Times New Roman"/>
          <w:sz w:val="12"/>
          <w:szCs w:val="12"/>
          <w:b w:val="1"/>
          <w:bCs w:val="1"/>
          <w:color w:val="auto"/>
        </w:rPr>
        <w:t>(617) 344-4190</w:t>
      </w:r>
    </w:p>
    <w:p>
      <w:pPr>
        <w:jc w:val="center"/>
        <w:ind w:right="-59"/>
        <w:spacing w:after="0"/>
        <w:rPr>
          <w:sz w:val="20"/>
          <w:szCs w:val="20"/>
          <w:color w:val="auto"/>
        </w:rPr>
      </w:pPr>
      <w:r>
        <w:rPr>
          <w:rFonts w:ascii="Times New Roman" w:cs="Times New Roman" w:eastAsia="Times New Roman" w:hAnsi="Times New Roman"/>
          <w:sz w:val="11"/>
          <w:szCs w:val="11"/>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2983230</wp:posOffset>
            </wp:positionH>
            <wp:positionV relativeFrom="paragraph">
              <wp:posOffset>41275</wp:posOffset>
            </wp:positionV>
            <wp:extent cx="120142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01420" cy="6350"/>
                    </a:xfrm>
                    <a:prstGeom prst="rect">
                      <a:avLst/>
                    </a:prstGeom>
                    <a:noFill/>
                  </pic:spPr>
                </pic:pic>
              </a:graphicData>
            </a:graphic>
          </wp:anchor>
        </w:drawing>
      </w:r>
    </w:p>
    <w:p>
      <w:pPr>
        <w:spacing w:after="0" w:line="1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Daniel O’Connell</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Chief Executive Officer</w:t>
      </w:r>
    </w:p>
    <w:p>
      <w:pPr>
        <w:jc w:val="center"/>
        <w:ind w:right="-59"/>
        <w:spacing w:after="0" w:line="233" w:lineRule="auto"/>
        <w:rPr>
          <w:sz w:val="20"/>
          <w:szCs w:val="20"/>
          <w:color w:val="auto"/>
        </w:rPr>
      </w:pPr>
      <w:r>
        <w:rPr>
          <w:rFonts w:ascii="Times New Roman" w:cs="Times New Roman" w:eastAsia="Times New Roman" w:hAnsi="Times New Roman"/>
          <w:sz w:val="12"/>
          <w:szCs w:val="12"/>
          <w:b w:val="1"/>
          <w:bCs w:val="1"/>
          <w:color w:val="auto"/>
        </w:rPr>
        <w:t>Acumen Pharmaceuticals, Inc.</w:t>
      </w:r>
    </w:p>
    <w:p>
      <w:pPr>
        <w:jc w:val="center"/>
        <w:ind w:right="-59"/>
        <w:spacing w:after="0" w:line="234" w:lineRule="auto"/>
        <w:rPr>
          <w:sz w:val="20"/>
          <w:szCs w:val="20"/>
          <w:color w:val="auto"/>
        </w:rPr>
      </w:pPr>
      <w:r>
        <w:rPr>
          <w:rFonts w:ascii="Times New Roman" w:cs="Times New Roman" w:eastAsia="Times New Roman" w:hAnsi="Times New Roman"/>
          <w:sz w:val="12"/>
          <w:szCs w:val="12"/>
          <w:b w:val="1"/>
          <w:bCs w:val="1"/>
          <w:color w:val="auto"/>
        </w:rPr>
        <w:t>1210-1220 Washington Street, Suite 210</w:t>
      </w:r>
    </w:p>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Newton, Massachusetts 02465</w:t>
      </w:r>
    </w:p>
    <w:p>
      <w:pPr>
        <w:spacing w:after="0" w:line="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(617) 344-4190</w:t>
      </w:r>
    </w:p>
    <w:p>
      <w:pPr>
        <w:jc w:val="center"/>
        <w:ind w:right="-59"/>
        <w:spacing w:after="0"/>
        <w:rPr>
          <w:sz w:val="20"/>
          <w:szCs w:val="20"/>
          <w:color w:val="auto"/>
        </w:rPr>
      </w:pPr>
      <w:r>
        <w:rPr>
          <w:rFonts w:ascii="Times New Roman" w:cs="Times New Roman" w:eastAsia="Times New Roman" w:hAnsi="Times New Roman"/>
          <w:sz w:val="11"/>
          <w:szCs w:val="11"/>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2983230</wp:posOffset>
            </wp:positionH>
            <wp:positionV relativeFrom="paragraph">
              <wp:posOffset>41275</wp:posOffset>
            </wp:positionV>
            <wp:extent cx="120142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01420" cy="6350"/>
                    </a:xfrm>
                    <a:prstGeom prst="rect">
                      <a:avLst/>
                    </a:prstGeom>
                    <a:noFill/>
                  </pic:spPr>
                </pic:pic>
              </a:graphicData>
            </a:graphic>
          </wp:anchor>
        </w:drawing>
      </w:r>
    </w:p>
    <w:p>
      <w:pPr>
        <w:spacing w:after="0" w:line="9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p>
      <w:pPr>
        <w:spacing w:after="0" w:line="18" w:lineRule="exact"/>
        <w:rPr>
          <w:sz w:val="24"/>
          <w:szCs w:val="24"/>
          <w:color w:val="auto"/>
        </w:rPr>
      </w:pPr>
    </w:p>
    <w:tbl>
      <w:tblPr>
        <w:tblLayout w:type="fixed"/>
        <w:tblInd w:w="2320" w:type="dxa"/>
        <w:tblCellMar>
          <w:top w:w="0" w:type="dxa"/>
          <w:left w:w="0" w:type="dxa"/>
          <w:bottom w:w="0" w:type="dxa"/>
          <w:right w:w="0" w:type="dxa"/>
        </w:tblCellMar>
      </w:tblPr>
      <w:tr>
        <w:trPr>
          <w:trHeight w:val="138"/>
        </w:trPr>
        <w:tc>
          <w:tcPr>
            <w:tcW w:w="3080" w:type="dxa"/>
            <w:vAlign w:val="bottom"/>
          </w:tcPr>
          <w:p>
            <w:pPr>
              <w:jc w:val="center"/>
              <w:ind w:right="2001"/>
              <w:spacing w:after="0"/>
              <w:rPr>
                <w:sz w:val="20"/>
                <w:szCs w:val="20"/>
                <w:color w:val="auto"/>
              </w:rPr>
            </w:pPr>
            <w:r>
              <w:rPr>
                <w:rFonts w:ascii="Times New Roman" w:cs="Times New Roman" w:eastAsia="Times New Roman" w:hAnsi="Times New Roman"/>
                <w:sz w:val="12"/>
                <w:szCs w:val="12"/>
                <w:b w:val="1"/>
                <w:bCs w:val="1"/>
                <w:color w:val="auto"/>
                <w:w w:val="97"/>
              </w:rPr>
              <w:t>Thomas J. Danielski</w:t>
            </w:r>
          </w:p>
        </w:tc>
        <w:tc>
          <w:tcPr>
            <w:tcW w:w="4060" w:type="dxa"/>
            <w:vAlign w:val="bottom"/>
          </w:tcPr>
          <w:p>
            <w:pPr>
              <w:jc w:val="center"/>
              <w:ind w:left="2021"/>
              <w:spacing w:after="0"/>
              <w:rPr>
                <w:sz w:val="20"/>
                <w:szCs w:val="20"/>
                <w:color w:val="auto"/>
              </w:rPr>
            </w:pPr>
            <w:r>
              <w:rPr>
                <w:rFonts w:ascii="Times New Roman" w:cs="Times New Roman" w:eastAsia="Times New Roman" w:hAnsi="Times New Roman"/>
                <w:sz w:val="12"/>
                <w:szCs w:val="12"/>
                <w:b w:val="1"/>
                <w:bCs w:val="1"/>
                <w:color w:val="auto"/>
                <w:w w:val="96"/>
              </w:rPr>
              <w:t>Derek Meisner</w:t>
            </w:r>
          </w:p>
        </w:tc>
      </w:tr>
      <w:tr>
        <w:trPr>
          <w:trHeight w:val="119"/>
        </w:trPr>
        <w:tc>
          <w:tcPr>
            <w:tcW w:w="3080" w:type="dxa"/>
            <w:vAlign w:val="bottom"/>
          </w:tcPr>
          <w:p>
            <w:pPr>
              <w:jc w:val="center"/>
              <w:ind w:right="2001"/>
              <w:spacing w:after="0" w:line="120" w:lineRule="exact"/>
              <w:rPr>
                <w:sz w:val="20"/>
                <w:szCs w:val="20"/>
                <w:color w:val="auto"/>
              </w:rPr>
            </w:pPr>
            <w:r>
              <w:rPr>
                <w:rFonts w:ascii="Times New Roman" w:cs="Times New Roman" w:eastAsia="Times New Roman" w:hAnsi="Times New Roman"/>
                <w:sz w:val="12"/>
                <w:szCs w:val="12"/>
                <w:b w:val="1"/>
                <w:bCs w:val="1"/>
                <w:color w:val="auto"/>
                <w:w w:val="97"/>
              </w:rPr>
              <w:t>Ropes &amp; Gray LLP</w:t>
            </w:r>
          </w:p>
        </w:tc>
        <w:tc>
          <w:tcPr>
            <w:tcW w:w="4060" w:type="dxa"/>
            <w:vAlign w:val="bottom"/>
          </w:tcPr>
          <w:p>
            <w:pPr>
              <w:jc w:val="center"/>
              <w:ind w:left="2021"/>
              <w:spacing w:after="0" w:line="120" w:lineRule="exact"/>
              <w:rPr>
                <w:sz w:val="20"/>
                <w:szCs w:val="20"/>
                <w:color w:val="auto"/>
              </w:rPr>
            </w:pPr>
            <w:r>
              <w:rPr>
                <w:rFonts w:ascii="Times New Roman" w:cs="Times New Roman" w:eastAsia="Times New Roman" w:hAnsi="Times New Roman"/>
                <w:sz w:val="12"/>
                <w:szCs w:val="12"/>
                <w:b w:val="1"/>
                <w:bCs w:val="1"/>
                <w:color w:val="auto"/>
                <w:w w:val="98"/>
              </w:rPr>
              <w:t>Chief Legal Officer</w:t>
            </w:r>
          </w:p>
        </w:tc>
      </w:tr>
      <w:tr>
        <w:trPr>
          <w:trHeight w:val="118"/>
        </w:trPr>
        <w:tc>
          <w:tcPr>
            <w:tcW w:w="3080" w:type="dxa"/>
            <w:vAlign w:val="bottom"/>
          </w:tcPr>
          <w:p>
            <w:pPr>
              <w:jc w:val="center"/>
              <w:ind w:right="2021"/>
              <w:spacing w:after="0" w:line="118" w:lineRule="exact"/>
              <w:rPr>
                <w:sz w:val="20"/>
                <w:szCs w:val="20"/>
                <w:color w:val="auto"/>
              </w:rPr>
            </w:pPr>
            <w:r>
              <w:rPr>
                <w:rFonts w:ascii="Times New Roman" w:cs="Times New Roman" w:eastAsia="Times New Roman" w:hAnsi="Times New Roman"/>
                <w:sz w:val="12"/>
                <w:szCs w:val="12"/>
                <w:b w:val="1"/>
                <w:bCs w:val="1"/>
                <w:color w:val="auto"/>
                <w:w w:val="96"/>
              </w:rPr>
              <w:t>800 Boylston Street</w:t>
            </w:r>
          </w:p>
        </w:tc>
        <w:tc>
          <w:tcPr>
            <w:tcW w:w="4060" w:type="dxa"/>
            <w:vAlign w:val="bottom"/>
          </w:tcPr>
          <w:p>
            <w:pPr>
              <w:jc w:val="center"/>
              <w:ind w:left="2021"/>
              <w:spacing w:after="0" w:line="118" w:lineRule="exact"/>
              <w:rPr>
                <w:sz w:val="20"/>
                <w:szCs w:val="20"/>
                <w:color w:val="auto"/>
              </w:rPr>
            </w:pPr>
            <w:r>
              <w:rPr>
                <w:rFonts w:ascii="Times New Roman" w:cs="Times New Roman" w:eastAsia="Times New Roman" w:hAnsi="Times New Roman"/>
                <w:sz w:val="12"/>
                <w:szCs w:val="12"/>
                <w:b w:val="1"/>
                <w:bCs w:val="1"/>
                <w:color w:val="auto"/>
                <w:w w:val="98"/>
              </w:rPr>
              <w:t>Acumen Pharmaceuticals, Inc.</w:t>
            </w:r>
          </w:p>
        </w:tc>
      </w:tr>
      <w:tr>
        <w:trPr>
          <w:trHeight w:val="114"/>
        </w:trPr>
        <w:tc>
          <w:tcPr>
            <w:tcW w:w="3080" w:type="dxa"/>
            <w:vAlign w:val="bottom"/>
          </w:tcPr>
          <w:p>
            <w:pPr>
              <w:jc w:val="center"/>
              <w:ind w:right="2021"/>
              <w:spacing w:after="0" w:line="114" w:lineRule="exact"/>
              <w:rPr>
                <w:sz w:val="20"/>
                <w:szCs w:val="20"/>
                <w:color w:val="auto"/>
              </w:rPr>
            </w:pPr>
            <w:r>
              <w:rPr>
                <w:rFonts w:ascii="Times New Roman" w:cs="Times New Roman" w:eastAsia="Times New Roman" w:hAnsi="Times New Roman"/>
                <w:sz w:val="12"/>
                <w:szCs w:val="12"/>
                <w:b w:val="1"/>
                <w:bCs w:val="1"/>
                <w:color w:val="auto"/>
                <w:w w:val="97"/>
              </w:rPr>
              <w:t>Boston, MA 02199</w:t>
            </w:r>
          </w:p>
        </w:tc>
        <w:tc>
          <w:tcPr>
            <w:tcW w:w="4060" w:type="dxa"/>
            <w:vAlign w:val="bottom"/>
          </w:tcPr>
          <w:p>
            <w:pPr>
              <w:jc w:val="center"/>
              <w:ind w:left="2021"/>
              <w:spacing w:after="0" w:line="114" w:lineRule="exact"/>
              <w:rPr>
                <w:sz w:val="20"/>
                <w:szCs w:val="20"/>
                <w:color w:val="auto"/>
              </w:rPr>
            </w:pPr>
            <w:r>
              <w:rPr>
                <w:rFonts w:ascii="Times New Roman" w:cs="Times New Roman" w:eastAsia="Times New Roman" w:hAnsi="Times New Roman"/>
                <w:sz w:val="12"/>
                <w:szCs w:val="12"/>
                <w:b w:val="1"/>
                <w:bCs w:val="1"/>
                <w:color w:val="auto"/>
                <w:w w:val="97"/>
              </w:rPr>
              <w:t>1210-1220 Washington Street, Suite 210</w:t>
            </w:r>
          </w:p>
        </w:tc>
      </w:tr>
      <w:tr>
        <w:trPr>
          <w:trHeight w:val="114"/>
        </w:trPr>
        <w:tc>
          <w:tcPr>
            <w:tcW w:w="3080" w:type="dxa"/>
            <w:vAlign w:val="bottom"/>
          </w:tcPr>
          <w:p>
            <w:pPr>
              <w:jc w:val="center"/>
              <w:ind w:right="2001"/>
              <w:spacing w:after="0" w:line="114" w:lineRule="exact"/>
              <w:rPr>
                <w:sz w:val="20"/>
                <w:szCs w:val="20"/>
                <w:color w:val="auto"/>
              </w:rPr>
            </w:pPr>
            <w:r>
              <w:rPr>
                <w:rFonts w:ascii="Times New Roman" w:cs="Times New Roman" w:eastAsia="Times New Roman" w:hAnsi="Times New Roman"/>
                <w:sz w:val="12"/>
                <w:szCs w:val="12"/>
                <w:b w:val="1"/>
                <w:bCs w:val="1"/>
                <w:color w:val="auto"/>
                <w:w w:val="98"/>
              </w:rPr>
              <w:t>(617) 951-7000</w:t>
            </w:r>
          </w:p>
        </w:tc>
        <w:tc>
          <w:tcPr>
            <w:tcW w:w="4060" w:type="dxa"/>
            <w:vAlign w:val="bottom"/>
          </w:tcPr>
          <w:p>
            <w:pPr>
              <w:jc w:val="center"/>
              <w:ind w:left="2021"/>
              <w:spacing w:after="0" w:line="114" w:lineRule="exact"/>
              <w:rPr>
                <w:sz w:val="20"/>
                <w:szCs w:val="20"/>
                <w:color w:val="auto"/>
              </w:rPr>
            </w:pPr>
            <w:r>
              <w:rPr>
                <w:rFonts w:ascii="Times New Roman" w:cs="Times New Roman" w:eastAsia="Times New Roman" w:hAnsi="Times New Roman"/>
                <w:sz w:val="12"/>
                <w:szCs w:val="12"/>
                <w:b w:val="1"/>
                <w:bCs w:val="1"/>
                <w:color w:val="auto"/>
                <w:w w:val="98"/>
              </w:rPr>
              <w:t>Newton, Massachusetts 02465</w:t>
            </w:r>
          </w:p>
        </w:tc>
      </w:tr>
      <w:tr>
        <w:trPr>
          <w:trHeight w:val="152"/>
        </w:trPr>
        <w:tc>
          <w:tcPr>
            <w:tcW w:w="3080" w:type="dxa"/>
            <w:vAlign w:val="bottom"/>
          </w:tcPr>
          <w:p>
            <w:pPr>
              <w:spacing w:after="0"/>
              <w:rPr>
                <w:sz w:val="13"/>
                <w:szCs w:val="13"/>
                <w:color w:val="auto"/>
              </w:rPr>
            </w:pPr>
          </w:p>
        </w:tc>
        <w:tc>
          <w:tcPr>
            <w:tcW w:w="4060" w:type="dxa"/>
            <w:vAlign w:val="bottom"/>
          </w:tcPr>
          <w:p>
            <w:pPr>
              <w:jc w:val="center"/>
              <w:ind w:left="2021"/>
              <w:spacing w:after="0"/>
              <w:rPr>
                <w:sz w:val="20"/>
                <w:szCs w:val="20"/>
                <w:color w:val="auto"/>
              </w:rPr>
            </w:pPr>
            <w:r>
              <w:rPr>
                <w:rFonts w:ascii="Times New Roman" w:cs="Times New Roman" w:eastAsia="Times New Roman" w:hAnsi="Times New Roman"/>
                <w:sz w:val="12"/>
                <w:szCs w:val="12"/>
                <w:b w:val="1"/>
                <w:bCs w:val="1"/>
                <w:color w:val="auto"/>
                <w:w w:val="98"/>
              </w:rPr>
              <w:t>(617) 344-4190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2983230</wp:posOffset>
            </wp:positionH>
            <wp:positionV relativeFrom="paragraph">
              <wp:posOffset>93980</wp:posOffset>
            </wp:positionV>
            <wp:extent cx="120142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01420" cy="6350"/>
                    </a:xfrm>
                    <a:prstGeom prst="rect">
                      <a:avLst/>
                    </a:prstGeom>
                    <a:noFill/>
                  </pic:spPr>
                </pic:pic>
              </a:graphicData>
            </a:graphic>
          </wp:anchor>
        </w:drawing>
      </w:r>
    </w:p>
    <w:p>
      <w:pPr>
        <w:spacing w:after="0" w:line="18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From time to time after the effective date of this Registration Statement</w:t>
      </w:r>
    </w:p>
    <w:p>
      <w:pPr>
        <w:spacing w:after="0" w:line="1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(Approximate date of commencement of proposed sale to the public)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2983230</wp:posOffset>
            </wp:positionH>
            <wp:positionV relativeFrom="paragraph">
              <wp:posOffset>31115</wp:posOffset>
            </wp:positionV>
            <wp:extent cx="120142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01420" cy="6350"/>
                    </a:xfrm>
                    <a:prstGeom prst="rect">
                      <a:avLst/>
                    </a:prstGeom>
                    <a:noFill/>
                  </pic:spPr>
                </pic:pic>
              </a:graphicData>
            </a:graphic>
          </wp:anchor>
        </w:drawing>
      </w:r>
    </w:p>
    <w:p>
      <w:pPr>
        <w:spacing w:after="0" w:line="73"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2"/>
          <w:szCs w:val="12"/>
          <w:color w:val="auto"/>
        </w:rPr>
        <w:t>☐</w:t>
      </w:r>
    </w:p>
    <w:p>
      <w:pPr>
        <w:spacing w:after="0" w:line="55" w:lineRule="exact"/>
        <w:rPr>
          <w:sz w:val="24"/>
          <w:szCs w:val="24"/>
          <w:color w:val="auto"/>
        </w:rPr>
      </w:pPr>
    </w:p>
    <w:p>
      <w:pPr>
        <w:ind w:right="400"/>
        <w:spacing w:after="0" w:line="140" w:lineRule="exact"/>
        <w:rPr>
          <w:sz w:val="20"/>
          <w:szCs w:val="20"/>
          <w:color w:val="auto"/>
        </w:rPr>
      </w:pPr>
      <w:r>
        <w:rPr>
          <w:rFonts w:ascii="Times New Roman" w:cs="Times New Roman" w:eastAsia="Times New Roman" w:hAnsi="Times New Roman"/>
          <w:sz w:val="12"/>
          <w:szCs w:val="12"/>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2"/>
          <w:szCs w:val="12"/>
          <w:color w:val="auto"/>
        </w:rPr>
        <w:t>☒</w:t>
      </w:r>
    </w:p>
    <w:p>
      <w:pPr>
        <w:spacing w:after="0" w:line="1" w:lineRule="exact"/>
        <w:rPr>
          <w:sz w:val="24"/>
          <w:szCs w:val="24"/>
          <w:color w:val="auto"/>
        </w:rPr>
      </w:pPr>
    </w:p>
    <w:p>
      <w:pPr>
        <w:ind w:right="20"/>
        <w:spacing w:after="0" w:line="145" w:lineRule="exact"/>
        <w:rPr>
          <w:sz w:val="20"/>
          <w:szCs w:val="20"/>
          <w:color w:val="auto"/>
        </w:rPr>
      </w:pPr>
      <w:r>
        <w:rPr>
          <w:rFonts w:ascii="Times New Roman" w:cs="Times New Roman" w:eastAsia="Times New Roman" w:hAnsi="Times New Roman"/>
          <w:sz w:val="12"/>
          <w:szCs w:val="12"/>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1" w:lineRule="exact"/>
        <w:rPr>
          <w:sz w:val="24"/>
          <w:szCs w:val="24"/>
          <w:color w:val="auto"/>
        </w:rPr>
      </w:pPr>
    </w:p>
    <w:p>
      <w:pPr>
        <w:ind w:right="120"/>
        <w:spacing w:after="0" w:line="141" w:lineRule="exact"/>
        <w:rPr>
          <w:sz w:val="20"/>
          <w:szCs w:val="20"/>
          <w:color w:val="auto"/>
        </w:rPr>
      </w:pPr>
      <w:r>
        <w:rPr>
          <w:rFonts w:ascii="Times New Roman" w:cs="Times New Roman" w:eastAsia="Times New Roman" w:hAnsi="Times New Roman"/>
          <w:sz w:val="12"/>
          <w:szCs w:val="12"/>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1" w:lineRule="exact"/>
        <w:rPr>
          <w:sz w:val="24"/>
          <w:szCs w:val="24"/>
          <w:color w:val="auto"/>
        </w:rPr>
      </w:pPr>
    </w:p>
    <w:p>
      <w:pPr>
        <w:ind w:right="260"/>
        <w:spacing w:after="0" w:line="143" w:lineRule="exact"/>
        <w:rPr>
          <w:sz w:val="20"/>
          <w:szCs w:val="20"/>
          <w:color w:val="auto"/>
        </w:rPr>
      </w:pPr>
      <w:r>
        <w:rPr>
          <w:rFonts w:ascii="Times New Roman" w:cs="Times New Roman" w:eastAsia="Times New Roman" w:hAnsi="Times New Roman"/>
          <w:sz w:val="12"/>
          <w:szCs w:val="12"/>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2"/>
          <w:szCs w:val="12"/>
          <w:color w:val="auto"/>
        </w:rPr>
        <w:t>☐</w:t>
      </w:r>
    </w:p>
    <w:p>
      <w:pPr>
        <w:spacing w:after="0" w:line="1" w:lineRule="exact"/>
        <w:rPr>
          <w:sz w:val="24"/>
          <w:szCs w:val="24"/>
          <w:color w:val="auto"/>
        </w:rPr>
      </w:pPr>
    </w:p>
    <w:p>
      <w:pPr>
        <w:ind w:right="100"/>
        <w:spacing w:after="0" w:line="145" w:lineRule="exact"/>
        <w:rPr>
          <w:sz w:val="20"/>
          <w:szCs w:val="20"/>
          <w:color w:val="auto"/>
        </w:rPr>
      </w:pPr>
      <w:r>
        <w:rPr>
          <w:rFonts w:ascii="Times New Roman" w:cs="Times New Roman" w:eastAsia="Times New Roman" w:hAnsi="Times New Roman"/>
          <w:sz w:val="12"/>
          <w:szCs w:val="12"/>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2"/>
          <w:szCs w:val="12"/>
          <w:color w:val="auto"/>
        </w:rPr>
        <w:t>☐</w:t>
      </w:r>
    </w:p>
    <w:p>
      <w:pPr>
        <w:spacing w:after="0" w:line="1" w:lineRule="exact"/>
        <w:rPr>
          <w:sz w:val="24"/>
          <w:szCs w:val="24"/>
          <w:color w:val="auto"/>
        </w:rPr>
      </w:pPr>
    </w:p>
    <w:p>
      <w:pPr>
        <w:spacing w:after="0" w:line="228"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 w:lineRule="exact"/>
        <w:rPr>
          <w:sz w:val="24"/>
          <w:szCs w:val="24"/>
          <w:color w:val="auto"/>
        </w:rPr>
      </w:pPr>
    </w:p>
    <w:tbl>
      <w:tblPr>
        <w:tblLayout w:type="fixed"/>
        <w:tblInd w:w="40" w:type="dxa"/>
        <w:tblCellMar>
          <w:top w:w="0" w:type="dxa"/>
          <w:left w:w="0" w:type="dxa"/>
          <w:bottom w:w="0" w:type="dxa"/>
          <w:right w:w="0" w:type="dxa"/>
        </w:tblCellMar>
      </w:tblPr>
      <w:tr>
        <w:trPr>
          <w:trHeight w:val="176"/>
        </w:trPr>
        <w:tc>
          <w:tcPr>
            <w:tcW w:w="186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2460" w:type="dxa"/>
            <w:vAlign w:val="bottom"/>
          </w:tcPr>
          <w:p>
            <w:pPr>
              <w:ind w:left="820"/>
              <w:spacing w:after="0" w:line="141" w:lineRule="exact"/>
              <w:rPr>
                <w:sz w:val="20"/>
                <w:szCs w:val="20"/>
                <w:color w:val="auto"/>
              </w:rPr>
            </w:pPr>
            <w:r>
              <w:rPr>
                <w:rFonts w:ascii="MS PGothic" w:cs="MS PGothic" w:eastAsia="MS PGothic" w:hAnsi="MS PGothic"/>
                <w:sz w:val="14"/>
                <w:szCs w:val="14"/>
                <w:color w:val="auto"/>
              </w:rPr>
              <w:t>☐</w:t>
            </w:r>
          </w:p>
        </w:tc>
        <w:tc>
          <w:tcPr>
            <w:tcW w:w="3680" w:type="dxa"/>
            <w:vAlign w:val="bottom"/>
          </w:tcPr>
          <w:p>
            <w:pPr>
              <w:ind w:left="1500"/>
              <w:spacing w:after="0"/>
              <w:rPr>
                <w:sz w:val="20"/>
                <w:szCs w:val="20"/>
                <w:color w:val="auto"/>
              </w:rPr>
            </w:pPr>
            <w:r>
              <w:rPr>
                <w:rFonts w:ascii="Times New Roman" w:cs="Times New Roman" w:eastAsia="Times New Roman" w:hAnsi="Times New Roman"/>
                <w:sz w:val="12"/>
                <w:szCs w:val="12"/>
                <w:color w:val="auto"/>
              </w:rPr>
              <w:t>Accelerated filer</w:t>
            </w:r>
          </w:p>
        </w:tc>
        <w:tc>
          <w:tcPr>
            <w:tcW w:w="1020" w:type="dxa"/>
            <w:vAlign w:val="bottom"/>
          </w:tcPr>
          <w:p>
            <w:pPr>
              <w:ind w:left="9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6"/>
        </w:trPr>
        <w:tc>
          <w:tcPr>
            <w:tcW w:w="186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2460" w:type="dxa"/>
            <w:vAlign w:val="bottom"/>
          </w:tcPr>
          <w:p>
            <w:pPr>
              <w:ind w:left="820"/>
              <w:spacing w:after="0" w:line="141" w:lineRule="exact"/>
              <w:rPr>
                <w:sz w:val="20"/>
                <w:szCs w:val="20"/>
                <w:color w:val="auto"/>
              </w:rPr>
            </w:pPr>
            <w:r>
              <w:rPr>
                <w:rFonts w:ascii="MS PGothic" w:cs="MS PGothic" w:eastAsia="MS PGothic" w:hAnsi="MS PGothic"/>
                <w:sz w:val="14"/>
                <w:szCs w:val="14"/>
                <w:color w:val="auto"/>
              </w:rPr>
              <w:t>☒</w:t>
            </w:r>
          </w:p>
        </w:tc>
        <w:tc>
          <w:tcPr>
            <w:tcW w:w="3680" w:type="dxa"/>
            <w:vAlign w:val="bottom"/>
          </w:tcPr>
          <w:p>
            <w:pPr>
              <w:ind w:left="150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1020" w:type="dxa"/>
            <w:vAlign w:val="bottom"/>
          </w:tcPr>
          <w:p>
            <w:pPr>
              <w:ind w:left="9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18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3680" w:type="dxa"/>
            <w:vAlign w:val="bottom"/>
          </w:tcPr>
          <w:p>
            <w:pPr>
              <w:ind w:left="1500"/>
              <w:spacing w:after="0"/>
              <w:rPr>
                <w:sz w:val="20"/>
                <w:szCs w:val="20"/>
                <w:color w:val="auto"/>
              </w:rPr>
            </w:pPr>
            <w:r>
              <w:rPr>
                <w:rFonts w:ascii="Times New Roman" w:cs="Times New Roman" w:eastAsia="Times New Roman" w:hAnsi="Times New Roman"/>
                <w:sz w:val="12"/>
                <w:szCs w:val="12"/>
                <w:color w:val="auto"/>
              </w:rPr>
              <w:t>Emerging growth company</w:t>
            </w:r>
          </w:p>
        </w:tc>
        <w:tc>
          <w:tcPr>
            <w:tcW w:w="1020" w:type="dxa"/>
            <w:vAlign w:val="bottom"/>
          </w:tcPr>
          <w:p>
            <w:pPr>
              <w:ind w:left="9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2983230</wp:posOffset>
            </wp:positionH>
            <wp:positionV relativeFrom="paragraph">
              <wp:posOffset>118110</wp:posOffset>
            </wp:positionV>
            <wp:extent cx="120142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01420" cy="6350"/>
                    </a:xfrm>
                    <a:prstGeom prst="rect">
                      <a:avLst/>
                    </a:prstGeom>
                    <a:noFill/>
                  </pic:spPr>
                </pic:pic>
              </a:graphicData>
            </a:graphic>
          </wp:anchor>
        </w:drawing>
      </w:r>
    </w:p>
    <w:p>
      <w:pPr>
        <w:spacing w:after="0" w:line="226" w:lineRule="exact"/>
        <w:rPr>
          <w:sz w:val="24"/>
          <w:szCs w:val="24"/>
          <w:color w:val="auto"/>
        </w:rPr>
      </w:pPr>
    </w:p>
    <w:p>
      <w:pPr>
        <w:ind w:right="40"/>
        <w:spacing w:after="0" w:line="153"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2"/>
          <w:szCs w:val="12"/>
          <w:color w:val="auto"/>
        </w:rPr>
        <w:t>☐</w:t>
      </w:r>
    </w:p>
    <w:p>
      <w:pPr>
        <w:spacing w:after="0"/>
        <w:rPr>
          <w:sz w:val="20"/>
          <w:szCs w:val="20"/>
          <w:color w:val="auto"/>
        </w:rPr>
      </w:pPr>
      <w:r>
        <w:rPr>
          <w:rFonts w:ascii="Times New Roman" w:cs="Times New Roman" w:eastAsia="Times New Roman" w:hAnsi="Times New Roman"/>
          <w:sz w:val="12"/>
          <w:szCs w:val="12"/>
          <w:b w:val="1"/>
          <w:bCs w:val="1"/>
          <w:color w:val="auto"/>
        </w:rPr>
        <w:t>The registrant hereby amends this registration statement on such date or dates as may be necessary to delay its effective date until the registrant shall file a further amendment that specifically states that this registration</w:t>
      </w:r>
    </w:p>
    <w:p>
      <w:pPr>
        <w:spacing w:after="0" w:line="4" w:lineRule="exact"/>
        <w:rPr>
          <w:sz w:val="24"/>
          <w:szCs w:val="24"/>
          <w:color w:val="auto"/>
        </w:rPr>
      </w:pPr>
    </w:p>
    <w:p>
      <w:pPr>
        <w:ind w:right="360"/>
        <w:spacing w:after="0" w:line="228" w:lineRule="auto"/>
        <w:rPr>
          <w:sz w:val="20"/>
          <w:szCs w:val="20"/>
          <w:color w:val="auto"/>
        </w:rPr>
      </w:pPr>
      <w:r>
        <w:rPr>
          <w:rFonts w:ascii="Times New Roman" w:cs="Times New Roman" w:eastAsia="Times New Roman" w:hAnsi="Times New Roman"/>
          <w:sz w:val="12"/>
          <w:szCs w:val="12"/>
          <w:b w:val="1"/>
          <w:bCs w:val="1"/>
          <w:color w:val="auto"/>
        </w:rPr>
        <w:t>statement shall thereafter become effective in accordance with Section 8(a) of the Securities Act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16470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70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37465</wp:posOffset>
            </wp:positionV>
            <wp:extent cx="7164705"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20"/>
          </w:cols>
          <w:pgMar w:left="300" w:top="699" w:right="379" w:bottom="1440" w:gutter="0" w:footer="0" w:header="0"/>
        </w:sectPr>
      </w:pPr>
    </w:p>
    <w:bookmarkStart w:id="1" w:name="page2"/>
    <w:bookmarkEnd w:id="1"/>
    <w:p>
      <w:pPr>
        <w:spacing w:after="0" w:line="262" w:lineRule="auto"/>
        <w:rPr>
          <w:sz w:val="20"/>
          <w:szCs w:val="20"/>
          <w:color w:val="auto"/>
        </w:rPr>
      </w:pPr>
      <w:r>
        <w:rPr>
          <w:rFonts w:ascii="Times New Roman" w:cs="Times New Roman" w:eastAsia="Times New Roman" w:hAnsi="Times New Roman"/>
          <w:sz w:val="14"/>
          <w:szCs w:val="14"/>
          <w:b w:val="1"/>
          <w:bCs w:val="1"/>
          <w:color w:val="F1665F"/>
        </w:rPr>
        <w:t>The information in this prospectus is not complete and may be changed. We may not sell these securities or accept an offer to buy these securities until the registration statement filed with the Securities and Exchange Commission is effective. This prospectus is not an offer to sell these securities, and it is not soliciting offers to buy these securities in any state where such offer or sale is not permitted.</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F1665F"/>
        </w:rPr>
        <w:t>SUBJECT TO COMPLETION, DATED OCTOBER 26, 2026</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2536825</wp:posOffset>
            </wp:positionH>
            <wp:positionV relativeFrom="paragraph">
              <wp:posOffset>66040</wp:posOffset>
            </wp:positionV>
            <wp:extent cx="2094865" cy="387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94865" cy="387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$500,000,000</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2" w:lineRule="exact"/>
        <w:rPr>
          <w:sz w:val="20"/>
          <w:szCs w:val="20"/>
          <w:color w:val="auto"/>
        </w:rPr>
      </w:pPr>
    </w:p>
    <w:p>
      <w:pPr>
        <w:ind w:right="260"/>
        <w:spacing w:after="0" w:line="252" w:lineRule="auto"/>
        <w:rPr>
          <w:sz w:val="20"/>
          <w:szCs w:val="20"/>
          <w:color w:val="auto"/>
        </w:rPr>
      </w:pPr>
      <w:r>
        <w:rPr>
          <w:rFonts w:ascii="Times New Roman" w:cs="Times New Roman" w:eastAsia="Times New Roman" w:hAnsi="Times New Roman"/>
          <w:sz w:val="14"/>
          <w:szCs w:val="14"/>
          <w:color w:val="auto"/>
        </w:rPr>
        <w:t>From time to time, we may offer and sell up to $500,000,000 of any combination of the securities described in this prospectus in one or more offerings. We may also offer securities as may be issuable upon conversion, redemption, repurchase, exchange or exercise of any securities registered hereunder, including any applicable anti-dilution provisions.</w:t>
      </w:r>
    </w:p>
    <w:p>
      <w:pPr>
        <w:spacing w:after="0" w:line="10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4"/>
          <w:szCs w:val="14"/>
          <w:color w:val="auto"/>
        </w:rPr>
        <w:t>This prospectus provides a general description of the securities we may offer. Each time we offer securities, we will provide specific terms of the securities offered in a supplement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you invest in any of the securities being offered.</w:t>
      </w:r>
    </w:p>
    <w:p>
      <w:pPr>
        <w:spacing w:after="0" w:line="102"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14"/>
          <w:szCs w:val="14"/>
          <w:color w:val="auto"/>
        </w:rPr>
        <w:t>We are an “emerging growth company” and “smaller reporting company” under the federal securities laws and, as such, are subject to reduced public company reporting requirements. See “Summary— Implications of Being an Emerging Growth Company and a Smaller Reporting Company.”</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This prospectus may not be used to consummate a sale of any securities unless accompanied by a prospectus supplement.</w:t>
      </w:r>
    </w:p>
    <w:p>
      <w:pPr>
        <w:spacing w:after="0" w:line="13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4"/>
          <w:szCs w:val="14"/>
          <w:color w:val="auto"/>
        </w:rPr>
        <w:t>We will sell these securities directly to investors, through agents designated from time to time or to or through underwriters or dealers, on a continuous or delayed basis. For additional information on the methods of sale, you should refer to the section entitled “Plan of Distribution” in this prospectus and in the applicable prospectus supplement. If any agents or underwriters are involved in the sale of any securities with respect to which this prospectus is being delivered, the names of such agents or underwriters and any applicable fees, commissions or discounts will be set forth in a prospectus supplement. The price to the public of such securities and the net proceeds we expect to receive from such sale will also be set forth in a prospectus supplement.</w:t>
      </w:r>
    </w:p>
    <w:p>
      <w:pPr>
        <w:spacing w:after="0" w:line="102" w:lineRule="exact"/>
        <w:rPr>
          <w:sz w:val="20"/>
          <w:szCs w:val="20"/>
          <w:color w:val="auto"/>
        </w:rPr>
      </w:pPr>
    </w:p>
    <w:p>
      <w:pPr>
        <w:jc w:val="both"/>
        <w:ind w:right="140"/>
        <w:spacing w:after="0" w:line="259" w:lineRule="auto"/>
        <w:rPr>
          <w:sz w:val="20"/>
          <w:szCs w:val="20"/>
          <w:color w:val="auto"/>
        </w:rPr>
      </w:pPr>
      <w:r>
        <w:rPr>
          <w:rFonts w:ascii="Times New Roman" w:cs="Times New Roman" w:eastAsia="Times New Roman" w:hAnsi="Times New Roman"/>
          <w:sz w:val="14"/>
          <w:szCs w:val="14"/>
          <w:color w:val="auto"/>
        </w:rPr>
        <w:t>Our common stock is traded on The Nasdaq Global Select Market under the symbol “ABOS.” On October 23, 2026, the last reported sale price of our common stock was $1.98 per share. The applicable prospectus supplement will contain information, where applicable, as to any other listing on The Nasdaq Global Select Market or any securities market or other exchange of the securities, if any, covered by the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2924175</wp:posOffset>
            </wp:positionH>
            <wp:positionV relativeFrom="paragraph">
              <wp:posOffset>110490</wp:posOffset>
            </wp:positionV>
            <wp:extent cx="1320165"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20165" cy="6350"/>
                    </a:xfrm>
                    <a:prstGeom prst="rect">
                      <a:avLst/>
                    </a:prstGeom>
                    <a:noFill/>
                  </pic:spPr>
                </pic:pic>
              </a:graphicData>
            </a:graphic>
          </wp:anchor>
        </w:drawing>
      </w:r>
    </w:p>
    <w:p>
      <w:pPr>
        <w:spacing w:after="0" w:line="210"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Investing in our securities involves a high degree of risk. You should review carefully the risks and uncertainties described under the heading “</w:t>
      </w:r>
      <w:r>
        <w:rPr>
          <w:rFonts w:ascii="Times New Roman" w:cs="Times New Roman" w:eastAsia="Times New Roman" w:hAnsi="Times New Roman"/>
          <w:sz w:val="14"/>
          <w:szCs w:val="14"/>
          <w:b w:val="1"/>
          <w:bCs w:val="1"/>
          <w:i w:val="1"/>
          <w:iCs w:val="1"/>
          <w:u w:val="single" w:color="auto"/>
          <w:color w:val="0000FF"/>
        </w:rPr>
        <w:t>Risk Factors</w:t>
      </w:r>
      <w:r>
        <w:rPr>
          <w:rFonts w:ascii="Times New Roman" w:cs="Times New Roman" w:eastAsia="Times New Roman" w:hAnsi="Times New Roman"/>
          <w:sz w:val="14"/>
          <w:szCs w:val="14"/>
          <w:b w:val="1"/>
          <w:bCs w:val="1"/>
          <w:i w:val="1"/>
          <w:iCs w:val="1"/>
          <w:color w:val="auto"/>
        </w:rPr>
        <w:t xml:space="preserve">” on page </w:t>
      </w:r>
      <w:r>
        <w:rPr>
          <w:rFonts w:ascii="Times New Roman" w:cs="Times New Roman" w:eastAsia="Times New Roman" w:hAnsi="Times New Roman"/>
          <w:sz w:val="14"/>
          <w:szCs w:val="14"/>
          <w:b w:val="1"/>
          <w:bCs w:val="1"/>
          <w:i w:val="1"/>
          <w:iCs w:val="1"/>
          <w:u w:val="single" w:color="auto"/>
          <w:color w:val="0000FF"/>
        </w:rPr>
        <w:t>7</w:t>
      </w:r>
      <w:r>
        <w:rPr>
          <w:rFonts w:ascii="Times New Roman" w:cs="Times New Roman" w:eastAsia="Times New Roman" w:hAnsi="Times New Roman"/>
          <w:sz w:val="14"/>
          <w:szCs w:val="14"/>
          <w:b w:val="1"/>
          <w:bCs w:val="1"/>
          <w:i w:val="1"/>
          <w:iCs w:val="1"/>
          <w:color w:val="auto"/>
        </w:rPr>
        <w:t xml:space="preserve"> of this prospectus and in any applicable prospectus supplement and related free writing prospectus we have authorized for use in connection with a specific offering, and under similar headings in the other documents that are incorporated by reference into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2924175</wp:posOffset>
            </wp:positionH>
            <wp:positionV relativeFrom="paragraph">
              <wp:posOffset>109220</wp:posOffset>
            </wp:positionV>
            <wp:extent cx="1320165"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20165" cy="6350"/>
                    </a:xfrm>
                    <a:prstGeom prst="rect">
                      <a:avLst/>
                    </a:prstGeom>
                    <a:noFill/>
                  </pic:spPr>
                </pic:pic>
              </a:graphicData>
            </a:graphic>
          </wp:anchor>
        </w:drawing>
      </w:r>
    </w:p>
    <w:p>
      <w:pPr>
        <w:spacing w:after="0" w:line="218"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2924175</wp:posOffset>
            </wp:positionH>
            <wp:positionV relativeFrom="paragraph">
              <wp:posOffset>101600</wp:posOffset>
            </wp:positionV>
            <wp:extent cx="1320165"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20165" cy="6350"/>
                    </a:xfrm>
                    <a:prstGeom prst="rect">
                      <a:avLst/>
                    </a:prstGeom>
                    <a:noFill/>
                  </pic:spPr>
                </pic:pic>
              </a:graphicData>
            </a:graphic>
          </wp:anchor>
        </w:drawing>
      </w:r>
    </w:p>
    <w:p>
      <w:pPr>
        <w:spacing w:after="0" w:line="206" w:lineRule="exact"/>
        <w:rPr>
          <w:sz w:val="20"/>
          <w:szCs w:val="20"/>
          <w:color w:val="auto"/>
        </w:rPr>
      </w:pPr>
    </w:p>
    <w:p>
      <w:pPr>
        <w:ind w:left="4540"/>
        <w:spacing w:after="0"/>
        <w:tabs>
          <w:tab w:leader="none" w:pos="6700" w:val="left"/>
        </w:tabs>
        <w:rPr>
          <w:sz w:val="20"/>
          <w:szCs w:val="20"/>
          <w:color w:val="auto"/>
        </w:rPr>
      </w:pPr>
      <w:r>
        <w:rPr>
          <w:rFonts w:ascii="Times New Roman" w:cs="Times New Roman" w:eastAsia="Times New Roman" w:hAnsi="Times New Roman"/>
          <w:sz w:val="14"/>
          <w:szCs w:val="14"/>
          <w:b w:val="1"/>
          <w:bCs w:val="1"/>
          <w:color w:val="auto"/>
        </w:rPr>
        <w:t>The date of this prospectus is</w:t>
      </w:r>
      <w:r>
        <w:rPr>
          <w:sz w:val="20"/>
          <w:szCs w:val="20"/>
          <w:color w:val="auto"/>
        </w:rPr>
        <w:tab/>
      </w:r>
      <w:r>
        <w:rPr>
          <w:rFonts w:ascii="Times New Roman" w:cs="Times New Roman" w:eastAsia="Times New Roman" w:hAnsi="Times New Roman"/>
          <w:sz w:val="14"/>
          <w:szCs w:val="14"/>
          <w:b w:val="1"/>
          <w:bCs w:val="1"/>
          <w:color w:val="auto"/>
        </w:rPr>
        <w:t>.</w:t>
      </w:r>
    </w:p>
    <w:p>
      <w:pPr>
        <w:sectPr>
          <w:pgSz w:w="11900" w:h="16838" w:orient="portrait"/>
          <w:cols w:equalWidth="0" w:num="1">
            <w:col w:w="11280"/>
          </w:cols>
          <w:pgMar w:left="300" w:top="619"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3"/>
        </w:trPr>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780" w:type="dxa"/>
            <w:vAlign w:val="bottom"/>
            <w:gridSpan w:val="2"/>
          </w:tcPr>
          <w:p>
            <w:pPr>
              <w:jc w:val="right"/>
              <w:ind w:right="4831"/>
              <w:spacing w:after="0"/>
              <w:rPr>
                <w:sz w:val="20"/>
                <w:szCs w:val="20"/>
                <w:color w:val="auto"/>
              </w:rPr>
            </w:pPr>
            <w:r>
              <w:rPr>
                <w:rFonts w:ascii="Times New Roman" w:cs="Times New Roman" w:eastAsia="Times New Roman" w:hAnsi="Times New Roman"/>
                <w:sz w:val="14"/>
                <w:szCs w:val="14"/>
                <w:b w:val="1"/>
                <w:bCs w:val="1"/>
                <w:color w:val="auto"/>
              </w:rPr>
              <w:t>TABLE OF CONTENTS</w:t>
            </w:r>
          </w:p>
        </w:tc>
      </w:tr>
      <w:tr>
        <w:trPr>
          <w:trHeight w:val="289"/>
        </w:trPr>
        <w:tc>
          <w:tcPr>
            <w:tcW w:w="448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ABOUT THIS PROSPECTUS</w:t>
            </w:r>
          </w:p>
        </w:tc>
        <w:tc>
          <w:tcPr>
            <w:tcW w:w="6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1</w:t>
            </w:r>
          </w:p>
        </w:tc>
      </w:tr>
      <w:tr>
        <w:trPr>
          <w:trHeight w:val="156"/>
        </w:trPr>
        <w:tc>
          <w:tcPr>
            <w:tcW w:w="170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4"/>
                <w:szCs w:val="14"/>
                <w:color w:val="0000FF"/>
              </w:rPr>
              <w:t>SUMMARY</w:t>
            </w:r>
          </w:p>
        </w:tc>
        <w:tc>
          <w:tcPr>
            <w:tcW w:w="2780" w:type="dxa"/>
            <w:vAlign w:val="bottom"/>
            <w:gridSpan w:val="7"/>
          </w:tcPr>
          <w:p>
            <w:pPr>
              <w:spacing w:after="0"/>
              <w:rPr>
                <w:sz w:val="13"/>
                <w:szCs w:val="13"/>
                <w:color w:val="auto"/>
              </w:rPr>
            </w:pPr>
          </w:p>
        </w:tc>
        <w:tc>
          <w:tcPr>
            <w:tcW w:w="6700" w:type="dxa"/>
            <w:vAlign w:val="bottom"/>
          </w:tcPr>
          <w:p>
            <w:pPr>
              <w:spacing w:after="0"/>
              <w:rPr>
                <w:sz w:val="13"/>
                <w:szCs w:val="13"/>
                <w:color w:val="auto"/>
              </w:rPr>
            </w:pPr>
          </w:p>
        </w:tc>
        <w:tc>
          <w:tcPr>
            <w:tcW w:w="80" w:type="dxa"/>
            <w:vAlign w:val="bottom"/>
            <w:tcBorders>
              <w:top w:val="single" w:sz="8" w:color="0000FF"/>
            </w:tcBorders>
          </w:tcPr>
          <w:p>
            <w:pPr>
              <w:jc w:val="right"/>
              <w:spacing w:after="0" w:line="156" w:lineRule="exact"/>
              <w:rPr>
                <w:sz w:val="20"/>
                <w:szCs w:val="20"/>
                <w:color w:val="auto"/>
              </w:rPr>
            </w:pPr>
            <w:r>
              <w:rPr>
                <w:rFonts w:ascii="Times New Roman" w:cs="Times New Roman" w:eastAsia="Times New Roman" w:hAnsi="Times New Roman"/>
                <w:sz w:val="14"/>
                <w:szCs w:val="14"/>
                <w:color w:val="0000FF"/>
                <w:w w:val="85"/>
              </w:rPr>
              <w:t>2</w:t>
            </w:r>
          </w:p>
        </w:tc>
      </w:tr>
      <w:tr>
        <w:trPr>
          <w:trHeight w:val="20"/>
        </w:trPr>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6"/>
        </w:trPr>
        <w:tc>
          <w:tcPr>
            <w:tcW w:w="960" w:type="dxa"/>
            <w:vAlign w:val="bottom"/>
            <w:tcBorders>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4"/>
                <w:szCs w:val="14"/>
                <w:color w:val="0000FF"/>
                <w:w w:val="95"/>
              </w:rPr>
              <w:t>RISK FACTORS</w:t>
            </w:r>
          </w:p>
        </w:tc>
        <w:tc>
          <w:tcPr>
            <w:tcW w:w="3520" w:type="dxa"/>
            <w:vAlign w:val="bottom"/>
            <w:gridSpan w:val="11"/>
          </w:tcPr>
          <w:p>
            <w:pPr>
              <w:spacing w:after="0"/>
              <w:rPr>
                <w:sz w:val="13"/>
                <w:szCs w:val="13"/>
                <w:color w:val="auto"/>
              </w:rPr>
            </w:pPr>
          </w:p>
        </w:tc>
        <w:tc>
          <w:tcPr>
            <w:tcW w:w="6700" w:type="dxa"/>
            <w:vAlign w:val="bottom"/>
          </w:tcPr>
          <w:p>
            <w:pPr>
              <w:spacing w:after="0"/>
              <w:rPr>
                <w:sz w:val="13"/>
                <w:szCs w:val="13"/>
                <w:color w:val="auto"/>
              </w:rPr>
            </w:pPr>
          </w:p>
        </w:tc>
        <w:tc>
          <w:tcPr>
            <w:tcW w:w="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4"/>
                <w:szCs w:val="14"/>
                <w:color w:val="0000FF"/>
                <w:w w:val="85"/>
              </w:rPr>
              <w:t>7</w:t>
            </w:r>
          </w:p>
        </w:tc>
      </w:tr>
      <w:tr>
        <w:trPr>
          <w:trHeight w:val="156"/>
        </w:trPr>
        <w:tc>
          <w:tcPr>
            <w:tcW w:w="4480" w:type="dxa"/>
            <w:vAlign w:val="bottom"/>
            <w:gridSpan w:val="14"/>
          </w:tcPr>
          <w:p>
            <w:pPr>
              <w:spacing w:after="0" w:line="156" w:lineRule="exact"/>
              <w:rPr>
                <w:sz w:val="20"/>
                <w:szCs w:val="20"/>
                <w:color w:val="auto"/>
              </w:rPr>
            </w:pPr>
            <w:r>
              <w:rPr>
                <w:rFonts w:ascii="Times New Roman" w:cs="Times New Roman" w:eastAsia="Times New Roman" w:hAnsi="Times New Roman"/>
                <w:sz w:val="14"/>
                <w:szCs w:val="14"/>
                <w:color w:val="0000FF"/>
              </w:rPr>
              <w:t>SPECIAL NOTE REGARDING FORWARD-LOOKING STATEMENTS</w:t>
            </w:r>
          </w:p>
        </w:tc>
        <w:tc>
          <w:tcPr>
            <w:tcW w:w="678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4"/>
                <w:szCs w:val="14"/>
                <w:color w:val="0000FF"/>
              </w:rPr>
              <w:t>8</w:t>
            </w:r>
          </w:p>
        </w:tc>
      </w:tr>
      <w:tr>
        <w:trPr>
          <w:trHeight w:val="20"/>
        </w:trPr>
        <w:tc>
          <w:tcPr>
            <w:tcW w:w="58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6"/>
        </w:trPr>
        <w:tc>
          <w:tcPr>
            <w:tcW w:w="4080" w:type="dxa"/>
            <w:vAlign w:val="bottom"/>
            <w:gridSpan w:val="13"/>
          </w:tcPr>
          <w:p>
            <w:pPr>
              <w:spacing w:after="0" w:line="156" w:lineRule="exact"/>
              <w:rPr>
                <w:sz w:val="20"/>
                <w:szCs w:val="20"/>
                <w:color w:val="auto"/>
              </w:rPr>
            </w:pPr>
            <w:r>
              <w:rPr>
                <w:rFonts w:ascii="Times New Roman" w:cs="Times New Roman" w:eastAsia="Times New Roman" w:hAnsi="Times New Roman"/>
                <w:sz w:val="14"/>
                <w:szCs w:val="14"/>
                <w:color w:val="0000FF"/>
              </w:rPr>
              <w:t>USE OF PROCEEDS</w:t>
            </w:r>
          </w:p>
        </w:tc>
        <w:tc>
          <w:tcPr>
            <w:tcW w:w="400" w:type="dxa"/>
            <w:vAlign w:val="bottom"/>
          </w:tcPr>
          <w:p>
            <w:pPr>
              <w:spacing w:after="0"/>
              <w:rPr>
                <w:sz w:val="13"/>
                <w:szCs w:val="13"/>
                <w:color w:val="auto"/>
              </w:rPr>
            </w:pPr>
          </w:p>
        </w:tc>
        <w:tc>
          <w:tcPr>
            <w:tcW w:w="678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4"/>
                <w:szCs w:val="14"/>
                <w:color w:val="0000FF"/>
              </w:rPr>
              <w:t>10</w:t>
            </w:r>
          </w:p>
        </w:tc>
      </w:tr>
      <w:tr>
        <w:trPr>
          <w:trHeight w:val="20"/>
        </w:trPr>
        <w:tc>
          <w:tcPr>
            <w:tcW w:w="58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6"/>
        </w:trPr>
        <w:tc>
          <w:tcPr>
            <w:tcW w:w="2200" w:type="dxa"/>
            <w:vAlign w:val="bottom"/>
            <w:gridSpan w:val="9"/>
          </w:tcPr>
          <w:p>
            <w:pPr>
              <w:spacing w:after="0" w:line="156" w:lineRule="exact"/>
              <w:rPr>
                <w:sz w:val="20"/>
                <w:szCs w:val="20"/>
                <w:color w:val="auto"/>
              </w:rPr>
            </w:pPr>
            <w:r>
              <w:rPr>
                <w:rFonts w:ascii="Times New Roman" w:cs="Times New Roman" w:eastAsia="Times New Roman" w:hAnsi="Times New Roman"/>
                <w:sz w:val="14"/>
                <w:szCs w:val="14"/>
                <w:color w:val="0000FF"/>
                <w:w w:val="97"/>
              </w:rPr>
              <w:t>DESCRIPTION OF CAPITAL STOCK</w:t>
            </w:r>
          </w:p>
        </w:tc>
        <w:tc>
          <w:tcPr>
            <w:tcW w:w="2280" w:type="dxa"/>
            <w:vAlign w:val="bottom"/>
            <w:gridSpan w:val="5"/>
          </w:tcPr>
          <w:p>
            <w:pPr>
              <w:spacing w:after="0"/>
              <w:rPr>
                <w:sz w:val="13"/>
                <w:szCs w:val="13"/>
                <w:color w:val="auto"/>
              </w:rPr>
            </w:pPr>
          </w:p>
        </w:tc>
        <w:tc>
          <w:tcPr>
            <w:tcW w:w="678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4"/>
                <w:szCs w:val="14"/>
                <w:color w:val="0000FF"/>
              </w:rPr>
              <w:t>11</w:t>
            </w:r>
          </w:p>
        </w:tc>
      </w:tr>
      <w:tr>
        <w:trPr>
          <w:trHeight w:val="20"/>
        </w:trPr>
        <w:tc>
          <w:tcPr>
            <w:tcW w:w="58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6"/>
        </w:trPr>
        <w:tc>
          <w:tcPr>
            <w:tcW w:w="2320" w:type="dxa"/>
            <w:vAlign w:val="bottom"/>
            <w:gridSpan w:val="10"/>
          </w:tcPr>
          <w:p>
            <w:pPr>
              <w:spacing w:after="0" w:line="156" w:lineRule="exact"/>
              <w:rPr>
                <w:sz w:val="20"/>
                <w:szCs w:val="20"/>
                <w:color w:val="auto"/>
              </w:rPr>
            </w:pPr>
            <w:r>
              <w:rPr>
                <w:rFonts w:ascii="Times New Roman" w:cs="Times New Roman" w:eastAsia="Times New Roman" w:hAnsi="Times New Roman"/>
                <w:sz w:val="14"/>
                <w:szCs w:val="14"/>
                <w:color w:val="0000FF"/>
                <w:w w:val="96"/>
              </w:rPr>
              <w:t>DESCRIPTION OF DEBT SECURITIES</w:t>
            </w:r>
          </w:p>
        </w:tc>
        <w:tc>
          <w:tcPr>
            <w:tcW w:w="2160" w:type="dxa"/>
            <w:vAlign w:val="bottom"/>
            <w:gridSpan w:val="4"/>
          </w:tcPr>
          <w:p>
            <w:pPr>
              <w:spacing w:after="0"/>
              <w:rPr>
                <w:sz w:val="13"/>
                <w:szCs w:val="13"/>
                <w:color w:val="auto"/>
              </w:rPr>
            </w:pPr>
          </w:p>
        </w:tc>
        <w:tc>
          <w:tcPr>
            <w:tcW w:w="678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4"/>
                <w:szCs w:val="14"/>
                <w:color w:val="0000FF"/>
              </w:rPr>
              <w:t>16</w:t>
            </w:r>
          </w:p>
        </w:tc>
      </w:tr>
      <w:tr>
        <w:trPr>
          <w:trHeight w:val="20"/>
        </w:trPr>
        <w:tc>
          <w:tcPr>
            <w:tcW w:w="58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6"/>
        </w:trPr>
        <w:tc>
          <w:tcPr>
            <w:tcW w:w="1900" w:type="dxa"/>
            <w:vAlign w:val="bottom"/>
            <w:gridSpan w:val="8"/>
          </w:tcPr>
          <w:p>
            <w:pPr>
              <w:spacing w:after="0" w:line="156" w:lineRule="exact"/>
              <w:rPr>
                <w:sz w:val="20"/>
                <w:szCs w:val="20"/>
                <w:color w:val="auto"/>
              </w:rPr>
            </w:pPr>
            <w:r>
              <w:rPr>
                <w:rFonts w:ascii="Times New Roman" w:cs="Times New Roman" w:eastAsia="Times New Roman" w:hAnsi="Times New Roman"/>
                <w:sz w:val="14"/>
                <w:szCs w:val="14"/>
                <w:color w:val="0000FF"/>
                <w:w w:val="96"/>
              </w:rPr>
              <w:t>DESCRIPTION OF WARRANTS</w:t>
            </w:r>
          </w:p>
        </w:tc>
        <w:tc>
          <w:tcPr>
            <w:tcW w:w="420" w:type="dxa"/>
            <w:vAlign w:val="bottom"/>
            <w:gridSpan w:val="2"/>
          </w:tcPr>
          <w:p>
            <w:pPr>
              <w:spacing w:after="0"/>
              <w:rPr>
                <w:sz w:val="13"/>
                <w:szCs w:val="13"/>
                <w:color w:val="auto"/>
              </w:rPr>
            </w:pPr>
          </w:p>
        </w:tc>
        <w:tc>
          <w:tcPr>
            <w:tcW w:w="2160" w:type="dxa"/>
            <w:vAlign w:val="bottom"/>
            <w:gridSpan w:val="4"/>
          </w:tcPr>
          <w:p>
            <w:pPr>
              <w:spacing w:after="0"/>
              <w:rPr>
                <w:sz w:val="13"/>
                <w:szCs w:val="13"/>
                <w:color w:val="auto"/>
              </w:rPr>
            </w:pPr>
          </w:p>
        </w:tc>
        <w:tc>
          <w:tcPr>
            <w:tcW w:w="678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4"/>
                <w:szCs w:val="14"/>
                <w:color w:val="0000FF"/>
              </w:rPr>
              <w:t>23</w:t>
            </w:r>
          </w:p>
        </w:tc>
      </w:tr>
      <w:tr>
        <w:trPr>
          <w:trHeight w:val="20"/>
        </w:trPr>
        <w:tc>
          <w:tcPr>
            <w:tcW w:w="58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6"/>
        </w:trPr>
        <w:tc>
          <w:tcPr>
            <w:tcW w:w="2320" w:type="dxa"/>
            <w:vAlign w:val="bottom"/>
            <w:gridSpan w:val="10"/>
          </w:tcPr>
          <w:p>
            <w:pPr>
              <w:spacing w:after="0" w:line="156" w:lineRule="exact"/>
              <w:rPr>
                <w:sz w:val="20"/>
                <w:szCs w:val="20"/>
                <w:color w:val="auto"/>
              </w:rPr>
            </w:pPr>
            <w:r>
              <w:rPr>
                <w:rFonts w:ascii="Times New Roman" w:cs="Times New Roman" w:eastAsia="Times New Roman" w:hAnsi="Times New Roman"/>
                <w:sz w:val="14"/>
                <w:szCs w:val="14"/>
                <w:color w:val="0000FF"/>
                <w:w w:val="96"/>
              </w:rPr>
              <w:t>LEGAL OWNERSHIP OF SECURITIES</w:t>
            </w:r>
          </w:p>
        </w:tc>
        <w:tc>
          <w:tcPr>
            <w:tcW w:w="2160" w:type="dxa"/>
            <w:vAlign w:val="bottom"/>
            <w:gridSpan w:val="4"/>
          </w:tcPr>
          <w:p>
            <w:pPr>
              <w:spacing w:after="0"/>
              <w:rPr>
                <w:sz w:val="13"/>
                <w:szCs w:val="13"/>
                <w:color w:val="auto"/>
              </w:rPr>
            </w:pPr>
          </w:p>
        </w:tc>
        <w:tc>
          <w:tcPr>
            <w:tcW w:w="678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4"/>
                <w:szCs w:val="14"/>
                <w:color w:val="0000FF"/>
              </w:rPr>
              <w:t>25</w:t>
            </w:r>
          </w:p>
        </w:tc>
      </w:tr>
      <w:tr>
        <w:trPr>
          <w:trHeight w:val="20"/>
        </w:trPr>
        <w:tc>
          <w:tcPr>
            <w:tcW w:w="58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6"/>
        </w:trPr>
        <w:tc>
          <w:tcPr>
            <w:tcW w:w="2320" w:type="dxa"/>
            <w:vAlign w:val="bottom"/>
            <w:gridSpan w:val="10"/>
          </w:tcPr>
          <w:p>
            <w:pPr>
              <w:spacing w:after="0" w:line="156" w:lineRule="exact"/>
              <w:rPr>
                <w:sz w:val="20"/>
                <w:szCs w:val="20"/>
                <w:color w:val="auto"/>
              </w:rPr>
            </w:pPr>
            <w:r>
              <w:rPr>
                <w:rFonts w:ascii="Times New Roman" w:cs="Times New Roman" w:eastAsia="Times New Roman" w:hAnsi="Times New Roman"/>
                <w:sz w:val="14"/>
                <w:szCs w:val="14"/>
                <w:color w:val="0000FF"/>
              </w:rPr>
              <w:t>PLAN OF DISTRIBUTION</w:t>
            </w:r>
          </w:p>
        </w:tc>
        <w:tc>
          <w:tcPr>
            <w:tcW w:w="2160" w:type="dxa"/>
            <w:vAlign w:val="bottom"/>
            <w:gridSpan w:val="4"/>
          </w:tcPr>
          <w:p>
            <w:pPr>
              <w:spacing w:after="0"/>
              <w:rPr>
                <w:sz w:val="13"/>
                <w:szCs w:val="13"/>
                <w:color w:val="auto"/>
              </w:rPr>
            </w:pPr>
          </w:p>
        </w:tc>
        <w:tc>
          <w:tcPr>
            <w:tcW w:w="678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4"/>
                <w:szCs w:val="14"/>
                <w:color w:val="0000FF"/>
              </w:rPr>
              <w:t>28</w:t>
            </w:r>
          </w:p>
        </w:tc>
      </w:tr>
      <w:tr>
        <w:trPr>
          <w:trHeight w:val="20"/>
        </w:trPr>
        <w:tc>
          <w:tcPr>
            <w:tcW w:w="58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6"/>
        </w:trPr>
        <w:tc>
          <w:tcPr>
            <w:tcW w:w="1120" w:type="dxa"/>
            <w:vAlign w:val="bottom"/>
            <w:gridSpan w:val="4"/>
          </w:tcPr>
          <w:p>
            <w:pPr>
              <w:spacing w:after="0" w:line="156" w:lineRule="exact"/>
              <w:rPr>
                <w:sz w:val="20"/>
                <w:szCs w:val="20"/>
                <w:color w:val="auto"/>
              </w:rPr>
            </w:pPr>
            <w:r>
              <w:rPr>
                <w:rFonts w:ascii="Times New Roman" w:cs="Times New Roman" w:eastAsia="Times New Roman" w:hAnsi="Times New Roman"/>
                <w:sz w:val="14"/>
                <w:szCs w:val="14"/>
                <w:color w:val="0000FF"/>
                <w:w w:val="95"/>
              </w:rPr>
              <w:t>LEGAL MATTERS</w:t>
            </w:r>
          </w:p>
        </w:tc>
        <w:tc>
          <w:tcPr>
            <w:tcW w:w="440" w:type="dxa"/>
            <w:vAlign w:val="bottom"/>
            <w:gridSpan w:val="2"/>
          </w:tcPr>
          <w:p>
            <w:pPr>
              <w:spacing w:after="0"/>
              <w:rPr>
                <w:sz w:val="13"/>
                <w:szCs w:val="13"/>
                <w:color w:val="auto"/>
              </w:rPr>
            </w:pPr>
          </w:p>
        </w:tc>
        <w:tc>
          <w:tcPr>
            <w:tcW w:w="2920" w:type="dxa"/>
            <w:vAlign w:val="bottom"/>
            <w:gridSpan w:val="8"/>
          </w:tcPr>
          <w:p>
            <w:pPr>
              <w:spacing w:after="0"/>
              <w:rPr>
                <w:sz w:val="13"/>
                <w:szCs w:val="13"/>
                <w:color w:val="auto"/>
              </w:rPr>
            </w:pPr>
          </w:p>
        </w:tc>
        <w:tc>
          <w:tcPr>
            <w:tcW w:w="678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4"/>
                <w:szCs w:val="14"/>
                <w:color w:val="0000FF"/>
              </w:rPr>
              <w:t>30</w:t>
            </w:r>
          </w:p>
        </w:tc>
      </w:tr>
      <w:tr>
        <w:trPr>
          <w:trHeight w:val="20"/>
        </w:trPr>
        <w:tc>
          <w:tcPr>
            <w:tcW w:w="58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800" w:type="dxa"/>
            <w:vAlign w:val="bottom"/>
            <w:gridSpan w:val="7"/>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6"/>
        </w:trPr>
        <w:tc>
          <w:tcPr>
            <w:tcW w:w="1120" w:type="dxa"/>
            <w:vAlign w:val="bottom"/>
            <w:gridSpan w:val="4"/>
          </w:tcPr>
          <w:p>
            <w:pPr>
              <w:spacing w:after="0" w:line="156" w:lineRule="exact"/>
              <w:rPr>
                <w:sz w:val="20"/>
                <w:szCs w:val="20"/>
                <w:color w:val="auto"/>
              </w:rPr>
            </w:pPr>
            <w:r>
              <w:rPr>
                <w:rFonts w:ascii="Times New Roman" w:cs="Times New Roman" w:eastAsia="Times New Roman" w:hAnsi="Times New Roman"/>
                <w:sz w:val="14"/>
                <w:szCs w:val="14"/>
                <w:color w:val="0000FF"/>
              </w:rPr>
              <w:t>EXPERTS</w:t>
            </w:r>
          </w:p>
        </w:tc>
        <w:tc>
          <w:tcPr>
            <w:tcW w:w="3360" w:type="dxa"/>
            <w:vAlign w:val="bottom"/>
            <w:gridSpan w:val="10"/>
          </w:tcPr>
          <w:p>
            <w:pPr>
              <w:spacing w:after="0"/>
              <w:rPr>
                <w:sz w:val="13"/>
                <w:szCs w:val="13"/>
                <w:color w:val="auto"/>
              </w:rPr>
            </w:pPr>
          </w:p>
        </w:tc>
        <w:tc>
          <w:tcPr>
            <w:tcW w:w="678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4"/>
                <w:szCs w:val="14"/>
                <w:color w:val="0000FF"/>
              </w:rPr>
              <w:t>30</w:t>
            </w:r>
          </w:p>
        </w:tc>
      </w:tr>
      <w:tr>
        <w:trPr>
          <w:trHeight w:val="20"/>
        </w:trPr>
        <w:tc>
          <w:tcPr>
            <w:tcW w:w="580" w:type="dxa"/>
            <w:vAlign w:val="bottom"/>
            <w:shd w:val="clear" w:color="auto" w:fill="0000FF"/>
          </w:tcPr>
          <w:p>
            <w:pPr>
              <w:spacing w:after="0" w:line="20" w:lineRule="exact"/>
              <w:rPr>
                <w:sz w:val="1"/>
                <w:szCs w:val="1"/>
                <w:color w:val="auto"/>
              </w:rPr>
            </w:pPr>
          </w:p>
        </w:tc>
        <w:tc>
          <w:tcPr>
            <w:tcW w:w="2340" w:type="dxa"/>
            <w:vAlign w:val="bottom"/>
            <w:gridSpan w:val="1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6"/>
        </w:trPr>
        <w:tc>
          <w:tcPr>
            <w:tcW w:w="2920" w:type="dxa"/>
            <w:vAlign w:val="bottom"/>
            <w:gridSpan w:val="11"/>
          </w:tcPr>
          <w:p>
            <w:pPr>
              <w:spacing w:after="0" w:line="156" w:lineRule="exact"/>
              <w:rPr>
                <w:sz w:val="20"/>
                <w:szCs w:val="20"/>
                <w:color w:val="auto"/>
              </w:rPr>
            </w:pPr>
            <w:r>
              <w:rPr>
                <w:rFonts w:ascii="Times New Roman" w:cs="Times New Roman" w:eastAsia="Times New Roman" w:hAnsi="Times New Roman"/>
                <w:sz w:val="14"/>
                <w:szCs w:val="14"/>
                <w:color w:val="0000FF"/>
                <w:w w:val="97"/>
              </w:rPr>
              <w:t>WHERE YOU CAN FIND MORE INFORMATION</w:t>
            </w:r>
          </w:p>
        </w:tc>
        <w:tc>
          <w:tcPr>
            <w:tcW w:w="1560" w:type="dxa"/>
            <w:vAlign w:val="bottom"/>
            <w:gridSpan w:val="3"/>
          </w:tcPr>
          <w:p>
            <w:pPr>
              <w:spacing w:after="0"/>
              <w:rPr>
                <w:sz w:val="13"/>
                <w:szCs w:val="13"/>
                <w:color w:val="auto"/>
              </w:rPr>
            </w:pPr>
          </w:p>
        </w:tc>
        <w:tc>
          <w:tcPr>
            <w:tcW w:w="678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4"/>
                <w:szCs w:val="14"/>
                <w:color w:val="0000FF"/>
              </w:rPr>
              <w:t>30</w:t>
            </w:r>
          </w:p>
        </w:tc>
      </w:tr>
      <w:tr>
        <w:trPr>
          <w:trHeight w:val="20"/>
        </w:trPr>
        <w:tc>
          <w:tcPr>
            <w:tcW w:w="2920" w:type="dxa"/>
            <w:vAlign w:val="bottom"/>
            <w:gridSpan w:val="11"/>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6"/>
        </w:trPr>
        <w:tc>
          <w:tcPr>
            <w:tcW w:w="4480" w:type="dxa"/>
            <w:vAlign w:val="bottom"/>
            <w:gridSpan w:val="14"/>
          </w:tcPr>
          <w:p>
            <w:pPr>
              <w:spacing w:after="0" w:line="156" w:lineRule="exact"/>
              <w:rPr>
                <w:sz w:val="20"/>
                <w:szCs w:val="20"/>
                <w:color w:val="auto"/>
              </w:rPr>
            </w:pPr>
            <w:r>
              <w:rPr>
                <w:rFonts w:ascii="Times New Roman" w:cs="Times New Roman" w:eastAsia="Times New Roman" w:hAnsi="Times New Roman"/>
                <w:sz w:val="14"/>
                <w:szCs w:val="14"/>
                <w:color w:val="0000FF"/>
              </w:rPr>
              <w:t>INCORPORATION OF CERTAIN INFORMATION BY REFERENCE</w:t>
            </w:r>
          </w:p>
        </w:tc>
        <w:tc>
          <w:tcPr>
            <w:tcW w:w="678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4"/>
                <w:szCs w:val="14"/>
                <w:color w:val="0000FF"/>
              </w:rPr>
              <w:t>31</w:t>
            </w:r>
          </w:p>
        </w:tc>
      </w:tr>
      <w:tr>
        <w:trPr>
          <w:trHeight w:val="20"/>
        </w:trPr>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1260"/>
          </w:cols>
          <w:pgMar w:left="320" w:top="1240" w:right="31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33" w:lineRule="exact"/>
        <w:rPr>
          <w:sz w:val="20"/>
          <w:szCs w:val="20"/>
          <w:color w:val="auto"/>
        </w:rPr>
      </w:pPr>
    </w:p>
    <w:p>
      <w:pPr>
        <w:jc w:val="both"/>
        <w:ind w:right="240"/>
        <w:spacing w:after="0" w:line="259" w:lineRule="auto"/>
        <w:rPr>
          <w:sz w:val="20"/>
          <w:szCs w:val="20"/>
          <w:color w:val="auto"/>
        </w:rPr>
      </w:pPr>
      <w:r>
        <w:rPr>
          <w:rFonts w:ascii="Times New Roman" w:cs="Times New Roman" w:eastAsia="Times New Roman" w:hAnsi="Times New Roman"/>
          <w:sz w:val="14"/>
          <w:szCs w:val="14"/>
          <w:color w:val="auto"/>
        </w:rPr>
        <w:t>This prospectus is part of a registration statement on Form S-3 that we filed with the Securities and Exchange Commission, or SEC, utilizing a “shelf” registration process. Under this shelf registration statement, we may, from time to time, sell any combination of the securities described in this prospectus in one or more offerings up to a total aggregate offering price of $500,000,000. This prospectus provides you with a general description of the securities we may offer.</w:t>
      </w:r>
    </w:p>
    <w:p>
      <w:pPr>
        <w:spacing w:after="0" w:line="9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4"/>
          <w:szCs w:val="14"/>
          <w:color w:val="auto"/>
        </w:rPr>
        <w:t>Each time we sell securities under this prospectus, we will provide a prospectus supplement that will contain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You should read this prospectus, any applicable prospectus supplement and any related free writing prospectus, together with the information incorporated herein by reference as described under the heading “Incorporation of Certain Information by Reference,” before investing in any of the securities offered.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THIS PROSPECTUS MAY NOT BE USED TO CONSUMMATE A SALE OF SECURITIES UNLESS IT IS ACCOMPANIED BY A PROSPECTUS SUPPLEMENT.</w:t>
      </w:r>
    </w:p>
    <w:p>
      <w:pPr>
        <w:spacing w:after="0" w:line="13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4"/>
          <w:szCs w:val="14"/>
          <w:color w:val="auto"/>
        </w:rPr>
        <w:t>Neither we, nor any agent, underwriter or dealer has authorized any person to give any information or to make any representation other than those contained or incorporated by reference in this prospectus, any applicable prospectus supplement or any related free writing prospectus prepared by or on behalf of us or to which we have referred you. This prospectus, any applicable supplement to this prospectus or any related free writing prospectus do not constitute an offer to sell or the solicitation of an offer to buy any securities other than the registered securities to which they relate, nor do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w:t>
      </w:r>
    </w:p>
    <w:p>
      <w:pPr>
        <w:spacing w:after="0" w:line="10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w:t>
      </w:r>
    </w:p>
    <w:p>
      <w:pPr>
        <w:spacing w:after="0" w:line="9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4"/>
          <w:szCs w:val="14"/>
          <w:color w:val="auto"/>
        </w:rPr>
        <w:t>This prospectus and the information incorporated herein by reference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used in this prospectus, unless the context otherwise requires, references to “we,” “us,” “our,” “the company,” “Acumen” and “Acumen Pharmaceuticals” refer to Acumen Pharmaceuticals, Inc.</w:t>
      </w:r>
    </w:p>
    <w:p>
      <w:pPr>
        <w:spacing w:after="0" w:line="129"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4"/>
          <w:szCs w:val="14"/>
          <w:color w:val="auto"/>
        </w:rPr>
        <w:t>All trademarks, trade names and service marks referred to in this prospectus are the property of their respective owners. Solely for convenience, the trademarks and trade names in this prospectus are referred to without the symbols ® and ™, but such references should not be construed as any indication that their respective owners will not assert, to the fullest extent under applicable law, their rights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280"/>
          </w:cols>
          <w:pgMar w:left="300" w:top="1240" w:right="319" w:bottom="1440" w:gutter="0" w:footer="0" w:header="0"/>
        </w:sectPr>
      </w:pPr>
    </w:p>
    <w:bookmarkStart w:id="4" w:name="page5"/>
    <w:bookmarkEnd w:id="4"/>
    <w:p>
      <w:pPr>
        <w:spacing w:after="0" w:line="3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716280</wp:posOffset>
            </wp:positionV>
            <wp:extent cx="7170420" cy="45173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0420" cy="451739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SUMMARY</w:t>
      </w:r>
    </w:p>
    <w:p>
      <w:pPr>
        <w:spacing w:after="0" w:line="1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4"/>
          <w:szCs w:val="14"/>
          <w:i w:val="1"/>
          <w:iCs w:val="1"/>
          <w:color w:val="auto"/>
        </w:rPr>
        <w:t>This summary highlights selected information from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related notes, and the exhibits to the registration statement of which this prospectus is a part, before making your investment decision.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33"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4"/>
          <w:szCs w:val="14"/>
          <w:color w:val="auto"/>
        </w:rPr>
        <w:t>We are a clinical-stage biopharmaceutical company developing a novel disease-modifying approach targeting what we believe to be a key underlying cause of Alzheimer’s disease, or AD. Alzheimer’s disease is a progressive neurodegenerative disease of the brain that leads to loss of memory and cognitive functions and ultimately results in death. Our scientific founders pioneered research on soluble amyloid-beta oligomers, or AβOs, which are globular assemblies of the amyloid-beta, or Aβ, peptide that are distinct from Aβ monomers and amyloid plaques. Based on decades of research and supporting evidence, AβOs have gained increasing scientific acceptance as a primary toxin involved in the initiation and propagation of AD pathology. We are currently focused on advancing a targeted immunotherapy drug candidate, sabirnetug, in our Phase 2 ALTITUDE-AD clinical trial. We plan to announce top-line results in November 2026. Top-line results are expected to include the difference compared to placebo after 18 months as measured by the Integrated Alzheimer’s Disease Rating Scale, or iADRS, our primary clinical efficacy endpoint, as well as key secondary endpoints, such as Clinical Dementia Rating – Sum of the Boxes, certain safety measures such as adverse event rates, including amyloid-related imaging abnormalities, and key biomarkers. ALTITUDE-AD is a randomized, double-blind, placebo-controlled, three-arm clinical trial designed to evaluate the clinical efficacy, safety and tolerability of sabirnetug with up to 180 participants per arm for a total of 542 participants with mild cognitive impairment or mild dementia due to AD. We plan to use iADRS at 18 months as the primary outcome measure. The active doses for ALTITUDE-AD are 35 mg/kg and 50 mg/kg, dosed intravenously every four weeks. These dose levels and frequency were selected based on extensive pharmacokinetic and pharmacodynamic modeling of our Phase 1 INTERCEPT-AD clinical trial of sabirnetug. Participants who complete the double-blind portion of ALTITUDE-AD are eligible to enroll in an open-label extension portion of the clinical trial. Sabirnetug is a recombinant humanized immunoglobulin gamma 2 monoclonal antibody that was designed to selectively target AβOs. In July 2023, we announced top-line results from INTERCEPT-AD, which demonstrated that sabirnetug met the primary and secondary objectives of this clinical trial in 62 participants with early AD.</w:t>
      </w:r>
    </w:p>
    <w:p>
      <w:pPr>
        <w:spacing w:after="0" w:line="112"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4"/>
          <w:szCs w:val="14"/>
          <w:color w:val="auto"/>
        </w:rPr>
        <w:t>We announced the results of a Phase 1 clinical trial investigating a subcutaneous dosing option of sabirnetug in March 2025. This study in healthy volunteers enrolled 16 subjects who received four weekly subcutaneous doses of 1,200 mg of sabirnetug and 12 subjects who received a single intravenous dose of 2,800 mg of sabirnetug. The most frequently reported adverse events included injection site reactions (62.5%), all of which were mild (Grade 1) in severity and resolved. No other safety issues were identified. Additionally, subcutaneous administration of sabirnetug was shown to produce sufficient systemic exposure to support further development of this formulation as a more convenient administration option for patients.</w:t>
      </w:r>
    </w:p>
    <w:p>
      <w:pPr>
        <w:spacing w:after="0" w:line="103" w:lineRule="exact"/>
        <w:rPr>
          <w:sz w:val="20"/>
          <w:szCs w:val="20"/>
          <w:color w:val="auto"/>
        </w:rPr>
      </w:pPr>
    </w:p>
    <w:p>
      <w:pPr>
        <w:ind w:right="20"/>
        <w:spacing w:after="0" w:line="216" w:lineRule="auto"/>
        <w:rPr>
          <w:sz w:val="20"/>
          <w:szCs w:val="20"/>
          <w:color w:val="auto"/>
        </w:rPr>
      </w:pPr>
      <w:r>
        <w:rPr>
          <w:rFonts w:ascii="Times New Roman" w:cs="Times New Roman" w:eastAsia="Times New Roman" w:hAnsi="Times New Roman"/>
          <w:sz w:val="14"/>
          <w:szCs w:val="14"/>
          <w:color w:val="auto"/>
        </w:rPr>
        <w:t>In addition, we are investigating a blood-brain barrier-penetrating, Aβ oligomer-targeted Enhanced Brain Delivery™ (EBD</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4"/>
          <w:szCs w:val="14"/>
          <w:color w:val="auto"/>
        </w:rPr>
        <w:t>) therapy for the treatment of AD. In March 2026, we announced certain preclinical data from EBD</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4"/>
          <w:szCs w:val="14"/>
          <w:color w:val="auto"/>
        </w:rPr>
        <w:t xml:space="preserve"> candidates, including </w:t>
      </w:r>
      <w:r>
        <w:rPr>
          <w:rFonts w:ascii="Times New Roman" w:cs="Times New Roman" w:eastAsia="Times New Roman" w:hAnsi="Times New Roman"/>
          <w:sz w:val="14"/>
          <w:szCs w:val="14"/>
          <w:i w:val="1"/>
          <w:iCs w:val="1"/>
          <w:color w:val="auto"/>
        </w:rPr>
        <w:t>in vitro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 vivo</w:t>
      </w:r>
      <w:r>
        <w:rPr>
          <w:rFonts w:ascii="Times New Roman" w:cs="Times New Roman" w:eastAsia="Times New Roman" w:hAnsi="Times New Roman"/>
          <w:sz w:val="14"/>
          <w:szCs w:val="14"/>
          <w:color w:val="auto"/>
        </w:rPr>
        <w:t xml:space="preserve"> and non-human primate study results, supporting the advancement of the EBD</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4"/>
          <w:szCs w:val="14"/>
          <w:color w:val="auto"/>
        </w:rPr>
        <w:t xml:space="preserve"> program: (1) EBD</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4"/>
          <w:szCs w:val="14"/>
          <w:color w:val="auto"/>
        </w:rPr>
        <w:t xml:space="preserve"> candidates achieved 14-40x higher brain levels in non-human primates compared to native antibodies 24 hours after dosing; (2) hematology data in non-human primates indicated low potential for anemia, including that, at 24 hours after subcutaneous dosing, EBD</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4"/>
          <w:szCs w:val="14"/>
          <w:color w:val="auto"/>
        </w:rPr>
        <w:t xml:space="preserve"> candidates demonstrated no observed change in red blood cell count, hematocrit, hemoglobin or reticulocyte count; and (3) favorable stability profile and enhanced brain delivery support a path to subcutaneous administration with low-volume devices. Following these robust preclinical data from both </w:t>
      </w:r>
      <w:r>
        <w:rPr>
          <w:rFonts w:ascii="Times New Roman" w:cs="Times New Roman" w:eastAsia="Times New Roman" w:hAnsi="Times New Roman"/>
          <w:sz w:val="14"/>
          <w:szCs w:val="14"/>
          <w:i w:val="1"/>
          <w:iCs w:val="1"/>
          <w:color w:val="auto"/>
        </w:rPr>
        <w:t>in vitro</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in vivo</w:t>
      </w:r>
      <w:r>
        <w:rPr>
          <w:rFonts w:ascii="Times New Roman" w:cs="Times New Roman" w:eastAsia="Times New Roman" w:hAnsi="Times New Roman"/>
          <w:sz w:val="14"/>
          <w:szCs w:val="14"/>
          <w:color w:val="auto"/>
        </w:rPr>
        <w:t xml:space="preserve"> studies, in June 2026 we announced the nomination of two EBD</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4"/>
          <w:szCs w:val="14"/>
          <w:color w:val="auto"/>
        </w:rPr>
        <w:t xml:space="preserve"> development candidates, ACU301 and ACU401. Based on these developments, an investigational new drug, or IND, application for the lead candidate is targeted for mid-2027. This stems from our July 2025 entry into a collaboration,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200"/>
          </w:cols>
          <w:pgMar w:left="820" w:top="1440" w:right="879" w:bottom="1440" w:gutter="0" w:footer="0" w:header="0"/>
        </w:sectPr>
      </w:pPr>
    </w:p>
    <w:bookmarkStart w:id="5" w:name="page6"/>
    <w:bookmarkEnd w:id="5"/>
    <w:p>
      <w:pPr>
        <w:spacing w:after="0" w:line="1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716280</wp:posOffset>
            </wp:positionV>
            <wp:extent cx="7170420" cy="44126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0420" cy="4412615"/>
                    </a:xfrm>
                    <a:prstGeom prst="rect">
                      <a:avLst/>
                    </a:prstGeom>
                    <a:noFill/>
                  </pic:spPr>
                </pic:pic>
              </a:graphicData>
            </a:graphic>
          </wp:anchor>
        </w:drawing>
      </w:r>
    </w:p>
    <w:p>
      <w:pPr>
        <w:ind w:left="7"/>
        <w:spacing w:after="0" w:line="228" w:lineRule="auto"/>
        <w:rPr>
          <w:sz w:val="20"/>
          <w:szCs w:val="20"/>
          <w:color w:val="auto"/>
        </w:rPr>
      </w:pPr>
      <w:r>
        <w:rPr>
          <w:rFonts w:ascii="Times New Roman" w:cs="Times New Roman" w:eastAsia="Times New Roman" w:hAnsi="Times New Roman"/>
          <w:sz w:val="14"/>
          <w:szCs w:val="14"/>
          <w:color w:val="auto"/>
        </w:rPr>
        <w:t>option and license agreement with JCR Pharmaceuticals Co. Ltd., or JCR, to develop an Aβ oligomer-targeted EBD</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4"/>
          <w:szCs w:val="14"/>
          <w:color w:val="auto"/>
        </w:rPr>
        <w:t xml:space="preserve"> therapy for the treatment of AD. Under the terms of the agreement, during the year ended December 31, 2025, we made an upfront license payment to JCR and, in June 2026, we exercised our exclusive option to license and develop two EBD</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4"/>
          <w:szCs w:val="14"/>
          <w:color w:val="auto"/>
        </w:rPr>
        <w:t xml:space="preserve"> development candidates, which required an option exercise payment of $9.25 million that was paid to JCR in July 2026. JCR will also be eligible to receive future milestone payments of up to $40.0 million related to development, and up to $515.0 million related to sales, for a total of up to $555.0 million, as well as single-digit percentage royalties on sales of any products that emerge from the collaboration. The combination of sabirnetug or additional, novel, AβO-selective antibodies with JCR’s blood-brain barrier-penetrating technology, J-Brain Cargo</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4"/>
          <w:szCs w:val="14"/>
          <w:color w:val="auto"/>
        </w:rPr>
        <w:t>, strengthens our portfolio of AβO-targeted therapies. The partnership is designed to advance potential next-generation treatment options for people living with AD, by targeting the development of products with enhanced efficacy, safety and convenience.</w:t>
      </w:r>
    </w:p>
    <w:p>
      <w:pPr>
        <w:spacing w:after="0" w:line="10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33" w:lineRule="exact"/>
        <w:rPr>
          <w:sz w:val="20"/>
          <w:szCs w:val="20"/>
          <w:color w:val="auto"/>
        </w:rPr>
      </w:pPr>
    </w:p>
    <w:p>
      <w:pPr>
        <w:ind w:left="7" w:right="200"/>
        <w:spacing w:after="0" w:line="259" w:lineRule="auto"/>
        <w:rPr>
          <w:sz w:val="20"/>
          <w:szCs w:val="20"/>
          <w:color w:val="auto"/>
        </w:rPr>
      </w:pPr>
      <w:r>
        <w:rPr>
          <w:rFonts w:ascii="Times New Roman" w:cs="Times New Roman" w:eastAsia="Times New Roman" w:hAnsi="Times New Roman"/>
          <w:sz w:val="14"/>
          <w:szCs w:val="14"/>
          <w:color w:val="auto"/>
        </w:rPr>
        <w:t xml:space="preserve">We were incorporated under the laws of the State of Delaware in 1996. Our principal executive offices are located at 1210-1220 Washington Street, Suite 210, Newton, Massachusetts 02465 and our telephone number is (617) 344-4190. Our website address is </w:t>
      </w:r>
      <w:r>
        <w:rPr>
          <w:rFonts w:ascii="Times New Roman" w:cs="Times New Roman" w:eastAsia="Times New Roman" w:hAnsi="Times New Roman"/>
          <w:sz w:val="14"/>
          <w:szCs w:val="14"/>
          <w:i w:val="1"/>
          <w:iCs w:val="1"/>
          <w:color w:val="auto"/>
        </w:rPr>
        <w:t>http://www.acumenpharm.com/</w:t>
      </w:r>
      <w:r>
        <w:rPr>
          <w:rFonts w:ascii="Times New Roman" w:cs="Times New Roman" w:eastAsia="Times New Roman" w:hAnsi="Times New Roman"/>
          <w:sz w:val="14"/>
          <w:szCs w:val="14"/>
          <w:color w:val="auto"/>
        </w:rPr>
        <w:t>. The information contained on, or accessible through, our website is not incorporated by reference into this prospectus. We have included our website in this prospectus solely as an inactive textual reference.</w:t>
      </w:r>
    </w:p>
    <w:p>
      <w:pPr>
        <w:spacing w:after="0" w:line="9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4"/>
          <w:szCs w:val="14"/>
          <w:b w:val="1"/>
          <w:bCs w:val="1"/>
          <w:color w:val="auto"/>
        </w:rPr>
        <w:t>Implications of Being an Emerging Growth Company and a Smaller Reporting Company</w:t>
      </w:r>
    </w:p>
    <w:p>
      <w:pPr>
        <w:spacing w:after="0" w:line="133" w:lineRule="exact"/>
        <w:rPr>
          <w:sz w:val="20"/>
          <w:szCs w:val="20"/>
          <w:color w:val="auto"/>
        </w:rPr>
      </w:pPr>
    </w:p>
    <w:p>
      <w:pPr>
        <w:ind w:left="7" w:right="100"/>
        <w:spacing w:after="0" w:line="312" w:lineRule="auto"/>
        <w:rPr>
          <w:sz w:val="20"/>
          <w:szCs w:val="20"/>
          <w:color w:val="auto"/>
        </w:rPr>
      </w:pPr>
      <w:r>
        <w:rPr>
          <w:rFonts w:ascii="Times New Roman" w:cs="Times New Roman" w:eastAsia="Times New Roman" w:hAnsi="Times New Roman"/>
          <w:sz w:val="13"/>
          <w:szCs w:val="13"/>
          <w:color w:val="auto"/>
        </w:rPr>
        <w:t>We qualify as an “emerging growth company” as defined in the Jumpstart Our Business Startups Act of 2012, or the JOBS Act. For so long as we remain an emerging growth company, we may take advantage of relief from certain reporting requirements and other burdens that are otherwise applicable generally to public companies. These provisions include:</w:t>
      </w:r>
    </w:p>
    <w:p>
      <w:pPr>
        <w:spacing w:after="0" w:line="66" w:lineRule="exact"/>
        <w:rPr>
          <w:sz w:val="20"/>
          <w:szCs w:val="20"/>
          <w:color w:val="auto"/>
        </w:rPr>
      </w:pPr>
    </w:p>
    <w:p>
      <w:pPr>
        <w:ind w:left="487" w:right="380" w:hanging="239"/>
        <w:spacing w:after="0" w:line="312" w:lineRule="auto"/>
        <w:tabs>
          <w:tab w:leader="none" w:pos="484"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reduced obligations with respect to financial data, including only being required to present two years of audited financial statements, in addition to any required unaudited interim financial statements with correspondingly reduced “Management’s Discussion and Analysis of Financial Condition and Results of Operations” disclosure;</w:t>
      </w:r>
    </w:p>
    <w:p>
      <w:pPr>
        <w:spacing w:after="0" w:line="66" w:lineRule="exact"/>
        <w:rPr>
          <w:rFonts w:ascii="Times New Roman" w:cs="Times New Roman" w:eastAsia="Times New Roman" w:hAnsi="Times New Roman"/>
          <w:sz w:val="13"/>
          <w:szCs w:val="13"/>
          <w:color w:val="auto"/>
        </w:rPr>
      </w:pPr>
    </w:p>
    <w:p>
      <w:pPr>
        <w:ind w:left="487" w:hanging="239"/>
        <w:spacing w:after="0"/>
        <w:tabs>
          <w:tab w:leader="none" w:pos="487"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exception from compliance with the auditor attestation requirements of Section 404 of the Sarbanes-Oxley Act of 2002, as amended;</w:t>
      </w:r>
    </w:p>
    <w:p>
      <w:pPr>
        <w:spacing w:after="0" w:line="128" w:lineRule="exact"/>
        <w:rPr>
          <w:rFonts w:ascii="Times New Roman" w:cs="Times New Roman" w:eastAsia="Times New Roman" w:hAnsi="Times New Roman"/>
          <w:sz w:val="14"/>
          <w:szCs w:val="14"/>
          <w:color w:val="auto"/>
        </w:rPr>
      </w:pPr>
    </w:p>
    <w:p>
      <w:pPr>
        <w:ind w:left="487" w:hanging="239"/>
        <w:spacing w:after="0"/>
        <w:tabs>
          <w:tab w:leader="none" w:pos="487"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disclosure obligations about our executive compensation arrangements in our periodic reports, proxy statements and registration statements;</w:t>
      </w:r>
    </w:p>
    <w:p>
      <w:pPr>
        <w:spacing w:after="0" w:line="128" w:lineRule="exact"/>
        <w:rPr>
          <w:rFonts w:ascii="Times New Roman" w:cs="Times New Roman" w:eastAsia="Times New Roman" w:hAnsi="Times New Roman"/>
          <w:sz w:val="14"/>
          <w:szCs w:val="14"/>
          <w:color w:val="auto"/>
        </w:rPr>
      </w:pPr>
    </w:p>
    <w:p>
      <w:pPr>
        <w:ind w:left="487" w:right="500" w:hanging="239"/>
        <w:spacing w:after="0" w:line="273" w:lineRule="auto"/>
        <w:tabs>
          <w:tab w:leader="none" w:pos="484"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exemptions from the requirements of holding non-binding advisory votes on executive compensation or stockholder approval of any golden parachute arrangements not previously approved; and</w:t>
      </w:r>
    </w:p>
    <w:p>
      <w:pPr>
        <w:spacing w:after="0" w:line="88" w:lineRule="exact"/>
        <w:rPr>
          <w:rFonts w:ascii="Times New Roman" w:cs="Times New Roman" w:eastAsia="Times New Roman" w:hAnsi="Times New Roman"/>
          <w:sz w:val="14"/>
          <w:szCs w:val="14"/>
          <w:color w:val="auto"/>
        </w:rPr>
      </w:pPr>
    </w:p>
    <w:p>
      <w:pPr>
        <w:ind w:left="487" w:right="40" w:hanging="239"/>
        <w:spacing w:after="0" w:line="273" w:lineRule="auto"/>
        <w:tabs>
          <w:tab w:leader="none" w:pos="484"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exemption from compliance with the requirements of the Public Company Accounting Oversight Board regarding the communication of critical audit matters in the auditor’s report on financial statements.</w:t>
      </w:r>
    </w:p>
    <w:p>
      <w:pPr>
        <w:spacing w:after="0" w:line="89" w:lineRule="exact"/>
        <w:rPr>
          <w:sz w:val="20"/>
          <w:szCs w:val="20"/>
          <w:color w:val="auto"/>
        </w:rPr>
      </w:pPr>
    </w:p>
    <w:p>
      <w:pPr>
        <w:ind w:left="7" w:right="20"/>
        <w:spacing w:after="0" w:line="272" w:lineRule="auto"/>
        <w:rPr>
          <w:sz w:val="20"/>
          <w:szCs w:val="20"/>
          <w:color w:val="auto"/>
        </w:rPr>
      </w:pPr>
      <w:r>
        <w:rPr>
          <w:rFonts w:ascii="Times New Roman" w:cs="Times New Roman" w:eastAsia="Times New Roman" w:hAnsi="Times New Roman"/>
          <w:sz w:val="13"/>
          <w:szCs w:val="13"/>
          <w:color w:val="auto"/>
        </w:rPr>
        <w:t>We may take advantage of these provisions until we no longer qualify as an emerging growth company. We will cease to qualify as an emerging growth company on the date that is the earliest of: (i) December 31, 2026, (ii) the last day of the fiscal year in which we have more than $1.235 billion in total annual gross revenues, (iii) the date on which we are deemed to be a “large accelerated filer” under the rules of the SEC, which means the market value of our common stock that is held by non-affiliates exceeds $700 million as of the prior June 30th, or</w:t>
      </w:r>
    </w:p>
    <w:p>
      <w:pPr>
        <w:spacing w:after="0" w:line="1" w:lineRule="exact"/>
        <w:rPr>
          <w:sz w:val="20"/>
          <w:szCs w:val="20"/>
          <w:color w:val="auto"/>
        </w:rPr>
      </w:pPr>
    </w:p>
    <w:p>
      <w:pPr>
        <w:ind w:left="7" w:right="340" w:hanging="7"/>
        <w:spacing w:after="0" w:line="274" w:lineRule="auto"/>
        <w:tabs>
          <w:tab w:leader="none" w:pos="241"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date on which we have issued more than $1.0 billion of non-convertible debt over the prior three-year period. We expect to cease to be an emerging growth company on December 31, 2026. Thereafter, we will no longer be able to rely on the exemptions and reduced disclosure requirements available to emerging growth companies described above, although we may continue to rely on certain scaled disclosure accommodations available to smaller reporting companies for so long as we continue to qualify as a smaller reporting company. We may choose to take advantage of some but not all of these reduced reporting burdens. We have taken advantage of certain reduced reporting requirements in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267"/>
          </w:cols>
          <w:pgMar w:left="813" w:top="1440" w:right="819" w:bottom="1440" w:gutter="0" w:footer="0" w:header="0"/>
        </w:sectPr>
      </w:pPr>
    </w:p>
    <w:bookmarkStart w:id="6" w:name="page7"/>
    <w:bookmarkEnd w:id="6"/>
    <w:p>
      <w:pPr>
        <w:spacing w:after="0" w:line="1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716280</wp:posOffset>
            </wp:positionV>
            <wp:extent cx="7170420" cy="48590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0420" cy="48590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prospectus. Accordingly, the information contained herein may be different than you might obtain from other public companies in which you hold equity interests.</w:t>
      </w:r>
    </w:p>
    <w:p>
      <w:pPr>
        <w:spacing w:after="0" w:line="1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4"/>
          <w:szCs w:val="14"/>
          <w:color w:val="auto"/>
        </w:rPr>
        <w:t>In addition, under the JOBS Act, emerging growth companies can delay adopting new or revised accounting standards until such time as those standards apply to private companies. 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As a result of these elections, the information that we provide in this prospectus may be different than the information you may receive from other public companies in which you hold equity interests. In addition, it is possible that some investors will find our common stock less attractive as a result of these elections, which may result in a less active trading market for our common stock and higher volatility in our share price.</w:t>
      </w:r>
    </w:p>
    <w:p>
      <w:pPr>
        <w:spacing w:after="0" w:line="104"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4"/>
          <w:szCs w:val="14"/>
          <w:color w:val="auto"/>
        </w:rPr>
        <w:t>We are also a “smaller reporting company,” meaning that the market value of our shares held by non-affiliates is less than $700 million and our annual revenue was less than $100 million during the most recently completed fiscal year. We may continue to be a smaller reporting company if either (i) the market value of our shares held by non-affiliates is less than $250 million or (ii) our annual revenue was less than $100 million during the most recently completed fiscal year and the market value of our shares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Securities We May Offer</w:t>
      </w:r>
    </w:p>
    <w:p>
      <w:pPr>
        <w:spacing w:after="0" w:line="13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4"/>
          <w:szCs w:val="14"/>
          <w:color w:val="auto"/>
        </w:rPr>
        <w:t>We may offer shares of our common stock and preferred stock, various series of debt securities and/or warrants to purchase any of such securities, either individually or in combination, up to a total aggregate offering price of $500,000,000 from time to time in one or more offerings under this prospectus, together with any applicable prospectus supplement and any related free writing prospectus, at prices and on terms to be determined by market conditions at the time of the relevant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103" w:lineRule="exact"/>
        <w:rPr>
          <w:sz w:val="20"/>
          <w:szCs w:val="20"/>
          <w:color w:val="auto"/>
        </w:rPr>
      </w:pPr>
    </w:p>
    <w:p>
      <w:pPr>
        <w:ind w:left="480" w:hanging="239"/>
        <w:spacing w:after="0"/>
        <w:tabs>
          <w:tab w:leader="none" w:pos="4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designation or classification;</w:t>
      </w:r>
    </w:p>
    <w:p>
      <w:pPr>
        <w:spacing w:after="0" w:line="128" w:lineRule="exact"/>
        <w:rPr>
          <w:rFonts w:ascii="Times New Roman" w:cs="Times New Roman" w:eastAsia="Times New Roman" w:hAnsi="Times New Roman"/>
          <w:sz w:val="14"/>
          <w:szCs w:val="14"/>
          <w:color w:val="auto"/>
        </w:rPr>
      </w:pPr>
    </w:p>
    <w:p>
      <w:pPr>
        <w:ind w:left="480" w:hanging="239"/>
        <w:spacing w:after="0"/>
        <w:tabs>
          <w:tab w:leader="none" w:pos="4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aggregate principal amount or aggregate offering price;</w:t>
      </w:r>
    </w:p>
    <w:p>
      <w:pPr>
        <w:spacing w:after="0" w:line="128" w:lineRule="exact"/>
        <w:rPr>
          <w:rFonts w:ascii="Times New Roman" w:cs="Times New Roman" w:eastAsia="Times New Roman" w:hAnsi="Times New Roman"/>
          <w:sz w:val="14"/>
          <w:szCs w:val="14"/>
          <w:color w:val="auto"/>
        </w:rPr>
      </w:pPr>
    </w:p>
    <w:p>
      <w:pPr>
        <w:ind w:left="480" w:hanging="239"/>
        <w:spacing w:after="0"/>
        <w:tabs>
          <w:tab w:leader="none" w:pos="4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maturity date, if applicable;</w:t>
      </w:r>
    </w:p>
    <w:p>
      <w:pPr>
        <w:spacing w:after="0" w:line="128" w:lineRule="exact"/>
        <w:rPr>
          <w:rFonts w:ascii="Times New Roman" w:cs="Times New Roman" w:eastAsia="Times New Roman" w:hAnsi="Times New Roman"/>
          <w:sz w:val="14"/>
          <w:szCs w:val="14"/>
          <w:color w:val="auto"/>
        </w:rPr>
      </w:pPr>
    </w:p>
    <w:p>
      <w:pPr>
        <w:ind w:left="480" w:hanging="239"/>
        <w:spacing w:after="0"/>
        <w:tabs>
          <w:tab w:leader="none" w:pos="4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original issue discount, if any;</w:t>
      </w:r>
    </w:p>
    <w:p>
      <w:pPr>
        <w:spacing w:after="0" w:line="128" w:lineRule="exact"/>
        <w:rPr>
          <w:rFonts w:ascii="Times New Roman" w:cs="Times New Roman" w:eastAsia="Times New Roman" w:hAnsi="Times New Roman"/>
          <w:sz w:val="14"/>
          <w:szCs w:val="14"/>
          <w:color w:val="auto"/>
        </w:rPr>
      </w:pPr>
    </w:p>
    <w:p>
      <w:pPr>
        <w:ind w:left="480" w:hanging="239"/>
        <w:spacing w:after="0"/>
        <w:tabs>
          <w:tab w:leader="none" w:pos="4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rates and times of payment of interest or dividends, if any;</w:t>
      </w:r>
    </w:p>
    <w:p>
      <w:pPr>
        <w:spacing w:after="0" w:line="128" w:lineRule="exact"/>
        <w:rPr>
          <w:rFonts w:ascii="Times New Roman" w:cs="Times New Roman" w:eastAsia="Times New Roman" w:hAnsi="Times New Roman"/>
          <w:sz w:val="14"/>
          <w:szCs w:val="14"/>
          <w:color w:val="auto"/>
        </w:rPr>
      </w:pPr>
    </w:p>
    <w:p>
      <w:pPr>
        <w:ind w:left="480" w:hanging="239"/>
        <w:spacing w:after="0"/>
        <w:tabs>
          <w:tab w:leader="none" w:pos="4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redemption, conversion, exchange or sinking fund terms, if any;</w:t>
      </w:r>
    </w:p>
    <w:p>
      <w:pPr>
        <w:spacing w:after="0" w:line="128" w:lineRule="exact"/>
        <w:rPr>
          <w:rFonts w:ascii="Times New Roman" w:cs="Times New Roman" w:eastAsia="Times New Roman" w:hAnsi="Times New Roman"/>
          <w:sz w:val="14"/>
          <w:szCs w:val="14"/>
          <w:color w:val="auto"/>
        </w:rPr>
      </w:pPr>
    </w:p>
    <w:p>
      <w:pPr>
        <w:ind w:left="480" w:right="80" w:hanging="239"/>
        <w:spacing w:after="0" w:line="273" w:lineRule="auto"/>
        <w:tabs>
          <w:tab w:leader="none" w:pos="47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conversion or exchange prices or rates, if any, and, if applicable, any provisions for changes to or adjustments in the conversion or exchange prices or rates and in the securities or other property receivable upon conversion or exchange;</w:t>
      </w:r>
    </w:p>
    <w:p>
      <w:pPr>
        <w:spacing w:after="0" w:line="88" w:lineRule="exact"/>
        <w:rPr>
          <w:rFonts w:ascii="Times New Roman" w:cs="Times New Roman" w:eastAsia="Times New Roman" w:hAnsi="Times New Roman"/>
          <w:sz w:val="14"/>
          <w:szCs w:val="14"/>
          <w:color w:val="auto"/>
        </w:rPr>
      </w:pPr>
    </w:p>
    <w:p>
      <w:pPr>
        <w:ind w:left="480" w:hanging="239"/>
        <w:spacing w:after="0"/>
        <w:tabs>
          <w:tab w:leader="none" w:pos="4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ranking;</w:t>
      </w:r>
    </w:p>
    <w:p>
      <w:pPr>
        <w:spacing w:after="0" w:line="128" w:lineRule="exact"/>
        <w:rPr>
          <w:rFonts w:ascii="Times New Roman" w:cs="Times New Roman" w:eastAsia="Times New Roman" w:hAnsi="Times New Roman"/>
          <w:sz w:val="14"/>
          <w:szCs w:val="14"/>
          <w:color w:val="auto"/>
        </w:rPr>
      </w:pPr>
    </w:p>
    <w:p>
      <w:pPr>
        <w:ind w:left="480" w:hanging="239"/>
        <w:spacing w:after="0"/>
        <w:tabs>
          <w:tab w:leader="none" w:pos="4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restrictive covenants,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240"/>
          </w:cols>
          <w:pgMar w:left="820" w:top="1440" w:right="839" w:bottom="1440" w:gutter="0" w:footer="0" w:header="0"/>
        </w:sectPr>
      </w:pPr>
    </w:p>
    <w:bookmarkStart w:id="7" w:name="page8"/>
    <w:bookmarkEnd w:id="7"/>
    <w:p>
      <w:pPr>
        <w:spacing w:after="0" w:line="1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716280</wp:posOffset>
            </wp:positionV>
            <wp:extent cx="7170420" cy="46748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0420" cy="4674870"/>
                    </a:xfrm>
                    <a:prstGeom prst="rect">
                      <a:avLst/>
                    </a:prstGeom>
                    <a:noFill/>
                  </pic:spPr>
                </pic:pic>
              </a:graphicData>
            </a:graphic>
          </wp:anchor>
        </w:drawing>
      </w:r>
    </w:p>
    <w:p>
      <w:pPr>
        <w:ind w:left="480" w:hanging="239"/>
        <w:spacing w:after="0"/>
        <w:tabs>
          <w:tab w:leader="none" w:pos="4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voting or other rights, if any; and</w:t>
      </w:r>
    </w:p>
    <w:p>
      <w:pPr>
        <w:spacing w:after="0" w:line="128" w:lineRule="exact"/>
        <w:rPr>
          <w:rFonts w:ascii="Times New Roman" w:cs="Times New Roman" w:eastAsia="Times New Roman" w:hAnsi="Times New Roman"/>
          <w:sz w:val="14"/>
          <w:szCs w:val="14"/>
          <w:color w:val="auto"/>
        </w:rPr>
      </w:pPr>
    </w:p>
    <w:p>
      <w:pPr>
        <w:ind w:left="480" w:hanging="239"/>
        <w:spacing w:after="0"/>
        <w:tabs>
          <w:tab w:leader="none" w:pos="4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material U.S. federal income tax considerations.</w:t>
      </w:r>
    </w:p>
    <w:p>
      <w:pPr>
        <w:spacing w:after="0" w:line="129" w:lineRule="exact"/>
        <w:rPr>
          <w:sz w:val="20"/>
          <w:szCs w:val="20"/>
          <w:color w:val="auto"/>
        </w:rPr>
      </w:pPr>
    </w:p>
    <w:p>
      <w:pPr>
        <w:jc w:val="both"/>
        <w:ind w:right="60"/>
        <w:spacing w:after="0" w:line="259" w:lineRule="auto"/>
        <w:rPr>
          <w:sz w:val="20"/>
          <w:szCs w:val="20"/>
          <w:color w:val="auto"/>
        </w:rPr>
      </w:pPr>
      <w:r>
        <w:rPr>
          <w:rFonts w:ascii="Times New Roman" w:cs="Times New Roman" w:eastAsia="Times New Roman" w:hAnsi="Times New Roman"/>
          <w:sz w:val="14"/>
          <w:szCs w:val="14"/>
          <w:color w:val="auto"/>
        </w:rPr>
        <w:t>The applicable prospectus supplement and any related free writing prospectus that we may authorize to be provided to you may also add, update or change information contained in this prospectus or in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This prospectus may not be used to consummate a sale of securities unless it is accompanied by a prospectus supplement.</w:t>
      </w:r>
    </w:p>
    <w:p>
      <w:pPr>
        <w:spacing w:after="0" w:line="133" w:lineRule="exact"/>
        <w:rPr>
          <w:sz w:val="20"/>
          <w:szCs w:val="20"/>
          <w:color w:val="auto"/>
        </w:rPr>
      </w:pPr>
    </w:p>
    <w:p>
      <w:pPr>
        <w:ind w:right="400"/>
        <w:spacing w:after="0" w:line="273" w:lineRule="auto"/>
        <w:rPr>
          <w:sz w:val="20"/>
          <w:szCs w:val="20"/>
          <w:color w:val="auto"/>
        </w:rPr>
      </w:pPr>
      <w:r>
        <w:rPr>
          <w:rFonts w:ascii="Times New Roman" w:cs="Times New Roman" w:eastAsia="Times New Roman" w:hAnsi="Times New Roman"/>
          <w:sz w:val="14"/>
          <w:szCs w:val="14"/>
          <w:color w:val="auto"/>
        </w:rPr>
        <w:t>We may sell the securities directly to investors or through underwriters, dealers or agents. We, and our underwriters or agents, reserve the right to accept or reject all or part of any proposed purchase of securities. If we do offer securities through underwriters or agents, we will include in the applicable prospectus supplement:</w:t>
      </w:r>
    </w:p>
    <w:p>
      <w:pPr>
        <w:spacing w:after="0" w:line="89" w:lineRule="exact"/>
        <w:rPr>
          <w:sz w:val="20"/>
          <w:szCs w:val="20"/>
          <w:color w:val="auto"/>
        </w:rPr>
      </w:pPr>
    </w:p>
    <w:p>
      <w:pPr>
        <w:ind w:left="480" w:hanging="239"/>
        <w:spacing w:after="0"/>
        <w:tabs>
          <w:tab w:leader="none" w:pos="4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names of those underwriters or agents;</w:t>
      </w:r>
    </w:p>
    <w:p>
      <w:pPr>
        <w:spacing w:after="0" w:line="128" w:lineRule="exact"/>
        <w:rPr>
          <w:rFonts w:ascii="Times New Roman" w:cs="Times New Roman" w:eastAsia="Times New Roman" w:hAnsi="Times New Roman"/>
          <w:sz w:val="14"/>
          <w:szCs w:val="14"/>
          <w:color w:val="auto"/>
        </w:rPr>
      </w:pPr>
    </w:p>
    <w:p>
      <w:pPr>
        <w:ind w:left="480" w:hanging="239"/>
        <w:spacing w:after="0"/>
        <w:tabs>
          <w:tab w:leader="none" w:pos="4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applicable fees, discounts and commissions to be paid to them; and</w:t>
      </w:r>
    </w:p>
    <w:p>
      <w:pPr>
        <w:spacing w:after="0" w:line="128" w:lineRule="exact"/>
        <w:rPr>
          <w:rFonts w:ascii="Times New Roman" w:cs="Times New Roman" w:eastAsia="Times New Roman" w:hAnsi="Times New Roman"/>
          <w:sz w:val="14"/>
          <w:szCs w:val="14"/>
          <w:color w:val="auto"/>
        </w:rPr>
      </w:pPr>
    </w:p>
    <w:p>
      <w:pPr>
        <w:ind w:left="480" w:hanging="239"/>
        <w:spacing w:after="0"/>
        <w:tabs>
          <w:tab w:leader="none" w:pos="4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estimated net proceeds to us.</w:t>
      </w:r>
    </w:p>
    <w:p>
      <w:pPr>
        <w:spacing w:after="0" w:line="12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Common Stock</w:t>
      </w:r>
      <w:r>
        <w:rPr>
          <w:rFonts w:ascii="Times New Roman" w:cs="Times New Roman" w:eastAsia="Times New Roman" w:hAnsi="Times New Roman"/>
          <w:sz w:val="14"/>
          <w:szCs w:val="14"/>
          <w:color w:val="auto"/>
        </w:rPr>
        <w:t>. We may issue shares of our common stock from time to time. Holders of our common stock are entitled to one vote for each share held on all matters submitted to a vote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of stockholders and do not have cumulative voting rights. Holders of common stock are entitled to receive ratably any dividends as may be declared by our board of directors, subject to any preferential dividend rights of any series of preferred stock that we may designate and issue in the future.</w:t>
      </w:r>
    </w:p>
    <w:p>
      <w:pPr>
        <w:spacing w:after="0" w:line="9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4"/>
          <w:szCs w:val="14"/>
          <w:color w:val="auto"/>
        </w:rPr>
        <w:t>In the event of our liquidation, dissolution or winding up, the holders of common stock are entitled to receive ratably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 The rights, preferences and privileges of holders of common stock are subject to and may be adversely affected by the rights of the holders of shares of any series of preferred stock that we may designate and issue in the future.</w:t>
      </w:r>
    </w:p>
    <w:p>
      <w:pPr>
        <w:spacing w:after="0" w:line="98"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Preferred Stock</w:t>
      </w:r>
      <w:r>
        <w:rPr>
          <w:rFonts w:ascii="Times New Roman" w:cs="Times New Roman" w:eastAsia="Times New Roman" w:hAnsi="Times New Roman"/>
          <w:sz w:val="14"/>
          <w:szCs w:val="14"/>
          <w:color w:val="auto"/>
        </w:rPr>
        <w:t>. We may issue shares of our preferred stock from time to time, in one or more series. Under our certificate of incorporation, our board of directors has the authority,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without further action by the stockholders, to issue up to 10,000,000 shares of preferred stock, par value $0.0001 per share. You should refer to our certificate of incorporation and our bylaws, both of which are included as exhibits to documents incorporated by reference in the registration statement of which this prospectus is a part.</w:t>
      </w:r>
    </w:p>
    <w:p>
      <w:pPr>
        <w:spacing w:after="0" w:line="97"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4"/>
          <w:szCs w:val="14"/>
          <w:color w:val="auto"/>
        </w:rPr>
        <w:t>Our board of directors may, without further action by our stockholders, from time to time, direct the issuance of shares of preferred stock in series and may, at the time of issuance,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w:t>
      </w:r>
    </w:p>
    <w:p>
      <w:pPr>
        <w:spacing w:after="0" w:line="104"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4"/>
          <w:szCs w:val="14"/>
          <w:color w:val="auto"/>
        </w:rPr>
        <w:t>If we offer a specific series of preferred stock under this prospectus, we will describe the terms of the preferred stock in the prospectus supplement for such offering and will file a copy of the certificate of designation establishing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240"/>
          </w:cols>
          <w:pgMar w:left="820" w:top="1440" w:right="839" w:bottom="1440" w:gutter="0" w:footer="0" w:header="0"/>
        </w:sectPr>
      </w:pPr>
    </w:p>
    <w:bookmarkStart w:id="8" w:name="page9"/>
    <w:bookmarkEnd w:id="8"/>
    <w:p>
      <w:pPr>
        <w:spacing w:after="0" w:line="1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716280</wp:posOffset>
            </wp:positionV>
            <wp:extent cx="7170420" cy="3098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0420" cy="3098800"/>
                    </a:xfrm>
                    <a:prstGeom prst="rect">
                      <a:avLst/>
                    </a:prstGeom>
                    <a:noFill/>
                  </pic:spPr>
                </pic:pic>
              </a:graphicData>
            </a:graphic>
          </wp:anchor>
        </w:drawing>
      </w:r>
    </w:p>
    <w:p>
      <w:pPr>
        <w:ind w:right="140"/>
        <w:spacing w:after="0" w:line="273" w:lineRule="auto"/>
        <w:rPr>
          <w:sz w:val="20"/>
          <w:szCs w:val="20"/>
          <w:color w:val="auto"/>
        </w:rPr>
      </w:pPr>
      <w:r>
        <w:rPr>
          <w:rFonts w:ascii="Times New Roman" w:cs="Times New Roman" w:eastAsia="Times New Roman" w:hAnsi="Times New Roman"/>
          <w:sz w:val="14"/>
          <w:szCs w:val="14"/>
          <w:color w:val="auto"/>
        </w:rPr>
        <w:t>the terms of the preferred stock with the SEC. We urge you to read the applicable prospectus supplement (and any free writing prospectus that we may authorize to be provided to you) related to the series of preferred stock being offered, as well as the complete certificate of designation that contains the terms of the applicable series of preferred stock.</w:t>
      </w:r>
    </w:p>
    <w:p>
      <w:pPr>
        <w:spacing w:after="0" w:line="8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Debt Securities</w:t>
      </w:r>
      <w:r>
        <w:rPr>
          <w:rFonts w:ascii="Times New Roman" w:cs="Times New Roman" w:eastAsia="Times New Roman" w:hAnsi="Times New Roman"/>
          <w:sz w:val="14"/>
          <w:szCs w:val="14"/>
          <w:color w:val="auto"/>
        </w:rPr>
        <w:t>. We may issue debt securities from time to time, in one or more series, as either senior or subordinated debt or as senior or subordinated convertible debt. The senior debt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debt securities will be convertible into or exchangeable for our common stock or other securities. Conversion may be mandatory or at the holder’s option and would be at prescribed conversion rates.</w:t>
      </w:r>
    </w:p>
    <w:p>
      <w:pPr>
        <w:spacing w:after="0" w:line="10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4"/>
          <w:szCs w:val="14"/>
          <w:color w:val="auto"/>
        </w:rPr>
        <w:t>Any debt securities issued under this prospectus will be issued under one or more documents called indentures, which are contracts between us and a national banking association or other eligible party, as trustee. In this prospectus, we have summarized certain general features of the debt securities. We urge you, however, to read the applicable prospectus supplement (and any free writing prospectus that we may authorize to be provided to you) related to the series of debt securities being offered, as well as the complete indentures that contain the terms of the debt securities. A form of indenture has been filed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0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4"/>
          <w:szCs w:val="14"/>
          <w:b w:val="1"/>
          <w:bCs w:val="1"/>
          <w:i w:val="1"/>
          <w:iCs w:val="1"/>
          <w:color w:val="auto"/>
        </w:rPr>
        <w:t>Warrants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We may issue warrants for the purchase of common stock, preferred stock and/or debt securities in one or more series. We may issue warrants independently or together with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common stock, preferred stock and/or debt securities, and the warrants may be attached to or separate from these securities. In this prospectus, we have summarized certain general features of the warrants. We urge you, however, to read the applicable prospectus supplement (and any free writing prospectus that we may authorize to be provided to you) related to the particular series of warrants being offered, as well as the complete warrant agreements and warrant certificates that contain the terms of the warrants. Forms of the warrant agreements and forms of warrant certificates containing the terms of the warrants that may be offered have been filed as exhibits to the registration statement of which this prospectus is a part, and supplemental warrant agreements and forms of warrant certificates will be filed as exhibits to the registration statement of which this prospectus is a part or will be incorporated by reference from reports that we file with the SEC before the issuance of such warrants.</w:t>
      </w:r>
    </w:p>
    <w:p>
      <w:pPr>
        <w:spacing w:after="0" w:line="103" w:lineRule="exact"/>
        <w:rPr>
          <w:sz w:val="20"/>
          <w:szCs w:val="20"/>
          <w:color w:val="auto"/>
        </w:rPr>
      </w:pPr>
    </w:p>
    <w:p>
      <w:pPr>
        <w:ind w:right="260"/>
        <w:spacing w:after="0" w:line="273" w:lineRule="auto"/>
        <w:rPr>
          <w:sz w:val="20"/>
          <w:szCs w:val="20"/>
          <w:color w:val="auto"/>
        </w:rPr>
      </w:pPr>
      <w:r>
        <w:rPr>
          <w:rFonts w:ascii="Times New Roman" w:cs="Times New Roman" w:eastAsia="Times New Roman" w:hAnsi="Times New Roman"/>
          <w:sz w:val="14"/>
          <w:szCs w:val="14"/>
          <w:color w:val="auto"/>
        </w:rPr>
        <w:t>Any warrants issued under this prospectus will be evidenced by warrant certificates. Warrants may be issued under an applicable warrant agreement that we enter into with a warrant agent. We will indicate the name and address of the warrant agent, if applicable, in the prospectus supplement relating to the particular series of warrants being offered.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240"/>
          </w:cols>
          <w:pgMar w:left="820" w:top="1440" w:right="839" w:bottom="1440" w:gutter="0" w:footer="0" w:header="0"/>
        </w:sectPr>
      </w:pPr>
    </w:p>
    <w:bookmarkStart w:id="9" w:name="page10"/>
    <w:bookmarkEnd w:id="9"/>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3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4"/>
          <w:szCs w:val="14"/>
          <w:color w:val="auto"/>
        </w:rPr>
        <w:t>Investing in our securities involves a high degree of risk. You should carefully review the risks and uncertainties described under the heading “Risk Factors” contained in the applicable prospectus supplement and any related free writing prospectus, and under similar headings in our Annual Report on Form 10-K for the year ended December 31, 2025, as updated by any subsequently filed periodic reports and other documents that are incorporated by reference into this prospectus, before deciding whether to purchase any of the securities being registered pursuant to the registration statement of which this prospectus is a part. Each of the risk factors described in the documents referenced above could adversely affect our business, operating results and financial condition,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140"/>
          </w:cols>
          <w:pgMar w:left="300" w:top="1240" w:right="45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33"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4"/>
          <w:szCs w:val="14"/>
          <w:color w:val="auto"/>
        </w:rPr>
        <w:t>This prospectus and the documents incorporated by reference herein contain forward-looking statements, within the meaning of the Private Securities Litigation Reform Act of 1995, about us and our industry that involve substantial risks and uncertainties. All statements other than statements of historical facts contained in this prospectus and the documents incorporated by reference herein,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“aim,” “anticipate,” “believe,” “contemplate,” “continue,” “could,” “estimate,” “expect,” “goal,” “intend,” “may,” “plan,” “potential,” “predict,” “project,” “seek,” “should,” “target,” “will” or “would” or the negative of these words or other similar terms or expressions, although not all forward-looking statements contain these words. These forward-looking statements include, but are not limited to, statements concerning the following:</w:t>
      </w:r>
    </w:p>
    <w:p>
      <w:pPr>
        <w:spacing w:after="0" w:line="107" w:lineRule="exact"/>
        <w:rPr>
          <w:sz w:val="20"/>
          <w:szCs w:val="20"/>
          <w:color w:val="auto"/>
        </w:rPr>
      </w:pPr>
    </w:p>
    <w:p>
      <w:pPr>
        <w:ind w:left="500" w:hanging="249"/>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sufficiency of our existing cash and cash equivalents and marketable securities to fund our future operating expenses and capital expenditure requirements;</w:t>
      </w:r>
    </w:p>
    <w:p>
      <w:pPr>
        <w:spacing w:after="0" w:line="128" w:lineRule="exact"/>
        <w:rPr>
          <w:rFonts w:ascii="Times New Roman" w:cs="Times New Roman" w:eastAsia="Times New Roman" w:hAnsi="Times New Roman"/>
          <w:sz w:val="14"/>
          <w:szCs w:val="14"/>
          <w:color w:val="auto"/>
        </w:rPr>
      </w:pPr>
    </w:p>
    <w:p>
      <w:pPr>
        <w:ind w:left="500" w:hanging="249"/>
        <w:spacing w:after="0" w:line="236" w:lineRule="auto"/>
        <w:tabs>
          <w:tab w:leader="none" w:pos="49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funding for our operations, including funding necessary to develop and commercialize sabirnetug or ACU301 and ACU401, the Aβ oligomer-targeted Enhanced Brain Delivery™ (EBD</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4"/>
          <w:szCs w:val="14"/>
          <w:color w:val="auto"/>
        </w:rPr>
        <w:t>) product candidates that we licensed pursuant to our collaboration with JCR Pharmaceuticals Co. Ltd., in each case subject to obtaining necessary regulatory approvals, and our ability to continue as a going concern;</w:t>
      </w:r>
    </w:p>
    <w:p>
      <w:pPr>
        <w:spacing w:after="0" w:line="111"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clinical trials to demonstrate the safety and efficacy of sabirnetug, and other positive results;</w:t>
      </w:r>
    </w:p>
    <w:p>
      <w:pPr>
        <w:spacing w:after="0" w:line="128" w:lineRule="exact"/>
        <w:rPr>
          <w:rFonts w:ascii="Times New Roman" w:cs="Times New Roman" w:eastAsia="Times New Roman" w:hAnsi="Times New Roman"/>
          <w:sz w:val="14"/>
          <w:szCs w:val="14"/>
          <w:color w:val="auto"/>
        </w:rPr>
      </w:pPr>
    </w:p>
    <w:p>
      <w:pPr>
        <w:ind w:left="500" w:right="100" w:hanging="249"/>
        <w:spacing w:after="0" w:line="273" w:lineRule="auto"/>
        <w:tabs>
          <w:tab w:leader="none" w:pos="49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therapeutic potential of sabirnetug, including its potential for improved safety and efficacy, as compared to other monoclonal antibodies approved and/or in development, and of ACU301 and ACU401, as well as our expectations concerning our ongoing ALTITUDE-AD clinical trial and any future clinical trials we may conduct;</w:t>
      </w:r>
    </w:p>
    <w:p>
      <w:pPr>
        <w:spacing w:after="0" w:line="8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structure, focus, success, cost and timing of our development activities, nonclinical studies and clinical trials, and the reporting of data from those clinical trials;</w:t>
      </w:r>
    </w:p>
    <w:p>
      <w:pPr>
        <w:spacing w:after="0" w:line="12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plans relating to commercializing sabirnetug or any other product candidates that we may advance into clinical trials, subject to obtaining necessary regulatory approvals;</w:t>
      </w:r>
    </w:p>
    <w:p>
      <w:pPr>
        <w:spacing w:after="0" w:line="12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and retain key scientific, clinical and operational personnel;</w:t>
      </w:r>
    </w:p>
    <w:p>
      <w:pPr>
        <w:spacing w:after="0" w:line="12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contract with third-party suppliers and manufacturers and their ability to perform adequately;</w:t>
      </w:r>
    </w:p>
    <w:p>
      <w:pPr>
        <w:spacing w:after="0" w:line="128" w:lineRule="exact"/>
        <w:rPr>
          <w:rFonts w:ascii="Times New Roman" w:cs="Times New Roman" w:eastAsia="Times New Roman" w:hAnsi="Times New Roman"/>
          <w:sz w:val="14"/>
          <w:szCs w:val="14"/>
          <w:color w:val="auto"/>
        </w:rPr>
      </w:pPr>
    </w:p>
    <w:p>
      <w:pPr>
        <w:ind w:left="500" w:right="180" w:hanging="249"/>
        <w:spacing w:after="0" w:line="273" w:lineRule="auto"/>
        <w:tabs>
          <w:tab w:leader="none" w:pos="49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third parties to conduct both preclinical studies related to ACU301 and ACU401 and clinical trials of sabirnetug, as well as any other product candidates we may develop, and to manufacture sabirnetug, ACU301 and ACU401, as well as any other product candidates we may develop, for nonclinical studies and clinical trials;</w:t>
      </w:r>
    </w:p>
    <w:p>
      <w:pPr>
        <w:spacing w:after="0" w:line="8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 of competing therapies that are or may become available;</w:t>
      </w:r>
    </w:p>
    <w:p>
      <w:pPr>
        <w:spacing w:after="0" w:line="128" w:lineRule="exact"/>
        <w:rPr>
          <w:rFonts w:ascii="Times New Roman" w:cs="Times New Roman" w:eastAsia="Times New Roman" w:hAnsi="Times New Roman"/>
          <w:sz w:val="14"/>
          <w:szCs w:val="14"/>
          <w:color w:val="auto"/>
        </w:rPr>
      </w:pPr>
    </w:p>
    <w:p>
      <w:pPr>
        <w:ind w:left="500" w:right="540" w:hanging="249"/>
        <w:spacing w:after="0" w:line="273" w:lineRule="auto"/>
        <w:tabs>
          <w:tab w:leader="none" w:pos="49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plans and ability to obtain or protect our intellectual property rights, including extensions of existing patent terms where available or the use of data and market exclusivity to provide protection from generic or biosimilar versions of our product;</w:t>
      </w:r>
    </w:p>
    <w:p>
      <w:pPr>
        <w:spacing w:after="0" w:line="8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of protection we are able to establish and maintain for intellectual property rights covering sabirnetug, any other product candidates we may develop, and our technology;</w:t>
      </w:r>
    </w:p>
    <w:p>
      <w:pPr>
        <w:spacing w:after="0" w:line="12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claims relating to or seeking to invalidate our intellectual property;</w:t>
      </w:r>
    </w:p>
    <w:p>
      <w:pPr>
        <w:spacing w:after="0" w:line="12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existing regulations and regulatory developments in the United States and other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280"/>
          </w:cols>
          <w:pgMar w:left="300" w:top="1240" w:right="319" w:bottom="1440" w:gutter="0" w:footer="0" w:header="0"/>
        </w:sectPr>
      </w:pPr>
    </w:p>
    <w:bookmarkStart w:id="11" w:name="page12"/>
    <w:bookmarkEnd w:id="11"/>
    <w:p>
      <w:pPr>
        <w:ind w:left="500" w:right="180" w:hanging="249"/>
        <w:spacing w:after="0" w:line="273" w:lineRule="auto"/>
        <w:tabs>
          <w:tab w:leader="none" w:pos="49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and maintain regulatory approval of sabirnetug or any other product candidates we may develop, and any related restrictions, limitations and/or warnings in the label of any approved product candidate;</w:t>
      </w:r>
    </w:p>
    <w:p>
      <w:pPr>
        <w:spacing w:after="0" w:line="8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impacts of governmental legislation and regulations;</w:t>
      </w:r>
    </w:p>
    <w:p>
      <w:pPr>
        <w:spacing w:after="0" w:line="128" w:lineRule="exact"/>
        <w:rPr>
          <w:rFonts w:ascii="Times New Roman" w:cs="Times New Roman" w:eastAsia="Times New Roman" w:hAnsi="Times New Roman"/>
          <w:sz w:val="14"/>
          <w:szCs w:val="14"/>
          <w:color w:val="auto"/>
        </w:rPr>
      </w:pPr>
    </w:p>
    <w:p>
      <w:pPr>
        <w:ind w:left="500" w:right="180" w:hanging="249"/>
        <w:spacing w:after="0" w:line="273" w:lineRule="auto"/>
        <w:tabs>
          <w:tab w:leader="none" w:pos="49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plans relating to the further development and manufacturing of sabirnetug, ACU301 and ACU401, as well as any other product candidates we may develop, including additional therapeutic indications we may pursue;</w:t>
      </w:r>
    </w:p>
    <w:p>
      <w:pPr>
        <w:spacing w:after="0" w:line="8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and maintain our corporate infrastructure, including our ability to design and maintain an effective system of internal controls;</w:t>
      </w:r>
    </w:p>
    <w:p>
      <w:pPr>
        <w:spacing w:after="0" w:line="12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financial performance; and</w:t>
      </w:r>
    </w:p>
    <w:p>
      <w:pPr>
        <w:spacing w:after="0" w:line="12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time period during which we will be an emerging growth company under the JOBS Act.</w:t>
      </w:r>
    </w:p>
    <w:p>
      <w:pPr>
        <w:spacing w:after="0" w:line="1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4"/>
          <w:szCs w:val="14"/>
          <w:color w:val="auto"/>
        </w:rPr>
        <w:t>Discussions containing these forward-looking statements may be found, among other places, in the sections entitled “Business,” “Risk Factors” and “Management’s Discussion and Analysis of Financial Condition and Results of Operations” contained in the documents incorporated by reference herein. These are based on our management’s current beliefs, expectations and assumptions about future events, conditions and results and on information currently available to us. You should not rely on forward-looking statements as predictions of future events. The outcome of the events described in these forward-looking statements is subject to risks, uncertainties and other factors that may cause our actual results, levels of activity, performance or achievements to be materially different from the information expressed or implied by these forward-looking statements, including the risks and uncertainties described in the “Risk Factors” section contained in the applicable prospectus supplement and any related free writing prospectus, and under similar headings in the other documents that are incorporated by reference into this prospectus.</w:t>
      </w:r>
    </w:p>
    <w:p>
      <w:pPr>
        <w:spacing w:after="0" w:line="10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4"/>
          <w:szCs w:val="14"/>
          <w:color w:val="auto"/>
        </w:rPr>
        <w:t>Moreover, we operate in a very competitive and rapidly changing environment. New risks and uncertainties emerge from time to time, and it is not possible for us to predict all risks and uncertainties that could have an impact on the forward-looking statements contained herein. Given these risks, uncertainties and other factors, many of which are beyond our control, we cannot assure you that the forward-looking statements in this prospectus will prove to be accurate, and you should not place undue reliance on these forward-looking statements.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w:t>
      </w:r>
    </w:p>
    <w:p>
      <w:pPr>
        <w:spacing w:after="0" w:line="103"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4"/>
          <w:szCs w:val="14"/>
          <w:color w:val="auto"/>
        </w:rPr>
        <w:t>Except as required by law, we assume no obligation to update these forward-looking statements publicly, or to revise any forward-looking statements to reflect events or developments occurring after the date of this prospectus, even if new information becomes available in the future.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280"/>
          </w:cols>
          <w:pgMar w:left="300" w:top="1120" w:right="319" w:bottom="1440" w:gutter="0" w:footer="0" w:header="0"/>
        </w:sectPr>
      </w:pPr>
    </w:p>
    <w:bookmarkStart w:id="12" w:name="page13"/>
    <w:bookmarkEnd w:id="12"/>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3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4"/>
          <w:szCs w:val="14"/>
          <w:color w:val="auto"/>
        </w:rPr>
        <w:t>We will retain broad discretion over the use of the net proceeds from the sale of the securities offered hereby. Except as described in any applicable prospectus supplement or in any free writing prospectuses that we may authorize to be provided to you in connection with a specific offering, we currently intend to use the net proceeds from the sale of the securities offered hereby to fund our planned Phase 3 clinical trial of sabirnetug, as well as for working capital, capital expenditures and general corporate purposes. We may also use a portion of the net proceeds to invest in, acquire or in-license products, businesses or technologies that we believe are complementary to our own, although we have no current plans, commitments or agreements with respect to any acquisitions as of the date of this prospectus. We will set forth in the applicable prospectus supplement or free writing prospectus our intended use for the net proceeds received from the sale of any securities sold pursuant to the prospectus supplement or free writing prospectus. Pending these uses, we intend to invest the net proceeds in investment-grade, interest-bearing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1160"/>
          </w:cols>
          <w:pgMar w:left="300" w:top="1240" w:right="439" w:bottom="1440" w:gutter="0" w:footer="0" w:header="0"/>
        </w:sectPr>
      </w:pPr>
    </w:p>
    <w:bookmarkStart w:id="13" w:name="page14"/>
    <w:bookmarkEnd w:id="13"/>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29"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4"/>
          <w:szCs w:val="14"/>
          <w:i w:val="1"/>
          <w:iCs w:val="1"/>
          <w:color w:val="auto"/>
        </w:rPr>
        <w:t>The following description of our capital stock and provisions of our certificate of incorporation and bylaws are summaries. You should also refer to the certificate of incorporation and the bylaws, which are filed as exhibits to the registration statement of which this prospectus is part.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3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Our amended and restated certificate of incorporation authorizes us to issue up to 300,000,000 shares of common stock, $0.0001 par value per share, and 10,000,000 shares of preferred stock, $0.0001 par value per share, all of which shares of preferred stock will be undesignated. Our board of directors may establish the rights and preferences of the preferred stock from time to time. As of September 30, 2026, we had 72,327,320 shares of common stock outstanding and no shares of preferred stock outstanding.</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13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4"/>
          <w:szCs w:val="14"/>
          <w:color w:val="auto"/>
        </w:rPr>
        <w:t>Each holder of our common stock is entitled to one vote for each share on all matters submitted to a vote of the stockholders, including the election of directors. The affirmative vote of holders of at least 66 2/3% of the voting power of all of the then-outstanding shares of capital stock, voting as a single class, is required to amend certain provisions of our amended and restated certificate of incorporation, including provisions relating to amending our amended and restated bylaws, the classified board, the size of our board, removal of directors, director liability, vacancies on our board, special meetings, stockholder notices, actions by written consent and exclusive forum.</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133"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4"/>
          <w:szCs w:val="14"/>
          <w:color w:val="auto"/>
        </w:rPr>
        <w:t>Subject to preferences that may be applicable to any then-outstanding preferred stock, holders of common stock are entitled to receive ratably those dividends, if any, as may be declared from time to time by our board of directors out of legally available funds.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Liquidation</w:t>
      </w:r>
    </w:p>
    <w:p>
      <w:pPr>
        <w:spacing w:after="0" w:line="13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4"/>
          <w:szCs w:val="14"/>
          <w:color w:val="auto"/>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Rights and Preferences</w:t>
      </w:r>
    </w:p>
    <w:p>
      <w:pPr>
        <w:spacing w:after="0" w:line="133" w:lineRule="exact"/>
        <w:rPr>
          <w:sz w:val="20"/>
          <w:szCs w:val="20"/>
          <w:color w:val="auto"/>
        </w:rPr>
      </w:pPr>
    </w:p>
    <w:p>
      <w:pPr>
        <w:ind w:right="380"/>
        <w:spacing w:after="0" w:line="312" w:lineRule="auto"/>
        <w:rPr>
          <w:sz w:val="20"/>
          <w:szCs w:val="20"/>
          <w:color w:val="auto"/>
        </w:rPr>
      </w:pPr>
      <w:r>
        <w:rPr>
          <w:rFonts w:ascii="Times New Roman" w:cs="Times New Roman" w:eastAsia="Times New Roman" w:hAnsi="Times New Roman"/>
          <w:sz w:val="13"/>
          <w:szCs w:val="13"/>
          <w:color w:val="auto"/>
        </w:rPr>
        <w:t>Holders of common stock have no preemptive, conversion or subscription rights and there are no redemption or sinking fund provisions applicable to the common stock. The rights, preferences and privileges of the holders of common stock are subject to, and may be adversely affected by, the right of the holders of shares of any series of preferred stock that we may designate in the future.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133"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4"/>
          <w:szCs w:val="14"/>
          <w:color w:val="auto"/>
        </w:rPr>
        <w:t>Pursuant to our amended and restated certificate of incorporation, our board of directors has the authority, without further action by our stockholders, to issue up to 10,000,000 shares of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 Our board of directors may authorize the issuance of preferred stock with voting or conversion rights that could adversely affect the voting power or other rights of the holders of our common stock. 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and other corporate purposes, could, among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1240"/>
          </w:cols>
          <w:pgMar w:left="300" w:top="1240" w:right="359" w:bottom="1440" w:gutter="0" w:footer="0" w:header="0"/>
        </w:sectPr>
      </w:pPr>
    </w:p>
    <w:bookmarkStart w:id="14" w:name="page15"/>
    <w:bookmarkEnd w:id="14"/>
    <w:p>
      <w:pPr>
        <w:ind w:right="220"/>
        <w:spacing w:after="0" w:line="273" w:lineRule="auto"/>
        <w:rPr>
          <w:sz w:val="20"/>
          <w:szCs w:val="20"/>
          <w:color w:val="auto"/>
        </w:rPr>
      </w:pPr>
      <w:r>
        <w:rPr>
          <w:rFonts w:ascii="Times New Roman" w:cs="Times New Roman" w:eastAsia="Times New Roman" w:hAnsi="Times New Roman"/>
          <w:sz w:val="14"/>
          <w:szCs w:val="14"/>
          <w:color w:val="auto"/>
        </w:rPr>
        <w:t>things, have the effect of delaying, deferring or preventing a change in control of us and may adversely affect the market price of our common stock and the voting and other rights of the holders of our common stock.</w:t>
      </w:r>
    </w:p>
    <w:p>
      <w:pPr>
        <w:spacing w:after="0" w:line="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4"/>
          <w:szCs w:val="14"/>
          <w:color w:val="auto"/>
        </w:rPr>
        <w:t>Our board of directors will fix the designations, voting powers, preferences and rights of each series, as well as the qualifications, limitations or restrictions thereof, of the preferred stock of each series that we offer under this prospectus and applicable prospectus supplements in the certificate of designation relating to that series. We will file as an exhibit to the registration statement of which this prospectus is a part, or will incorporate by reference from reports that we file with the SEC, the form of any certificate of designation that describes the terms of the series of preferred stock we are offering before the issuance of that series of preferred stock. This description will include:</w:t>
      </w:r>
    </w:p>
    <w:p>
      <w:pPr>
        <w:spacing w:after="0" w:line="102" w:lineRule="exact"/>
        <w:rPr>
          <w:sz w:val="20"/>
          <w:szCs w:val="20"/>
          <w:color w:val="auto"/>
        </w:rPr>
      </w:pPr>
    </w:p>
    <w:p>
      <w:pPr>
        <w:ind w:left="500" w:hanging="249"/>
        <w:spacing w:after="0"/>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and stated value;</w:t>
      </w:r>
    </w:p>
    <w:p>
      <w:pPr>
        <w:spacing w:after="0" w:line="12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we are offering;</w:t>
      </w:r>
    </w:p>
    <w:p>
      <w:pPr>
        <w:spacing w:after="0" w:line="12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liquidation preference per share;</w:t>
      </w:r>
    </w:p>
    <w:p>
      <w:pPr>
        <w:spacing w:after="0" w:line="12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price per share;</w:t>
      </w:r>
    </w:p>
    <w:p>
      <w:pPr>
        <w:spacing w:after="0" w:line="12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dividend rate per share, dividend period and payment dates and method of calculation for dividends;</w:t>
      </w:r>
    </w:p>
    <w:p>
      <w:pPr>
        <w:spacing w:after="0" w:line="12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dividends will be cumulative or non-cumulative and, if cumulative, the date from which dividends will accumulate;</w:t>
      </w:r>
    </w:p>
    <w:p>
      <w:pPr>
        <w:spacing w:after="0" w:line="12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right, if any, to defer payment of dividends and the maximum length of any such deferral period;</w:t>
      </w:r>
    </w:p>
    <w:p>
      <w:pPr>
        <w:spacing w:after="0" w:line="12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procedures for any auction and remarketing, if any;</w:t>
      </w:r>
    </w:p>
    <w:p>
      <w:pPr>
        <w:spacing w:after="0" w:line="12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for a sinking fund, if any;</w:t>
      </w:r>
    </w:p>
    <w:p>
      <w:pPr>
        <w:spacing w:after="0" w:line="128" w:lineRule="exact"/>
        <w:rPr>
          <w:rFonts w:ascii="Times New Roman" w:cs="Times New Roman" w:eastAsia="Times New Roman" w:hAnsi="Times New Roman"/>
          <w:sz w:val="14"/>
          <w:szCs w:val="14"/>
          <w:color w:val="auto"/>
        </w:rPr>
      </w:pPr>
    </w:p>
    <w:p>
      <w:pPr>
        <w:ind w:left="500" w:right="360" w:hanging="249"/>
        <w:spacing w:after="0" w:line="273" w:lineRule="auto"/>
        <w:tabs>
          <w:tab w:leader="none" w:pos="49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for redemption or repurchase, if applicable, and any restrictions on our ability to exercise those redemption and repurchase rights, including while there is any arrearage in the payment of dividends or sinking fund installments, if applicable;</w:t>
      </w:r>
    </w:p>
    <w:p>
      <w:pPr>
        <w:spacing w:after="0" w:line="8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listing of the preferred stock on any securities exchange or market;</w:t>
      </w:r>
    </w:p>
    <w:p>
      <w:pPr>
        <w:spacing w:after="0" w:line="128" w:lineRule="exact"/>
        <w:rPr>
          <w:rFonts w:ascii="Times New Roman" w:cs="Times New Roman" w:eastAsia="Times New Roman" w:hAnsi="Times New Roman"/>
          <w:sz w:val="14"/>
          <w:szCs w:val="14"/>
          <w:color w:val="auto"/>
        </w:rPr>
      </w:pPr>
    </w:p>
    <w:p>
      <w:pPr>
        <w:ind w:left="500" w:right="620" w:hanging="249"/>
        <w:spacing w:after="0" w:line="273" w:lineRule="auto"/>
        <w:tabs>
          <w:tab w:leader="none" w:pos="49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preferred stock will be convertible into our common stock or other securities of ours, including depositary shares and warrants, and, if applicable, the conversion period, the conversion price, or how it will be calculated, and under what circumstances it may be adjusted;</w:t>
      </w:r>
    </w:p>
    <w:p>
      <w:pPr>
        <w:spacing w:after="0" w:line="88" w:lineRule="exact"/>
        <w:rPr>
          <w:rFonts w:ascii="Times New Roman" w:cs="Times New Roman" w:eastAsia="Times New Roman" w:hAnsi="Times New Roman"/>
          <w:sz w:val="14"/>
          <w:szCs w:val="14"/>
          <w:color w:val="auto"/>
        </w:rPr>
      </w:pPr>
    </w:p>
    <w:p>
      <w:pPr>
        <w:ind w:left="500" w:hanging="249"/>
        <w:spacing w:after="0" w:line="273" w:lineRule="auto"/>
        <w:tabs>
          <w:tab w:leader="none" w:pos="49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preferred stock will be exchangeable into debt securities, and, if applicable, the exchange period, the exchange price, or how it will be calculated, and under what circumstances it may be adjusted;</w:t>
      </w:r>
    </w:p>
    <w:p>
      <w:pPr>
        <w:spacing w:after="0" w:line="8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voting rights, if any, of the preferred stock;</w:t>
      </w:r>
    </w:p>
    <w:p>
      <w:pPr>
        <w:spacing w:after="0" w:line="12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preemption rights, if any;</w:t>
      </w:r>
    </w:p>
    <w:p>
      <w:pPr>
        <w:spacing w:after="0" w:line="12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transfer, sale or other assignment, if any;</w:t>
      </w:r>
    </w:p>
    <w:p>
      <w:pPr>
        <w:spacing w:after="0" w:line="12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interests in the preferred stock will be represented by depositary shares;</w:t>
      </w:r>
    </w:p>
    <w:p>
      <w:pPr>
        <w:spacing w:after="0" w:line="12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discussion of any material or special U.S. federal income tax considerations applicable to the preferred stock;</w:t>
      </w:r>
    </w:p>
    <w:p>
      <w:pPr>
        <w:spacing w:after="0" w:line="12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relative ranking and preferences of the preferred stock as to dividend rights and rights if we liquidate, dissolve or wind up our affairs;</w:t>
      </w:r>
    </w:p>
    <w:p>
      <w:pPr>
        <w:spacing w:after="0" w:line="128" w:lineRule="exact"/>
        <w:rPr>
          <w:rFonts w:ascii="Times New Roman" w:cs="Times New Roman" w:eastAsia="Times New Roman" w:hAnsi="Times New Roman"/>
          <w:sz w:val="14"/>
          <w:szCs w:val="14"/>
          <w:color w:val="auto"/>
        </w:rPr>
      </w:pPr>
    </w:p>
    <w:p>
      <w:pPr>
        <w:ind w:left="500" w:right="120" w:hanging="249"/>
        <w:spacing w:after="0" w:line="273" w:lineRule="auto"/>
        <w:tabs>
          <w:tab w:leader="none" w:pos="49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limitations on issuances of any class or series of preferred stock ranking senior to or on a parity with the series of preferred stock being issued as to dividend rights and rights if we liquidate, dissolve or wind up our affairs; and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1280"/>
          </w:cols>
          <w:pgMar w:left="300" w:top="1120" w:right="319" w:bottom="1440" w:gutter="0" w:footer="0" w:header="0"/>
        </w:sectPr>
      </w:pPr>
    </w:p>
    <w:bookmarkStart w:id="15" w:name="page16"/>
    <w:bookmarkEnd w:id="15"/>
    <w:p>
      <w:pPr>
        <w:ind w:left="500" w:hanging="249"/>
        <w:spacing w:after="0"/>
        <w:tabs>
          <w:tab w:leader="none" w:pos="5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specific terms, rights, preferences, privileges, qualifications or restrictions of the preferred stock.</w:t>
      </w:r>
    </w:p>
    <w:p>
      <w:pPr>
        <w:spacing w:after="0" w:line="1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The General Corporation Law of the State of Delaware, or DGCL, the state of our incorporation, provides that the holders of preferred stock will have the right to vote separately as a class (or, in some cases, as a series) on an amendment to our certificate of incorporation if the amendment would change the par value or, unless the certificate of incorporation provided otherwise, the number of authorized shares of the class or change the powers, preferences or special rights of the class or series so as to adversely affect the class or series, as the case may be. This right is in addition to any voting rights that may be provided for in the applicable certificate of designation.</w:t>
      </w:r>
    </w:p>
    <w:p>
      <w:pPr>
        <w:spacing w:after="0" w:line="102"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4"/>
          <w:szCs w:val="14"/>
          <w:color w:val="auto"/>
        </w:rPr>
        <w:t>The issuance of preferred stock could adversely affect the voting power of holders of common stock and reduce the likelihood that common stockholders will receive dividend payments and payments upon liquidation. The issuance could have the effect of decreasing the market price of the common stock. The issuance of preferred stock also could have the effect of delaying, deterring or preventing a change in control of us.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Anti-Takeover Provisions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Section 203 of the DGCL</w:t>
      </w:r>
    </w:p>
    <w:p>
      <w:pPr>
        <w:spacing w:after="0" w:line="133"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4"/>
          <w:szCs w:val="14"/>
          <w:color w:val="auto"/>
        </w:rPr>
        <w:t>We are subject to Section 203 of the DGCL, or Section 203,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89" w:lineRule="exact"/>
        <w:rPr>
          <w:sz w:val="20"/>
          <w:szCs w:val="20"/>
          <w:color w:val="auto"/>
        </w:rPr>
      </w:pPr>
    </w:p>
    <w:p>
      <w:pPr>
        <w:ind w:left="500" w:hanging="249"/>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before such date, the board of directors of the corporation approved either the business combination or the transaction that resulted in the stockholder becoming an interested stockholder;</w:t>
      </w:r>
    </w:p>
    <w:p>
      <w:pPr>
        <w:spacing w:after="0" w:line="128" w:lineRule="exact"/>
        <w:rPr>
          <w:rFonts w:ascii="Times New Roman" w:cs="Times New Roman" w:eastAsia="Times New Roman" w:hAnsi="Times New Roman"/>
          <w:sz w:val="14"/>
          <w:szCs w:val="14"/>
          <w:color w:val="auto"/>
        </w:rPr>
      </w:pPr>
    </w:p>
    <w:p>
      <w:pPr>
        <w:ind w:left="500" w:hanging="249"/>
        <w:spacing w:after="0" w:line="255" w:lineRule="auto"/>
        <w:tabs>
          <w:tab w:leader="none" w:pos="49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01" w:lineRule="exact"/>
        <w:rPr>
          <w:rFonts w:ascii="Times New Roman" w:cs="Times New Roman" w:eastAsia="Times New Roman" w:hAnsi="Times New Roman"/>
          <w:sz w:val="14"/>
          <w:szCs w:val="14"/>
          <w:color w:val="auto"/>
        </w:rPr>
      </w:pPr>
    </w:p>
    <w:p>
      <w:pPr>
        <w:ind w:left="500" w:right="460" w:hanging="249"/>
        <w:spacing w:after="0" w:line="273" w:lineRule="auto"/>
        <w:tabs>
          <w:tab w:leader="none" w:pos="49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general, Section 203 defines a “business combination” to include the following:</w:t>
      </w:r>
    </w:p>
    <w:p>
      <w:pPr>
        <w:spacing w:after="0" w:line="129" w:lineRule="exact"/>
        <w:rPr>
          <w:sz w:val="20"/>
          <w:szCs w:val="20"/>
          <w:color w:val="auto"/>
        </w:rPr>
      </w:pPr>
    </w:p>
    <w:p>
      <w:pPr>
        <w:ind w:left="500" w:hanging="249"/>
        <w:spacing w:after="0"/>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merger or consolidation involving the corporation or any direct or indirect majority-owned subsidiary of the corporation and the interested stockholder;</w:t>
      </w:r>
    </w:p>
    <w:p>
      <w:pPr>
        <w:spacing w:after="0" w:line="12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sale, transfer, pledge or other disposition of 10% or more of the assets of the corporation involving the interested stockholder (in one transaction or a series of transactions);</w:t>
      </w:r>
    </w:p>
    <w:p>
      <w:pPr>
        <w:spacing w:after="0" w:line="128" w:lineRule="exact"/>
        <w:rPr>
          <w:rFonts w:ascii="Times New Roman" w:cs="Times New Roman" w:eastAsia="Times New Roman" w:hAnsi="Times New Roman"/>
          <w:sz w:val="14"/>
          <w:szCs w:val="14"/>
          <w:color w:val="auto"/>
        </w:rPr>
      </w:pPr>
    </w:p>
    <w:p>
      <w:pPr>
        <w:ind w:left="500" w:right="20" w:hanging="249"/>
        <w:spacing w:after="0" w:line="273" w:lineRule="auto"/>
        <w:tabs>
          <w:tab w:leader="none" w:pos="49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certain exceptions, any transaction that results in the issuance or transfer by the corporation or by any direct or indirect majority-owned subsidiary of the corporation of any stock of the corporation or of such subsidiary to the interested stockholder;</w:t>
      </w:r>
    </w:p>
    <w:p>
      <w:pPr>
        <w:spacing w:after="0" w:line="88" w:lineRule="exact"/>
        <w:rPr>
          <w:rFonts w:ascii="Times New Roman" w:cs="Times New Roman" w:eastAsia="Times New Roman" w:hAnsi="Times New Roman"/>
          <w:sz w:val="14"/>
          <w:szCs w:val="14"/>
          <w:color w:val="auto"/>
        </w:rPr>
      </w:pPr>
    </w:p>
    <w:p>
      <w:pPr>
        <w:ind w:left="500" w:hanging="249"/>
        <w:spacing w:after="0" w:line="273" w:lineRule="auto"/>
        <w:tabs>
          <w:tab w:leader="none" w:pos="49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transaction involving the corporation or any direct or indirect majority-owned subsidiary of the corporation that has the effect of increasing the proportionate share of the stock or any class or series of the corporation beneficially owned by the interested stockholder; or</w:t>
      </w:r>
    </w:p>
    <w:p>
      <w:pPr>
        <w:spacing w:after="0" w:line="8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receipt by the interested stockholder of the benefit of any loans, advances, guarantees, pledges or other financial benefits by or through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1220"/>
          </w:cols>
          <w:pgMar w:left="300" w:top="1120" w:right="379" w:bottom="1440" w:gutter="0" w:footer="0" w:header="0"/>
        </w:sectPr>
      </w:pPr>
    </w:p>
    <w:bookmarkStart w:id="16" w:name="page17"/>
    <w:bookmarkEnd w:id="16"/>
    <w:p>
      <w:pPr>
        <w:ind w:right="380"/>
        <w:spacing w:after="0" w:line="273" w:lineRule="auto"/>
        <w:rPr>
          <w:sz w:val="20"/>
          <w:szCs w:val="20"/>
          <w:color w:val="auto"/>
        </w:rPr>
      </w:pPr>
      <w:r>
        <w:rPr>
          <w:rFonts w:ascii="Times New Roman" w:cs="Times New Roman" w:eastAsia="Times New Roman" w:hAnsi="Times New Roman"/>
          <w:sz w:val="14"/>
          <w:szCs w:val="14"/>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Amended and Restated Certificate of Incorporation and Amended and Restated Bylaws</w:t>
      </w:r>
    </w:p>
    <w:p>
      <w:pPr>
        <w:spacing w:after="0" w:line="13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for our board of directors to be divided into three classes with staggered three-year terms. Only one class of directors is elected at each annual meeting of our stockholders, with the other classes continuing for the remainder of their respective three-year terms. Because our stockholders do not have cumulative voting rights, stockholders holding a majority of the shares of common stock outstanding are able to elect all of our directors. Our amended and restated certificate of incorporation and our amended and restated bylaws provide that directors may be removed by the stockholders only for cause upon the vote of 66 2/3% or more of our outstanding common stock. Furthermore, the authorized number of directors may be changed only by resolution of the board of directors, and vacancies and newly created directorships on the board of directors may, except as otherwise required by law or determined by the board, only be filled by a majority vote of the directors then serving on the board, even though less than a quorum.</w:t>
      </w:r>
    </w:p>
    <w:p>
      <w:pPr>
        <w:spacing w:after="0" w:line="107"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4"/>
          <w:szCs w:val="14"/>
          <w:color w:val="auto"/>
        </w:rPr>
        <w:t>Our amended and restated certificate of incorporation and our amended and restated bylaws also provide that all stockholder actions must be effected at a duly called meeting of stockholders and eliminate the right of stockholders to act by written consent without a meeting. Our amended and restated bylaws also provide that only our Chairman of the board, Chief Executive Officer or the board of directors pursuant to a resolution adopted by a majority of the total number of authorized directors may call a special meeting of stockholders.</w:t>
      </w:r>
    </w:p>
    <w:p>
      <w:pPr>
        <w:spacing w:after="0" w:line="99"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4"/>
          <w:szCs w:val="14"/>
          <w:color w:val="auto"/>
        </w:rPr>
        <w:t>Our amended and restated bylaws also provide that stockholders seeking to present proposals before a meeting of stockholders to nominate candidates for election as directors at a meeting of stockholders must provide timely advance notice in writing, and specify requirements as to the form and content of a stockholder’s notice.</w:t>
      </w:r>
    </w:p>
    <w:p>
      <w:pPr>
        <w:spacing w:after="0" w:line="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Our amended and restated certificate of incorporation and our amended and restated bylaws provide that the stockholders cannot amend many of the provisions described above except by a vote of 66 2/3% or more of our outstanding common stock. As described in “—Preferred Stock” above, our amended and restated certificate of incorporation gives our board of directors the authority, without further action by our stockholders, to issue up to 10,000,000 shares of preferred stock in one or more series, with any rights, preferences and privileges as they may designate, including the right to approve an acquisition or other change in control.</w:t>
      </w:r>
    </w:p>
    <w:p>
      <w:pPr>
        <w:spacing w:after="0" w:line="10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4"/>
          <w:szCs w:val="14"/>
          <w:color w:val="auto"/>
        </w:rPr>
        <w:t>The combination of these provisions makes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02"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4"/>
          <w:szCs w:val="14"/>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Choice of Forum</w:t>
      </w:r>
    </w:p>
    <w:p>
      <w:pPr>
        <w:spacing w:after="0" w:line="133"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that the Court of Chancery of the State of Delaware (or, if and only if, the Court of Chancery of the State of Delaware lacks subject matter jurisdiction, any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1260"/>
          </w:cols>
          <w:pgMar w:left="300" w:top="1120" w:right="339" w:bottom="1440" w:gutter="0" w:footer="0" w:header="0"/>
        </w:sectPr>
      </w:pPr>
    </w:p>
    <w:bookmarkStart w:id="17" w:name="page18"/>
    <w:bookmarkEnd w:id="17"/>
    <w:p>
      <w:pPr>
        <w:ind w:right="60"/>
        <w:spacing w:after="0" w:line="250" w:lineRule="auto"/>
        <w:rPr>
          <w:sz w:val="20"/>
          <w:szCs w:val="20"/>
          <w:color w:val="auto"/>
        </w:rPr>
      </w:pPr>
      <w:r>
        <w:rPr>
          <w:rFonts w:ascii="Times New Roman" w:cs="Times New Roman" w:eastAsia="Times New Roman" w:hAnsi="Times New Roman"/>
          <w:sz w:val="14"/>
          <w:szCs w:val="14"/>
          <w:color w:val="auto"/>
        </w:rPr>
        <w:t>state court located within the State of Delaware or, if and only if, all such state courts lack subject matter jurisdiction, the federal district court for the District of Delaware) and any appellate court therefrom shall be the sole and exclusive forum for the following claims or causes of action brought under Delaware statutory or common law: (1) any derivative claim or action brought on our behalf; (2) any claim or cause of action asserting a breach of fiduciary duty by any of our current or former director, officer or other employee; (3) any claim or cause of action asserting a claim against us arising out of, or pursuant to, the DGCL, our amended and restated certificate of incorporation or our amended and restated bylaws; (4) any claim or cause of action seeking to interpret, apply, enforce or determine the validity of our amended and restated certificate of incorporation or our amended and restated bylaws (including any right, obligation, or remedy thereunder); (5) any claim or cause of action as to which the DGCL confers jurisdiction to the Court of Chancery of the State of Delaware; or (6) any claim or cause of action asserting a claim against us or any of our directors, officers or other employees, that is governed by the internal affairs doctrine, in all cases to the fullest extent permitted by law and subject to the court having personal jurisdiction over the indispensable parties named as defendants. The aforementioned provision does not apply to claims or causes of action brought to enforce a duty or liability created by the Securities Act, the Exchange Act or any other claim for which the federal courts have exclusive jurisdiction.</w:t>
      </w:r>
    </w:p>
    <w:p>
      <w:pPr>
        <w:spacing w:after="0" w:line="10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4"/>
          <w:szCs w:val="14"/>
          <w:color w:val="auto"/>
        </w:rPr>
        <w:t>In addition, our amended and restated certificate of incorporation further provides that, unless we consent in writing to the selection of an alternative forum, the federal district courts of the United States of America are the exclusive forum, to the fullest extent permitted by law, for resolving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w:t>
      </w:r>
    </w:p>
    <w:p>
      <w:pPr>
        <w:spacing w:after="0" w:line="103"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4"/>
          <w:szCs w:val="14"/>
          <w:color w:val="auto"/>
        </w:rPr>
        <w:t>The enforceability of similar choice of forum provisions in other companies’ certificates of incorporation has been challenged in legal proceedings, and it is possible that, in connection with one or more actions or proceedings described above, a court could find the choice of forum provisions contained in our amended and restated certificate of incorporation to be inapplicable or unenforceable.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133" w:lineRule="exact"/>
        <w:rPr>
          <w:sz w:val="20"/>
          <w:szCs w:val="20"/>
          <w:color w:val="auto"/>
        </w:rPr>
      </w:pPr>
    </w:p>
    <w:p>
      <w:pPr>
        <w:ind w:right="460"/>
        <w:spacing w:after="0" w:line="273" w:lineRule="auto"/>
        <w:rPr>
          <w:sz w:val="20"/>
          <w:szCs w:val="20"/>
          <w:color w:val="auto"/>
        </w:rPr>
      </w:pPr>
      <w:r>
        <w:rPr>
          <w:rFonts w:ascii="Times New Roman" w:cs="Times New Roman" w:eastAsia="Times New Roman" w:hAnsi="Times New Roman"/>
          <w:sz w:val="14"/>
          <w:szCs w:val="14"/>
          <w:color w:val="auto"/>
        </w:rPr>
        <w:t>The transfer agent and registrar for our common stock is Equiniti Trust Company, LLC, with offices at 28 Liberty Street, Floor 53, New York, New York 10005. The transfer agent for any series of preferred stock that we may offer under this prospectus will be named and described in the prospectus supplement for that series.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Listing on Nasdaq</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common stock is listed on The Nasdaq Global Select Market under the trading symbol “ABOS.”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1280"/>
          </w:cols>
          <w:pgMar w:left="300" w:top="1120" w:right="319" w:bottom="1440" w:gutter="0" w:footer="0" w:header="0"/>
        </w:sectPr>
      </w:pPr>
    </w:p>
    <w:bookmarkStart w:id="18" w:name="page19"/>
    <w:bookmarkEnd w:id="18"/>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DESCRIPTION OF DEBT SECURITIES</w:t>
      </w:r>
    </w:p>
    <w:p>
      <w:pPr>
        <w:spacing w:after="0" w:line="13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4"/>
          <w:szCs w:val="14"/>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0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4"/>
          <w:szCs w:val="14"/>
          <w:color w:val="auto"/>
        </w:rPr>
        <w:t>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02" w:lineRule="exact"/>
        <w:rPr>
          <w:sz w:val="20"/>
          <w:szCs w:val="20"/>
          <w:color w:val="auto"/>
        </w:rPr>
      </w:pPr>
    </w:p>
    <w:p>
      <w:pPr>
        <w:ind w:right="480"/>
        <w:spacing w:after="0" w:line="259" w:lineRule="auto"/>
        <w:rPr>
          <w:sz w:val="20"/>
          <w:szCs w:val="20"/>
          <w:color w:val="auto"/>
        </w:rPr>
      </w:pPr>
      <w:r>
        <w:rPr>
          <w:rFonts w:ascii="Times New Roman" w:cs="Times New Roman" w:eastAsia="Times New Roman" w:hAnsi="Times New Roman"/>
          <w:sz w:val="14"/>
          <w:szCs w:val="14"/>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9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will describe in the applicable prospectus supplement the terms of the series of debt securities being offered, including:</w:t>
      </w:r>
    </w:p>
    <w:p>
      <w:pPr>
        <w:spacing w:after="0" w:line="129" w:lineRule="exact"/>
        <w:rPr>
          <w:sz w:val="20"/>
          <w:szCs w:val="20"/>
          <w:color w:val="auto"/>
        </w:rPr>
      </w:pPr>
    </w:p>
    <w:p>
      <w:pPr>
        <w:ind w:left="500" w:hanging="249"/>
        <w:spacing w:after="0"/>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series of debt securities;</w:t>
      </w:r>
    </w:p>
    <w:p>
      <w:pPr>
        <w:spacing w:after="0" w:line="12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 upon the aggregate principal amount that may be issued;</w:t>
      </w:r>
    </w:p>
    <w:p>
      <w:pPr>
        <w:spacing w:after="0" w:line="12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maturity date or dates;</w:t>
      </w:r>
    </w:p>
    <w:p>
      <w:pPr>
        <w:spacing w:after="0" w:line="12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of the debt securities of the series;</w:t>
      </w:r>
    </w:p>
    <w:p>
      <w:pPr>
        <w:spacing w:after="0" w:line="12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applicability of any guarantees;</w:t>
      </w:r>
    </w:p>
    <w:p>
      <w:pPr>
        <w:spacing w:after="0" w:line="12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or not the debt securities will be secured or unsecured, and the terms of any secured debt;</w:t>
      </w:r>
    </w:p>
    <w:p>
      <w:pPr>
        <w:spacing w:after="0" w:line="12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rank as senior debt, senior subordinated debt, subordinated debt or any combination thereof, and the terms of any subordination;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1240"/>
          </w:cols>
          <w:pgMar w:left="300" w:top="1240" w:right="359" w:bottom="1440" w:gutter="0" w:footer="0" w:header="0"/>
        </w:sectPr>
      </w:pPr>
    </w:p>
    <w:bookmarkStart w:id="19" w:name="page20"/>
    <w:bookmarkEnd w:id="19"/>
    <w:p>
      <w:pPr>
        <w:ind w:left="249" w:right="20" w:hanging="249"/>
        <w:spacing w:after="0" w:line="259" w:lineRule="auto"/>
        <w:tabs>
          <w:tab w:leader="none" w:pos="245"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99" w:lineRule="exact"/>
        <w:rPr>
          <w:rFonts w:ascii="Times New Roman" w:cs="Times New Roman" w:eastAsia="Times New Roman" w:hAnsi="Times New Roman"/>
          <w:sz w:val="14"/>
          <w:szCs w:val="14"/>
          <w:color w:val="auto"/>
        </w:rPr>
      </w:pPr>
    </w:p>
    <w:p>
      <w:pPr>
        <w:ind w:left="249" w:hanging="249"/>
        <w:spacing w:after="0" w:line="273" w:lineRule="auto"/>
        <w:tabs>
          <w:tab w:leader="none" w:pos="245"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88" w:lineRule="exact"/>
        <w:rPr>
          <w:rFonts w:ascii="Times New Roman" w:cs="Times New Roman" w:eastAsia="Times New Roman" w:hAnsi="Times New Roman"/>
          <w:sz w:val="14"/>
          <w:szCs w:val="14"/>
          <w:color w:val="auto"/>
        </w:rPr>
      </w:pPr>
    </w:p>
    <w:p>
      <w:pPr>
        <w:ind w:left="249" w:hanging="249"/>
        <w:spacing w:after="0"/>
        <w:tabs>
          <w:tab w:leader="none" w:pos="249"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right, if any, to defer payment of interest and the maximum length of any such deferral period;</w:t>
      </w:r>
    </w:p>
    <w:p>
      <w:pPr>
        <w:spacing w:after="0" w:line="128" w:lineRule="exact"/>
        <w:rPr>
          <w:rFonts w:ascii="Times New Roman" w:cs="Times New Roman" w:eastAsia="Times New Roman" w:hAnsi="Times New Roman"/>
          <w:sz w:val="14"/>
          <w:szCs w:val="14"/>
          <w:color w:val="auto"/>
        </w:rPr>
      </w:pPr>
    </w:p>
    <w:p>
      <w:pPr>
        <w:ind w:left="249" w:right="260" w:hanging="249"/>
        <w:spacing w:after="0" w:line="273" w:lineRule="auto"/>
        <w:tabs>
          <w:tab w:leader="none" w:pos="245"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88" w:lineRule="exact"/>
        <w:rPr>
          <w:rFonts w:ascii="Times New Roman" w:cs="Times New Roman" w:eastAsia="Times New Roman" w:hAnsi="Times New Roman"/>
          <w:sz w:val="14"/>
          <w:szCs w:val="14"/>
          <w:color w:val="auto"/>
        </w:rPr>
      </w:pPr>
    </w:p>
    <w:p>
      <w:pPr>
        <w:ind w:left="249" w:right="280" w:hanging="249"/>
        <w:spacing w:after="0" w:line="273" w:lineRule="auto"/>
        <w:tabs>
          <w:tab w:leader="none" w:pos="245"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88" w:lineRule="exact"/>
        <w:rPr>
          <w:rFonts w:ascii="Times New Roman" w:cs="Times New Roman" w:eastAsia="Times New Roman" w:hAnsi="Times New Roman"/>
          <w:sz w:val="14"/>
          <w:szCs w:val="14"/>
          <w:color w:val="auto"/>
        </w:rPr>
      </w:pPr>
    </w:p>
    <w:p>
      <w:pPr>
        <w:ind w:left="249" w:hanging="249"/>
        <w:spacing w:after="0"/>
        <w:tabs>
          <w:tab w:leader="none" w:pos="249"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denominations in which we will issue the series of debt securities, if other than denominations of $1,000 and any integral multiple thereof;</w:t>
      </w:r>
    </w:p>
    <w:p>
      <w:pPr>
        <w:spacing w:after="0" w:line="128" w:lineRule="exact"/>
        <w:rPr>
          <w:rFonts w:ascii="Times New Roman" w:cs="Times New Roman" w:eastAsia="Times New Roman" w:hAnsi="Times New Roman"/>
          <w:sz w:val="14"/>
          <w:szCs w:val="14"/>
          <w:color w:val="auto"/>
        </w:rPr>
      </w:pPr>
    </w:p>
    <w:p>
      <w:pPr>
        <w:ind w:left="249" w:right="140" w:hanging="249"/>
        <w:spacing w:after="0" w:line="273" w:lineRule="auto"/>
        <w:tabs>
          <w:tab w:leader="none" w:pos="245"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88" w:lineRule="exact"/>
        <w:rPr>
          <w:rFonts w:ascii="Times New Roman" w:cs="Times New Roman" w:eastAsia="Times New Roman" w:hAnsi="Times New Roman"/>
          <w:sz w:val="14"/>
          <w:szCs w:val="14"/>
          <w:color w:val="auto"/>
        </w:rPr>
      </w:pPr>
    </w:p>
    <w:p>
      <w:pPr>
        <w:ind w:left="249" w:hanging="249"/>
        <w:spacing w:after="0"/>
        <w:tabs>
          <w:tab w:leader="none" w:pos="249"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of the series shall be issued in whole or in part in the form of a global security or securities;</w:t>
      </w:r>
    </w:p>
    <w:p>
      <w:pPr>
        <w:spacing w:after="0" w:line="128" w:lineRule="exact"/>
        <w:rPr>
          <w:rFonts w:ascii="Times New Roman" w:cs="Times New Roman" w:eastAsia="Times New Roman" w:hAnsi="Times New Roman"/>
          <w:sz w:val="14"/>
          <w:szCs w:val="14"/>
          <w:color w:val="auto"/>
        </w:rPr>
      </w:pPr>
    </w:p>
    <w:p>
      <w:pPr>
        <w:ind w:left="249" w:hanging="249"/>
        <w:spacing w:after="0"/>
        <w:tabs>
          <w:tab w:leader="none" w:pos="249"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conditions, if any, upon which such global security or securities may be exchanged in whole or in part for other individual securities;</w:t>
      </w:r>
    </w:p>
    <w:p>
      <w:pPr>
        <w:spacing w:after="0" w:line="128" w:lineRule="exact"/>
        <w:rPr>
          <w:rFonts w:ascii="Times New Roman" w:cs="Times New Roman" w:eastAsia="Times New Roman" w:hAnsi="Times New Roman"/>
          <w:sz w:val="14"/>
          <w:szCs w:val="14"/>
          <w:color w:val="auto"/>
        </w:rPr>
      </w:pPr>
    </w:p>
    <w:p>
      <w:pPr>
        <w:ind w:left="249" w:hanging="249"/>
        <w:spacing w:after="0"/>
        <w:tabs>
          <w:tab w:leader="none" w:pos="249"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depositary for such global security or securities;</w:t>
      </w:r>
    </w:p>
    <w:p>
      <w:pPr>
        <w:spacing w:after="0" w:line="128" w:lineRule="exact"/>
        <w:rPr>
          <w:rFonts w:ascii="Times New Roman" w:cs="Times New Roman" w:eastAsia="Times New Roman" w:hAnsi="Times New Roman"/>
          <w:sz w:val="14"/>
          <w:szCs w:val="14"/>
          <w:color w:val="auto"/>
        </w:rPr>
      </w:pPr>
    </w:p>
    <w:p>
      <w:pPr>
        <w:ind w:left="249" w:right="340" w:hanging="249"/>
        <w:spacing w:after="0" w:line="259" w:lineRule="auto"/>
        <w:tabs>
          <w:tab w:leader="none" w:pos="245"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99" w:lineRule="exact"/>
        <w:rPr>
          <w:rFonts w:ascii="Times New Roman" w:cs="Times New Roman" w:eastAsia="Times New Roman" w:hAnsi="Times New Roman"/>
          <w:sz w:val="14"/>
          <w:szCs w:val="14"/>
          <w:color w:val="auto"/>
        </w:rPr>
      </w:pPr>
    </w:p>
    <w:p>
      <w:pPr>
        <w:ind w:left="249" w:hanging="249"/>
        <w:spacing w:after="0"/>
        <w:tabs>
          <w:tab w:leader="none" w:pos="249"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other than the full principal amount thereof, the portion of the principal amount of debt securities of the series which shall be payable upon declaration of acceleration of the maturity thereof;</w:t>
      </w:r>
    </w:p>
    <w:p>
      <w:pPr>
        <w:spacing w:after="0" w:line="140" w:lineRule="exact"/>
        <w:rPr>
          <w:rFonts w:ascii="Times New Roman" w:cs="Times New Roman" w:eastAsia="Times New Roman" w:hAnsi="Times New Roman"/>
          <w:sz w:val="13"/>
          <w:szCs w:val="13"/>
          <w:color w:val="auto"/>
        </w:rPr>
      </w:pPr>
    </w:p>
    <w:p>
      <w:pPr>
        <w:ind w:left="249" w:hanging="249"/>
        <w:spacing w:after="0"/>
        <w:tabs>
          <w:tab w:leader="none" w:pos="249"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to or changes in the covenants applicable to the particular debt securities being issued, including, among others, the consolidation, merger or sale covenant;</w:t>
      </w:r>
    </w:p>
    <w:p>
      <w:pPr>
        <w:spacing w:after="0" w:line="128" w:lineRule="exact"/>
        <w:rPr>
          <w:rFonts w:ascii="Times New Roman" w:cs="Times New Roman" w:eastAsia="Times New Roman" w:hAnsi="Times New Roman"/>
          <w:sz w:val="14"/>
          <w:szCs w:val="14"/>
          <w:color w:val="auto"/>
        </w:rPr>
      </w:pPr>
    </w:p>
    <w:p>
      <w:pPr>
        <w:ind w:left="249" w:right="20" w:hanging="249"/>
        <w:spacing w:after="0" w:line="273" w:lineRule="auto"/>
        <w:tabs>
          <w:tab w:leader="none" w:pos="245"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88" w:lineRule="exact"/>
        <w:rPr>
          <w:rFonts w:ascii="Times New Roman" w:cs="Times New Roman" w:eastAsia="Times New Roman" w:hAnsi="Times New Roman"/>
          <w:sz w:val="14"/>
          <w:szCs w:val="14"/>
          <w:color w:val="auto"/>
        </w:rPr>
      </w:pPr>
    </w:p>
    <w:p>
      <w:pPr>
        <w:ind w:left="249" w:hanging="249"/>
        <w:spacing w:after="0"/>
        <w:tabs>
          <w:tab w:leader="none" w:pos="249"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to or changes in or deletions of the provisions relating to covenant defeasance and legal defeasance;</w:t>
      </w:r>
    </w:p>
    <w:p>
      <w:pPr>
        <w:spacing w:after="0" w:line="128" w:lineRule="exact"/>
        <w:rPr>
          <w:rFonts w:ascii="Times New Roman" w:cs="Times New Roman" w:eastAsia="Times New Roman" w:hAnsi="Times New Roman"/>
          <w:sz w:val="14"/>
          <w:szCs w:val="14"/>
          <w:color w:val="auto"/>
        </w:rPr>
      </w:pPr>
    </w:p>
    <w:p>
      <w:pPr>
        <w:ind w:left="249" w:hanging="249"/>
        <w:spacing w:after="0"/>
        <w:tabs>
          <w:tab w:leader="none" w:pos="249"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to or changes in the provisions relating to satisfaction and discharge of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889"/>
          </w:cols>
          <w:pgMar w:left="551" w:top="1120" w:right="459" w:bottom="1440" w:gutter="0" w:footer="0" w:header="0"/>
        </w:sectPr>
      </w:pPr>
    </w:p>
    <w:bookmarkStart w:id="20" w:name="page21"/>
    <w:bookmarkEnd w:id="20"/>
    <w:p>
      <w:pPr>
        <w:ind w:left="500" w:hanging="249"/>
        <w:spacing w:after="0"/>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to or changes in the provisions relating to the modification of the indenture both with and without the consent of holders of debt securities issued under the indenture;</w:t>
      </w:r>
    </w:p>
    <w:p>
      <w:pPr>
        <w:spacing w:after="0" w:line="12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of payment of debt securities if other than U.S. dollars and the manner of determining the equivalent amount in U.S. dollars;</w:t>
      </w:r>
    </w:p>
    <w:p>
      <w:pPr>
        <w:spacing w:after="0" w:line="12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interest will be payable in cash or additional debt securities at our or the holders’ option and the terms and conditions upon which the election may be made;</w:t>
      </w:r>
    </w:p>
    <w:p>
      <w:pPr>
        <w:spacing w:after="0" w:line="128" w:lineRule="exact"/>
        <w:rPr>
          <w:rFonts w:ascii="Times New Roman" w:cs="Times New Roman" w:eastAsia="Times New Roman" w:hAnsi="Times New Roman"/>
          <w:sz w:val="14"/>
          <w:szCs w:val="14"/>
          <w:color w:val="auto"/>
        </w:rPr>
      </w:pPr>
    </w:p>
    <w:p>
      <w:pPr>
        <w:ind w:left="500" w:right="180" w:hanging="249"/>
        <w:spacing w:after="0" w:line="273" w:lineRule="auto"/>
        <w:tabs>
          <w:tab w:leader="none" w:pos="49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8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restrictions on transfer, sale or assignment of the debt securities of the series; and</w:t>
      </w:r>
    </w:p>
    <w:p>
      <w:pPr>
        <w:spacing w:after="0" w:line="128" w:lineRule="exact"/>
        <w:rPr>
          <w:rFonts w:ascii="Times New Roman" w:cs="Times New Roman" w:eastAsia="Times New Roman" w:hAnsi="Times New Roman"/>
          <w:sz w:val="14"/>
          <w:szCs w:val="14"/>
          <w:color w:val="auto"/>
        </w:rPr>
      </w:pPr>
    </w:p>
    <w:p>
      <w:pPr>
        <w:ind w:left="500" w:right="260" w:hanging="249"/>
        <w:spacing w:after="0" w:line="273" w:lineRule="auto"/>
        <w:tabs>
          <w:tab w:leader="none" w:pos="49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Conversion or Exchange Rights</w:t>
      </w:r>
    </w:p>
    <w:p>
      <w:pPr>
        <w:spacing w:after="0" w:line="133" w:lineRule="exact"/>
        <w:rPr>
          <w:sz w:val="20"/>
          <w:szCs w:val="20"/>
          <w:color w:val="auto"/>
        </w:rPr>
      </w:pPr>
    </w:p>
    <w:p>
      <w:pPr>
        <w:jc w:val="both"/>
        <w:ind w:right="320"/>
        <w:spacing w:after="0" w:line="259" w:lineRule="auto"/>
        <w:rPr>
          <w:sz w:val="20"/>
          <w:szCs w:val="20"/>
          <w:color w:val="auto"/>
        </w:rPr>
      </w:pPr>
      <w:r>
        <w:rPr>
          <w:rFonts w:ascii="Times New Roman" w:cs="Times New Roman" w:eastAsia="Times New Roman" w:hAnsi="Times New Roman"/>
          <w:sz w:val="14"/>
          <w:szCs w:val="14"/>
          <w:color w:val="auto"/>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Consolidation, Merger or Sale</w:t>
      </w:r>
    </w:p>
    <w:p>
      <w:pPr>
        <w:spacing w:after="0" w:line="1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Events of Default under the Indenture</w:t>
      </w:r>
    </w:p>
    <w:p>
      <w:pPr>
        <w:spacing w:after="0" w:line="133" w:lineRule="exact"/>
        <w:rPr>
          <w:sz w:val="20"/>
          <w:szCs w:val="20"/>
          <w:color w:val="auto"/>
        </w:rPr>
      </w:pPr>
    </w:p>
    <w:p>
      <w:pPr>
        <w:ind w:right="400"/>
        <w:spacing w:after="0" w:line="273" w:lineRule="auto"/>
        <w:rPr>
          <w:sz w:val="20"/>
          <w:szCs w:val="20"/>
          <w:color w:val="auto"/>
        </w:rPr>
      </w:pPr>
      <w:r>
        <w:rPr>
          <w:rFonts w:ascii="Times New Roman" w:cs="Times New Roman" w:eastAsia="Times New Roman" w:hAnsi="Times New Roman"/>
          <w:sz w:val="14"/>
          <w:szCs w:val="14"/>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89" w:lineRule="exact"/>
        <w:rPr>
          <w:sz w:val="20"/>
          <w:szCs w:val="20"/>
          <w:color w:val="auto"/>
        </w:rPr>
      </w:pPr>
    </w:p>
    <w:p>
      <w:pPr>
        <w:ind w:left="500" w:right="120" w:hanging="249"/>
        <w:spacing w:after="0" w:line="259" w:lineRule="auto"/>
        <w:tabs>
          <w:tab w:leader="none" w:pos="49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99" w:lineRule="exact"/>
        <w:rPr>
          <w:rFonts w:ascii="Times New Roman" w:cs="Times New Roman" w:eastAsia="Times New Roman" w:hAnsi="Times New Roman"/>
          <w:sz w:val="14"/>
          <w:szCs w:val="14"/>
          <w:color w:val="auto"/>
        </w:rPr>
      </w:pPr>
    </w:p>
    <w:p>
      <w:pPr>
        <w:ind w:left="500" w:right="80" w:hanging="249"/>
        <w:spacing w:after="0" w:line="259" w:lineRule="auto"/>
        <w:tabs>
          <w:tab w:leader="none" w:pos="49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99" w:lineRule="exact"/>
        <w:rPr>
          <w:rFonts w:ascii="Times New Roman" w:cs="Times New Roman" w:eastAsia="Times New Roman" w:hAnsi="Times New Roman"/>
          <w:sz w:val="14"/>
          <w:szCs w:val="14"/>
          <w:color w:val="auto"/>
        </w:rPr>
      </w:pPr>
    </w:p>
    <w:p>
      <w:pPr>
        <w:jc w:val="both"/>
        <w:ind w:left="500" w:hanging="249"/>
        <w:spacing w:after="0" w:line="259" w:lineRule="auto"/>
        <w:tabs>
          <w:tab w:leader="none" w:pos="49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1280"/>
          </w:cols>
          <w:pgMar w:left="300" w:top="1120" w:right="319" w:bottom="1440" w:gutter="0" w:footer="0" w:header="0"/>
        </w:sectPr>
      </w:pPr>
    </w:p>
    <w:bookmarkStart w:id="21" w:name="page22"/>
    <w:bookmarkEnd w:id="21"/>
    <w:p>
      <w:pPr>
        <w:ind w:left="500" w:hanging="249"/>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specified events of bankruptcy, insolvency or reorganization occur.</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102"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4"/>
          <w:szCs w:val="14"/>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9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102" w:lineRule="exact"/>
        <w:rPr>
          <w:sz w:val="20"/>
          <w:szCs w:val="20"/>
          <w:color w:val="auto"/>
        </w:rPr>
      </w:pPr>
    </w:p>
    <w:p>
      <w:pPr>
        <w:ind w:left="500" w:hanging="249"/>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direction so given by the holder is not in conflict with any rule of law or the applicable indenture; and</w:t>
      </w:r>
    </w:p>
    <w:p>
      <w:pPr>
        <w:spacing w:after="0" w:line="128" w:lineRule="exact"/>
        <w:rPr>
          <w:rFonts w:ascii="Times New Roman" w:cs="Times New Roman" w:eastAsia="Times New Roman" w:hAnsi="Times New Roman"/>
          <w:sz w:val="14"/>
          <w:szCs w:val="14"/>
          <w:color w:val="auto"/>
        </w:rPr>
      </w:pPr>
    </w:p>
    <w:p>
      <w:pPr>
        <w:ind w:left="500" w:right="180" w:hanging="249"/>
        <w:spacing w:after="0" w:line="273" w:lineRule="auto"/>
        <w:tabs>
          <w:tab w:leader="none" w:pos="49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its duties under the Trust Indenture Act, the trustee need not take any action that might involve it in personal liability or might be unduly prejudicial to the holders not involved in the proceeding.</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holder of the debt securities of any series will have the right to institute a proceeding under the indenture or to appoint a receiver or trustee, or to seek other remedies only if:</w:t>
      </w:r>
    </w:p>
    <w:p>
      <w:pPr>
        <w:spacing w:after="0" w:line="129" w:lineRule="exact"/>
        <w:rPr>
          <w:sz w:val="20"/>
          <w:szCs w:val="20"/>
          <w:color w:val="auto"/>
        </w:rPr>
      </w:pPr>
    </w:p>
    <w:p>
      <w:pPr>
        <w:ind w:left="500" w:hanging="249"/>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has given written notice to the trustee of a continuing event of default with respect to that series;</w:t>
      </w:r>
    </w:p>
    <w:p>
      <w:pPr>
        <w:spacing w:after="0" w:line="12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at least 25% in aggregate principal amount of the outstanding debt securities of that series have made written request,</w:t>
      </w:r>
    </w:p>
    <w:p>
      <w:pPr>
        <w:spacing w:after="0" w:line="12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holders have offered to the trustee indemnity satisfactory to it against the costs, expenses and liabilities to be incurred by the trustee in compliance with the request; and</w:t>
      </w:r>
    </w:p>
    <w:p>
      <w:pPr>
        <w:spacing w:after="0" w:line="128" w:lineRule="exact"/>
        <w:rPr>
          <w:rFonts w:ascii="Times New Roman" w:cs="Times New Roman" w:eastAsia="Times New Roman" w:hAnsi="Times New Roman"/>
          <w:sz w:val="14"/>
          <w:szCs w:val="14"/>
          <w:color w:val="auto"/>
        </w:rPr>
      </w:pPr>
    </w:p>
    <w:p>
      <w:pPr>
        <w:ind w:left="500" w:right="240" w:hanging="249"/>
        <w:spacing w:after="0" w:line="273" w:lineRule="auto"/>
        <w:tabs>
          <w:tab w:leader="none" w:pos="49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limitations do not apply to a suit instituted by a holder of debt securities if we default in the payment of the principal, premium, if any, or interest on, the debt securities.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will periodically file statements with the trustee regarding our compliance with specified covenants in the indenture.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Modification of Indenture; Waiver</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and the trustee may change an indenture without the consent of any holders with respect to specific matters:</w:t>
      </w:r>
    </w:p>
    <w:p>
      <w:pPr>
        <w:spacing w:after="0" w:line="129" w:lineRule="exact"/>
        <w:rPr>
          <w:sz w:val="20"/>
          <w:szCs w:val="20"/>
          <w:color w:val="auto"/>
        </w:rPr>
      </w:pPr>
    </w:p>
    <w:p>
      <w:pPr>
        <w:ind w:left="500" w:hanging="249"/>
        <w:spacing w:after="0"/>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defect or inconsistency in the indenture or in the debt securities of any series;</w:t>
      </w:r>
    </w:p>
    <w:p>
      <w:pPr>
        <w:spacing w:after="0" w:line="12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the provisions described above under “Description of Debt Securities—Consolidation, Merger or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1240"/>
          </w:cols>
          <w:pgMar w:left="300" w:top="1120" w:right="359" w:bottom="1440" w:gutter="0" w:footer="0" w:header="0"/>
        </w:sectPr>
      </w:pPr>
    </w:p>
    <w:bookmarkStart w:id="22" w:name="page23"/>
    <w:bookmarkEnd w:id="22"/>
    <w:p>
      <w:pPr>
        <w:ind w:left="500" w:hanging="249"/>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uncertificated debt securities in addition to or in place of certificated debt securities;</w:t>
      </w:r>
    </w:p>
    <w:p>
      <w:pPr>
        <w:spacing w:after="0" w:line="128" w:lineRule="exact"/>
        <w:rPr>
          <w:rFonts w:ascii="Times New Roman" w:cs="Times New Roman" w:eastAsia="Times New Roman" w:hAnsi="Times New Roman"/>
          <w:sz w:val="14"/>
          <w:szCs w:val="14"/>
          <w:color w:val="auto"/>
        </w:rPr>
      </w:pPr>
    </w:p>
    <w:p>
      <w:pPr>
        <w:ind w:left="500" w:hanging="249"/>
        <w:spacing w:after="0" w:line="259" w:lineRule="auto"/>
        <w:tabs>
          <w:tab w:leader="none" w:pos="49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99" w:lineRule="exact"/>
        <w:rPr>
          <w:rFonts w:ascii="Times New Roman" w:cs="Times New Roman" w:eastAsia="Times New Roman" w:hAnsi="Times New Roman"/>
          <w:sz w:val="14"/>
          <w:szCs w:val="14"/>
          <w:color w:val="auto"/>
        </w:rPr>
      </w:pPr>
    </w:p>
    <w:p>
      <w:pPr>
        <w:ind w:left="500" w:right="100" w:hanging="249"/>
        <w:spacing w:after="0" w:line="273" w:lineRule="auto"/>
        <w:tabs>
          <w:tab w:leader="none" w:pos="49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delete from or revise the conditions, limitations, and restrictions on the authorized amount, terms, or purposes of issue, authentication and delivery of debt securities, as set forth in the indenture;</w:t>
      </w:r>
    </w:p>
    <w:p>
      <w:pPr>
        <w:spacing w:after="0" w:line="8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change that does not adversely affect the interests of any holder of debt securities of any series in any material respect;</w:t>
      </w:r>
    </w:p>
    <w:p>
      <w:pPr>
        <w:spacing w:after="0" w:line="128" w:lineRule="exact"/>
        <w:rPr>
          <w:rFonts w:ascii="Times New Roman" w:cs="Times New Roman" w:eastAsia="Times New Roman" w:hAnsi="Times New Roman"/>
          <w:sz w:val="14"/>
          <w:szCs w:val="14"/>
          <w:color w:val="auto"/>
        </w:rPr>
      </w:pPr>
    </w:p>
    <w:p>
      <w:pPr>
        <w:ind w:left="500" w:right="80" w:hanging="249"/>
        <w:spacing w:after="0" w:line="312" w:lineRule="auto"/>
        <w:tabs>
          <w:tab w:leader="none" w:pos="496"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66" w:lineRule="exact"/>
        <w:rPr>
          <w:rFonts w:ascii="Times New Roman" w:cs="Times New Roman" w:eastAsia="Times New Roman" w:hAnsi="Times New Roman"/>
          <w:sz w:val="13"/>
          <w:szCs w:val="13"/>
          <w:color w:val="auto"/>
        </w:rPr>
      </w:pPr>
    </w:p>
    <w:p>
      <w:pPr>
        <w:ind w:left="500" w:hanging="249"/>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and provide for the acceptance of appointment under any indenture by a successor trustee; or</w:t>
      </w:r>
    </w:p>
    <w:p>
      <w:pPr>
        <w:spacing w:after="0" w:line="12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any requirements of the SEC in connection with the qualification of any indenture under the Trust Indenture Act.</w:t>
      </w:r>
    </w:p>
    <w:p>
      <w:pPr>
        <w:spacing w:after="0" w:line="129" w:lineRule="exact"/>
        <w:rPr>
          <w:sz w:val="20"/>
          <w:szCs w:val="20"/>
          <w:color w:val="auto"/>
        </w:rPr>
      </w:pPr>
    </w:p>
    <w:p>
      <w:pPr>
        <w:jc w:val="both"/>
        <w:ind w:right="80"/>
        <w:spacing w:after="0" w:line="259" w:lineRule="auto"/>
        <w:rPr>
          <w:sz w:val="20"/>
          <w:szCs w:val="20"/>
          <w:color w:val="auto"/>
        </w:rPr>
      </w:pPr>
      <w:r>
        <w:rPr>
          <w:rFonts w:ascii="Times New Roman" w:cs="Times New Roman" w:eastAsia="Times New Roman" w:hAnsi="Times New Roman"/>
          <w:sz w:val="14"/>
          <w:szCs w:val="14"/>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99" w:lineRule="exact"/>
        <w:rPr>
          <w:sz w:val="20"/>
          <w:szCs w:val="20"/>
          <w:color w:val="auto"/>
        </w:rPr>
      </w:pPr>
    </w:p>
    <w:p>
      <w:pPr>
        <w:ind w:left="500" w:hanging="249"/>
        <w:spacing w:after="0"/>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extending the fixed maturity of any debt securities of any series;</w:t>
      </w:r>
    </w:p>
    <w:p>
      <w:pPr>
        <w:spacing w:after="0" w:line="12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reducing the principal amount, reducing the rate of or extending the time of payment of interest, or reducing any premium payable upon the redemption of any series of any debt securities; or</w:t>
      </w:r>
    </w:p>
    <w:p>
      <w:pPr>
        <w:spacing w:after="0" w:line="12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reducing the percentage of debt securities, the holders of which are required to consent to any amendment, supplement, modification or waiver.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Discharge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Each indenture provides that we can elect to be discharged from our obligations with respect to one or more series of debt securities, except for specified obligations, including obligations to:</w:t>
      </w:r>
    </w:p>
    <w:p>
      <w:pPr>
        <w:spacing w:after="0" w:line="129" w:lineRule="exact"/>
        <w:rPr>
          <w:sz w:val="20"/>
          <w:szCs w:val="20"/>
          <w:color w:val="auto"/>
        </w:rPr>
      </w:pPr>
    </w:p>
    <w:p>
      <w:pPr>
        <w:ind w:left="500" w:hanging="249"/>
        <w:spacing w:after="0"/>
        <w:tabs>
          <w:tab w:leader="none" w:pos="5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for payment;</w:t>
      </w:r>
    </w:p>
    <w:p>
      <w:pPr>
        <w:spacing w:after="0" w:line="12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register the transfer or exchange of debt securities of the series;</w:t>
      </w:r>
    </w:p>
    <w:p>
      <w:pPr>
        <w:spacing w:after="0" w:line="12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replace stolen, lost or mutilated debt securities of the series;</w:t>
      </w:r>
    </w:p>
    <w:p>
      <w:pPr>
        <w:spacing w:after="0" w:line="12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principal of and premium and interest on any debt securities of the series;</w:t>
      </w:r>
    </w:p>
    <w:p>
      <w:pPr>
        <w:spacing w:after="0" w:line="12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paying agencies;</w:t>
      </w:r>
    </w:p>
    <w:p>
      <w:pPr>
        <w:spacing w:after="0" w:line="12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 monies for payment in trust;</w:t>
      </w:r>
    </w:p>
    <w:p>
      <w:pPr>
        <w:spacing w:after="0" w:line="12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recover excess money held by the trustee;</w:t>
      </w:r>
    </w:p>
    <w:p>
      <w:pPr>
        <w:spacing w:after="0" w:line="12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compensate and indemnify the trustee; and</w:t>
      </w:r>
    </w:p>
    <w:p>
      <w:pPr>
        <w:spacing w:after="0" w:line="12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appoint any successor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1220"/>
          </w:cols>
          <w:pgMar w:left="300" w:top="1120" w:right="379" w:bottom="1440" w:gutter="0" w:footer="0" w:header="0"/>
        </w:sectPr>
      </w:pPr>
    </w:p>
    <w:bookmarkStart w:id="23" w:name="page24"/>
    <w:bookmarkEnd w:id="23"/>
    <w:p>
      <w:pPr>
        <w:ind w:right="420"/>
        <w:spacing w:after="0" w:line="273" w:lineRule="auto"/>
        <w:rPr>
          <w:sz w:val="20"/>
          <w:szCs w:val="20"/>
          <w:color w:val="auto"/>
        </w:rPr>
      </w:pPr>
      <w:r>
        <w:rPr>
          <w:rFonts w:ascii="Times New Roman" w:cs="Times New Roman" w:eastAsia="Times New Roman" w:hAnsi="Times New Roman"/>
          <w:sz w:val="14"/>
          <w:szCs w:val="14"/>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Form, Exchange and Transfer</w:t>
      </w:r>
    </w:p>
    <w:p>
      <w:pPr>
        <w:spacing w:after="0" w:line="13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102"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4"/>
          <w:szCs w:val="14"/>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4"/>
          <w:szCs w:val="14"/>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0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we elect to redeem the debt securities of any series, we will not be required to:</w:t>
      </w:r>
    </w:p>
    <w:p>
      <w:pPr>
        <w:spacing w:after="0" w:line="129" w:lineRule="exact"/>
        <w:rPr>
          <w:sz w:val="20"/>
          <w:szCs w:val="20"/>
          <w:color w:val="auto"/>
        </w:rPr>
      </w:pPr>
    </w:p>
    <w:p>
      <w:pPr>
        <w:ind w:left="500" w:right="60" w:hanging="249"/>
        <w:spacing w:after="0" w:line="273" w:lineRule="auto"/>
        <w:tabs>
          <w:tab w:leader="none" w:pos="49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8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register the transfer of or exchange any debt securities so selected for redemption, in whole or in part, except the unredeemed portion of any debt securities we are redeeming in part.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Information Concerning the Trustee</w:t>
      </w:r>
    </w:p>
    <w:p>
      <w:pPr>
        <w:spacing w:after="0" w:line="133"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4"/>
          <w:szCs w:val="14"/>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Payment and Paying Agents</w:t>
      </w:r>
    </w:p>
    <w:p>
      <w:pPr>
        <w:spacing w:after="0" w:line="133" w:lineRule="exact"/>
        <w:rPr>
          <w:sz w:val="20"/>
          <w:szCs w:val="20"/>
          <w:color w:val="auto"/>
        </w:rPr>
      </w:pPr>
    </w:p>
    <w:p>
      <w:pPr>
        <w:ind w:right="380"/>
        <w:spacing w:after="0" w:line="273" w:lineRule="auto"/>
        <w:rPr>
          <w:sz w:val="20"/>
          <w:szCs w:val="20"/>
          <w:color w:val="auto"/>
        </w:rPr>
      </w:pPr>
      <w:r>
        <w:rPr>
          <w:rFonts w:ascii="Times New Roman" w:cs="Times New Roman" w:eastAsia="Times New Roman" w:hAnsi="Times New Roman"/>
          <w:sz w:val="14"/>
          <w:szCs w:val="14"/>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1280"/>
          </w:cols>
          <w:pgMar w:left="300" w:top="1120" w:right="319" w:bottom="1440" w:gutter="0" w:footer="0" w:header="0"/>
        </w:sectPr>
      </w:pPr>
    </w:p>
    <w:bookmarkStart w:id="24" w:name="page25"/>
    <w:bookmarkEnd w:id="24"/>
    <w:p>
      <w:pPr>
        <w:spacing w:after="0" w:line="253" w:lineRule="auto"/>
        <w:rPr>
          <w:sz w:val="20"/>
          <w:szCs w:val="20"/>
          <w:color w:val="auto"/>
        </w:rPr>
      </w:pPr>
      <w:r>
        <w:rPr>
          <w:rFonts w:ascii="Times New Roman" w:cs="Times New Roman" w:eastAsia="Times New Roman" w:hAnsi="Times New Roman"/>
          <w:sz w:val="14"/>
          <w:szCs w:val="14"/>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03"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4"/>
          <w:szCs w:val="14"/>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indenture and the debt securities will be governed by and construed in accordance with the internal laws of the State of New York, except to the extent that the Trust Indenture Act is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1200"/>
          </w:cols>
          <w:pgMar w:left="300" w:top="1120" w:right="399" w:bottom="1440" w:gutter="0" w:footer="0" w:header="0"/>
        </w:sectPr>
      </w:pPr>
    </w:p>
    <w:bookmarkStart w:id="25" w:name="page26"/>
    <w:bookmarkEnd w:id="25"/>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DESCRIPTION OF WARRANTS</w:t>
      </w:r>
    </w:p>
    <w:p>
      <w:pPr>
        <w:spacing w:after="0" w:line="13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4"/>
          <w:szCs w:val="14"/>
          <w:color w:val="auto"/>
        </w:rPr>
        <w:t>The following description, together with the additional information we may include in any applicable prospectus supplements and in any related free writing prospectuses that we may authorize to be distributed to you, summarizes the material terms and provisions of the warrants that we may offer under this prospectus, which may consist of warrants to purchase common stock, preferred stock or debt securities and be issued in one or more series. Warrants may be offered independently or in combination with common stock, preferred stock or debt securities offered by any prospectus supplement, and may be attached to or separate from those securities. While the terms we have summarized below will apply generally to any warrants that we may offer under this prospectus, we will describe the particular terms of any series of warrants that we may offer in more detail in the applicable prospectus supplement and any applicable free writing prospectus. The following description of warrants will apply to the warrants offered by this prospectus unless we provide otherwise in the applicable prospectus supplement. The applicable prospectus supplement for a particular series of warrants may specify different or additional terms.</w:t>
      </w:r>
    </w:p>
    <w:p>
      <w:pPr>
        <w:spacing w:after="0" w:line="10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4"/>
          <w:szCs w:val="14"/>
          <w:color w:val="auto"/>
        </w:rPr>
        <w:t>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describe the terms of the particular series of warrants we are offering, and any supplemental agreements, before the issuance of such warrants. The following summaries of material terms and provisions of the warrants are subject to, and qualified in their entirety by reference to, all the provisions of the form of warrant and/or the warrant agreement and warrant certificate, as applicable, and any supplemental agreements applicable to a particular series of warrants that we may offer under this prospectus. We urge you to read the applicable prospectus supplement related to the particular series of warrants that we may offer under this prospectus, as well as any related free writing prospectuses, and the complete form of warrant and/or the warrant agreement and warrant certificate, as applicable, and any supplemental agreements, that contain the terms of the warrants.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will describe in the applicable prospectus supplement the terms of the series of warrants being offered, including, to the extent applicable:</w:t>
      </w:r>
    </w:p>
    <w:p>
      <w:pPr>
        <w:spacing w:after="0" w:line="129" w:lineRule="exact"/>
        <w:rPr>
          <w:sz w:val="20"/>
          <w:szCs w:val="20"/>
          <w:color w:val="auto"/>
        </w:rPr>
      </w:pPr>
    </w:p>
    <w:p>
      <w:pPr>
        <w:ind w:left="500" w:hanging="249"/>
        <w:spacing w:after="0"/>
        <w:tabs>
          <w:tab w:leader="none" w:pos="5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such securities;</w:t>
      </w:r>
    </w:p>
    <w:p>
      <w:pPr>
        <w:spacing w:after="0" w:line="12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offering price or prices and aggregate number of warrants offered;</w:t>
      </w:r>
    </w:p>
    <w:p>
      <w:pPr>
        <w:spacing w:after="0" w:line="12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or currencies for which the warrants may be purchased;</w:t>
      </w:r>
    </w:p>
    <w:p>
      <w:pPr>
        <w:spacing w:after="0" w:line="12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applicable, the designation and terms of the securities with which the warrants are issued and the number of warrants issued with each such security or each principal amount of such security;</w:t>
      </w:r>
    </w:p>
    <w:p>
      <w:pPr>
        <w:spacing w:after="0" w:line="140" w:lineRule="exact"/>
        <w:rPr>
          <w:rFonts w:ascii="Times New Roman" w:cs="Times New Roman" w:eastAsia="Times New Roman" w:hAnsi="Times New Roman"/>
          <w:sz w:val="13"/>
          <w:szCs w:val="13"/>
          <w:color w:val="auto"/>
        </w:rPr>
      </w:pPr>
    </w:p>
    <w:p>
      <w:pPr>
        <w:ind w:left="500" w:hanging="249"/>
        <w:spacing w:after="0"/>
        <w:tabs>
          <w:tab w:leader="none" w:pos="5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date on and after which the warrants and the related securities will be separately transferable;</w:t>
      </w:r>
    </w:p>
    <w:p>
      <w:pPr>
        <w:spacing w:after="0" w:line="12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minimum or maximum amount of such warrants which may be exercised at any one time;</w:t>
      </w:r>
    </w:p>
    <w:p>
      <w:pPr>
        <w:spacing w:after="0" w:line="128" w:lineRule="exact"/>
        <w:rPr>
          <w:rFonts w:ascii="Times New Roman" w:cs="Times New Roman" w:eastAsia="Times New Roman" w:hAnsi="Times New Roman"/>
          <w:sz w:val="14"/>
          <w:szCs w:val="14"/>
          <w:color w:val="auto"/>
        </w:rPr>
      </w:pPr>
    </w:p>
    <w:p>
      <w:pPr>
        <w:ind w:left="500" w:right="80" w:hanging="249"/>
        <w:spacing w:after="0" w:line="273" w:lineRule="auto"/>
        <w:tabs>
          <w:tab w:leader="none" w:pos="49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88" w:lineRule="exact"/>
        <w:rPr>
          <w:rFonts w:ascii="Times New Roman" w:cs="Times New Roman" w:eastAsia="Times New Roman" w:hAnsi="Times New Roman"/>
          <w:sz w:val="14"/>
          <w:szCs w:val="14"/>
          <w:color w:val="auto"/>
        </w:rPr>
      </w:pPr>
    </w:p>
    <w:p>
      <w:pPr>
        <w:ind w:left="500" w:right="100" w:hanging="249"/>
        <w:spacing w:after="0" w:line="273" w:lineRule="auto"/>
        <w:tabs>
          <w:tab w:leader="none" w:pos="49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warrants to purchase common stock or preferred stock, the number of shares of common stock or preferred stock, as the case may be, purchasable upon the exercise of one warrant and the price at which, and the currency in which, these shares may be purchased upon such exercise;</w:t>
      </w:r>
    </w:p>
    <w:p>
      <w:pPr>
        <w:spacing w:after="0" w:line="8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any merger, consolidation, sale or other disposition of our business on the warrant agreements and the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1240"/>
          </w:cols>
          <w:pgMar w:left="300" w:top="1240" w:right="359" w:bottom="1440" w:gutter="0" w:footer="0" w:header="0"/>
        </w:sectPr>
      </w:pPr>
    </w:p>
    <w:bookmarkStart w:id="26" w:name="page27"/>
    <w:bookmarkEnd w:id="26"/>
    <w:p>
      <w:pPr>
        <w:ind w:left="500" w:hanging="249"/>
        <w:spacing w:after="0"/>
        <w:tabs>
          <w:tab w:leader="none" w:pos="5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any rights to redeem or call the warrants;</w:t>
      </w:r>
    </w:p>
    <w:p>
      <w:pPr>
        <w:spacing w:after="0" w:line="12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any rights to force the exercise of the warrants;</w:t>
      </w:r>
    </w:p>
    <w:p>
      <w:pPr>
        <w:spacing w:after="0" w:line="12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for changes to or adjustments in the exercise price or number of securities issuable upon exercise of the warrants;</w:t>
      </w:r>
    </w:p>
    <w:p>
      <w:pPr>
        <w:spacing w:after="0" w:line="12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the right to exercise the warrants will commence and expire;</w:t>
      </w:r>
    </w:p>
    <w:p>
      <w:pPr>
        <w:spacing w:after="0" w:line="12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manner in which the warrant agreements and warrants may be modified;</w:t>
      </w:r>
    </w:p>
    <w:p>
      <w:pPr>
        <w:spacing w:after="0" w:line="12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discussion of any material or special U.S. federal income tax considerations of holding or exercising the warrants;</w:t>
      </w:r>
    </w:p>
    <w:p>
      <w:pPr>
        <w:spacing w:after="0" w:line="12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securities issuable upon exercise of the warrants; and</w:t>
      </w:r>
    </w:p>
    <w:p>
      <w:pPr>
        <w:spacing w:after="0" w:line="12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specific terms, preferences, rights or limitations of or restrictions on the warrants.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Before exercising their warrants, holders of warrants will not have any of the rights of holders of the securities purchasable upon such exercise, including:</w:t>
      </w:r>
    </w:p>
    <w:p>
      <w:pPr>
        <w:spacing w:after="0" w:line="129" w:lineRule="exact"/>
        <w:rPr>
          <w:sz w:val="20"/>
          <w:szCs w:val="20"/>
          <w:color w:val="auto"/>
        </w:rPr>
      </w:pPr>
    </w:p>
    <w:p>
      <w:pPr>
        <w:ind w:left="500" w:right="380" w:hanging="249"/>
        <w:spacing w:after="0" w:line="273" w:lineRule="auto"/>
        <w:tabs>
          <w:tab w:leader="none" w:pos="49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warrants to purchase debt securities, the right to receive payments of principal of, or premium, if any, or interest on, the debt securities purchasable upon exercise or to enforce covenants in the applicable indenture; or</w:t>
      </w:r>
    </w:p>
    <w:p>
      <w:pPr>
        <w:spacing w:after="0" w:line="88" w:lineRule="exact"/>
        <w:rPr>
          <w:rFonts w:ascii="Times New Roman" w:cs="Times New Roman" w:eastAsia="Times New Roman" w:hAnsi="Times New Roman"/>
          <w:sz w:val="14"/>
          <w:szCs w:val="14"/>
          <w:color w:val="auto"/>
        </w:rPr>
      </w:pPr>
    </w:p>
    <w:p>
      <w:pPr>
        <w:ind w:left="500" w:hanging="249"/>
        <w:spacing w:after="0" w:line="273" w:lineRule="auto"/>
        <w:tabs>
          <w:tab w:leader="none" w:pos="49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warrants to purchase common stock or preferred stock, the right to receive dividends, if any, or, payments upon our liquidation, dissolution or winding up or to exercise voting rights, if any.</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Exercise of Warrants</w:t>
      </w:r>
    </w:p>
    <w:p>
      <w:pPr>
        <w:spacing w:after="0" w:line="13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4"/>
          <w:szCs w:val="14"/>
          <w:color w:val="auto"/>
        </w:rPr>
        <w:t>Each warrant will entitle the holder to purchase the securities that we specify in the applicable prospectus supplement at the exercise price that we describe in the applicable prospectus supplement. The warrants may be exercised as set forth in the prospectus supplement relating to the warrants offered. Unless we otherwise specify in the applicable prospectus supplement, warrants may be exercised at any time up to the specified time on the expiration date set forth in the prospectus supplement relating to the warrants offered thereby. After the close of business on the expiration date, unexercised warrants will become void.</w:t>
      </w:r>
    </w:p>
    <w:p>
      <w:pPr>
        <w:spacing w:after="0" w:line="102"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Upon receipt of payment and the warrant or warrant certificate, as applicable, properly completed and duly executed at the corporate trust office of the warrant agent, if any, or any other office, including ours, indicated in the applicable prospectus supplement, we will issue and deliver the securities purchasable upon such exercise. If less than all of the warrants (or the warrants represented by such warrant certificate) are exercised, a new warrant or a new warrant certificate, as applicable, will be issued for the remaining warrants.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Unless we otherwise specify in the applicable prospectus supplement, the warrants and any warrant agreements will be governed by and construed in accordance with the laws of the State of New York.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Enforceability of Rights by Holders of Warrants</w:t>
      </w:r>
    </w:p>
    <w:p>
      <w:pPr>
        <w:spacing w:after="0" w:line="13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1280"/>
          </w:cols>
          <w:pgMar w:left="300" w:top="1119" w:right="319" w:bottom="1440" w:gutter="0" w:footer="0" w:header="0"/>
        </w:sectPr>
      </w:pPr>
    </w:p>
    <w:bookmarkStart w:id="27" w:name="page28"/>
    <w:bookmarkEnd w:id="27"/>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LEGAL OWNERSHIP OF SECURITIES</w:t>
      </w:r>
    </w:p>
    <w:p>
      <w:pPr>
        <w:spacing w:after="0" w:line="13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4"/>
          <w:szCs w:val="14"/>
          <w:color w:val="auto"/>
        </w:rPr>
        <w:t>We can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Book-Entry Holders</w:t>
      </w:r>
    </w:p>
    <w:p>
      <w:pPr>
        <w:spacing w:after="0" w:line="133"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4"/>
          <w:szCs w:val="14"/>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99"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4"/>
          <w:szCs w:val="14"/>
          <w:color w:val="auto"/>
        </w:rPr>
        <w:t>Only the person in whose name a security is registered is recognized as the holder of that security. Global securities will be registered in the name of the depositary or its participants. Consequently, for global securities,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02"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3"/>
          <w:szCs w:val="13"/>
          <w:color w:val="auto"/>
        </w:rPr>
        <w:t>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Street Name Holders</w:t>
      </w:r>
    </w:p>
    <w:p>
      <w:pPr>
        <w:spacing w:after="0" w:line="13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We may terminate a global security or issue securities that are not issued in 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9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For securities held in street name, we or any applicable trustee or depositary will recognize only the intermediary banks, brokers and other financial institutions in whose names the securities are registered as the holders of those securities, and we or any such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legal holders, of those securities.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Legal Holders</w:t>
      </w:r>
    </w:p>
    <w:p>
      <w:pPr>
        <w:spacing w:after="0" w:line="13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Our obligations, as well as the obligations of any applicable trustee or third party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99"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14"/>
          <w:szCs w:val="14"/>
          <w:color w:val="auto"/>
        </w:rPr>
        <w:t>For example, once we make a payment or give a notice to the holder, we have no further responsibility for the payment or notice even if that holder is required, under agreements with its participants or customers or by law, to pass it along to the indirect holders but does not do so. Similarly, we may want to obtain the approval of the holders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1240"/>
          </w:cols>
          <w:pgMar w:left="300" w:top="1240" w:right="359" w:bottom="1440" w:gutter="0" w:footer="0" w:header="0"/>
        </w:sectPr>
      </w:pPr>
    </w:p>
    <w:bookmarkStart w:id="28" w:name="page29"/>
    <w:bookmarkEnd w:id="28"/>
    <w:p>
      <w:pPr>
        <w:ind w:right="340"/>
        <w:spacing w:after="0" w:line="273" w:lineRule="auto"/>
        <w:rPr>
          <w:sz w:val="20"/>
          <w:szCs w:val="20"/>
          <w:color w:val="auto"/>
        </w:rPr>
      </w:pPr>
      <w:r>
        <w:rPr>
          <w:rFonts w:ascii="Times New Roman" w:cs="Times New Roman" w:eastAsia="Times New Roman" w:hAnsi="Times New Roman"/>
          <w:sz w:val="14"/>
          <w:szCs w:val="14"/>
          <w:color w:val="auto"/>
        </w:rPr>
        <w:t>to amend an indenture, to relieve us of the consequences of a default or of our obligation to comply with a particular provision of an indenture, or for other purposes. In such an event, we would seek approval only from the legal holders, and not the indirect holders, of the securities. Whether and how the legal holders contact the indirect holders is up to the legal holders.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Special Considerations for Indirect Holders</w:t>
      </w:r>
    </w:p>
    <w:p>
      <w:pPr>
        <w:spacing w:after="0" w:line="133" w:lineRule="exact"/>
        <w:rPr>
          <w:sz w:val="20"/>
          <w:szCs w:val="20"/>
          <w:color w:val="auto"/>
        </w:rPr>
      </w:pPr>
    </w:p>
    <w:p>
      <w:pPr>
        <w:ind w:right="220"/>
        <w:spacing w:after="0" w:line="273" w:lineRule="auto"/>
        <w:rPr>
          <w:sz w:val="20"/>
          <w:szCs w:val="20"/>
          <w:color w:val="auto"/>
        </w:rPr>
      </w:pPr>
      <w:r>
        <w:rPr>
          <w:rFonts w:ascii="Times New Roman" w:cs="Times New Roman" w:eastAsia="Times New Roman" w:hAnsi="Times New Roman"/>
          <w:sz w:val="14"/>
          <w:szCs w:val="14"/>
          <w:color w:val="auto"/>
        </w:rPr>
        <w:t>If you hold securities through a bank, broker or other financial institution, either in book-entry form because the securities are represented by one or more global securities or in street name, you should check with your own institution to find out:</w:t>
      </w:r>
    </w:p>
    <w:p>
      <w:pPr>
        <w:spacing w:after="0" w:line="89" w:lineRule="exact"/>
        <w:rPr>
          <w:sz w:val="20"/>
          <w:szCs w:val="20"/>
          <w:color w:val="auto"/>
        </w:rPr>
      </w:pPr>
    </w:p>
    <w:p>
      <w:pPr>
        <w:ind w:left="500" w:hanging="249"/>
        <w:spacing w:after="0"/>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how it handles securities payments and notices;</w:t>
      </w:r>
    </w:p>
    <w:p>
      <w:pPr>
        <w:spacing w:after="0" w:line="12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it imposes fees or charges;</w:t>
      </w:r>
    </w:p>
    <w:p>
      <w:pPr>
        <w:spacing w:after="0" w:line="12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how it would handle a request for the holders’ consent, if ever required;</w:t>
      </w:r>
    </w:p>
    <w:p>
      <w:pPr>
        <w:spacing w:after="0" w:line="12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and how you can instruct it to send you securities registered in your own name so you can be a holder, if that is permitted in the future;</w:t>
      </w:r>
    </w:p>
    <w:p>
      <w:pPr>
        <w:spacing w:after="0" w:line="12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how it would exercise rights under the securities if there were a default or other event triggering the need for holders to act to protect their interests; and</w:t>
      </w:r>
    </w:p>
    <w:p>
      <w:pPr>
        <w:spacing w:after="0" w:line="12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securities are in book-entry form, how the depositary’s rules and procedures will affect these matters.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Global Securities</w:t>
      </w:r>
    </w:p>
    <w:p>
      <w:pPr>
        <w:spacing w:after="0" w:line="133" w:lineRule="exact"/>
        <w:rPr>
          <w:sz w:val="20"/>
          <w:szCs w:val="20"/>
          <w:color w:val="auto"/>
        </w:rPr>
      </w:pPr>
    </w:p>
    <w:p>
      <w:pPr>
        <w:ind w:right="280"/>
        <w:spacing w:after="0" w:line="273" w:lineRule="auto"/>
        <w:rPr>
          <w:sz w:val="20"/>
          <w:szCs w:val="20"/>
          <w:color w:val="auto"/>
        </w:rPr>
      </w:pPr>
      <w:r>
        <w:rPr>
          <w:rFonts w:ascii="Times New Roman" w:cs="Times New Roman" w:eastAsia="Times New Roman" w:hAnsi="Times New Roman"/>
          <w:sz w:val="14"/>
          <w:szCs w:val="14"/>
          <w:color w:val="auto"/>
        </w:rPr>
        <w:t>Unless we provide otherwise in the applicable prospectus supplement, a global security is a security that represents one or any other number of individual securities held by a depositary. Generally, all securities represented by the same global securities will have the same terms.</w:t>
      </w:r>
    </w:p>
    <w:p>
      <w:pPr>
        <w:spacing w:after="0" w:line="89"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4"/>
          <w:szCs w:val="14"/>
          <w:color w:val="auto"/>
        </w:rPr>
        <w:t>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DTC will be the depositary for all securities issued in book-entry form.</w:t>
      </w:r>
    </w:p>
    <w:p>
      <w:pPr>
        <w:spacing w:after="0" w:line="9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4"/>
          <w:szCs w:val="14"/>
          <w:color w:val="auto"/>
        </w:rPr>
        <w:t>A global security may not be transferred to or registered in the name of anyone other than the depositary, its nominee or a successor depositary, unless special termination situations arise. We describe those situations below under “—Special Situations When a Global Security Will Be Terminated.”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w:t>
      </w:r>
    </w:p>
    <w:p>
      <w:pPr>
        <w:spacing w:after="0" w:line="103"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4"/>
          <w:szCs w:val="14"/>
          <w:color w:val="auto"/>
        </w:rPr>
        <w:t>If the prospectus supplement for a particular security indicates that the security will be issued as a global security,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Special Considerations for Global Securities</w:t>
      </w:r>
    </w:p>
    <w:p>
      <w:pPr>
        <w:spacing w:after="0" w:line="133"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14"/>
          <w:szCs w:val="14"/>
          <w:color w:val="auto"/>
        </w:rPr>
        <w:t>As an indirect holder, an investor’s rights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1260"/>
          </w:cols>
          <w:pgMar w:left="300" w:top="111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color w:val="auto"/>
        </w:rPr>
        <w:t>If securities are issued only as global securities, an investor should be aware of the following:</w:t>
      </w:r>
    </w:p>
    <w:p>
      <w:pPr>
        <w:spacing w:after="0" w:line="129" w:lineRule="exact"/>
        <w:rPr>
          <w:sz w:val="20"/>
          <w:szCs w:val="20"/>
          <w:color w:val="auto"/>
        </w:rPr>
      </w:pPr>
    </w:p>
    <w:p>
      <w:pPr>
        <w:ind w:left="500" w:right="380" w:hanging="249"/>
        <w:spacing w:after="0" w:line="273" w:lineRule="auto"/>
        <w:tabs>
          <w:tab w:leader="none" w:pos="49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investor cannot cause the securities to be registered in his or her name, and cannot obtain non-global certificates for his or her interest in the securities, except in the special situations we describe below;</w:t>
      </w:r>
    </w:p>
    <w:p>
      <w:pPr>
        <w:spacing w:after="0" w:line="88" w:lineRule="exact"/>
        <w:rPr>
          <w:rFonts w:ascii="Times New Roman" w:cs="Times New Roman" w:eastAsia="Times New Roman" w:hAnsi="Times New Roman"/>
          <w:sz w:val="14"/>
          <w:szCs w:val="14"/>
          <w:color w:val="auto"/>
        </w:rPr>
      </w:pPr>
    </w:p>
    <w:p>
      <w:pPr>
        <w:ind w:left="500" w:hanging="249"/>
        <w:spacing w:after="0" w:line="273" w:lineRule="auto"/>
        <w:tabs>
          <w:tab w:leader="none" w:pos="49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investor will be an indirect holder and must look to his or her own bank or broker for payments on the securities and protection of his or her legal rights relating to the securities, as we describe above;</w:t>
      </w:r>
    </w:p>
    <w:p>
      <w:pPr>
        <w:spacing w:after="0" w:line="8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investor may not be able to sell interests in the securities to some insurance companies and to other institutions that are required by law to own their securities in non-book-entry form;</w:t>
      </w:r>
    </w:p>
    <w:p>
      <w:pPr>
        <w:spacing w:after="0" w:line="128" w:lineRule="exact"/>
        <w:rPr>
          <w:rFonts w:ascii="Times New Roman" w:cs="Times New Roman" w:eastAsia="Times New Roman" w:hAnsi="Times New Roman"/>
          <w:sz w:val="14"/>
          <w:szCs w:val="14"/>
          <w:color w:val="auto"/>
        </w:rPr>
      </w:pPr>
    </w:p>
    <w:p>
      <w:pPr>
        <w:ind w:left="500" w:right="60" w:hanging="249"/>
        <w:spacing w:after="0" w:line="273" w:lineRule="auto"/>
        <w:tabs>
          <w:tab w:leader="none" w:pos="49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investor may not be able to pledge his or her interest in the global security in circumstances where certificates representing the securities must be delivered to the lender or other beneficiary of the pledge in order for the pledge to be effective;</w:t>
      </w:r>
    </w:p>
    <w:p>
      <w:pPr>
        <w:spacing w:after="0" w:line="8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depositary’s policies, which may change from time to time, will govern payments, transfers, exchanges and other matters relating to an investor’s interest in the global security;</w:t>
      </w:r>
    </w:p>
    <w:p>
      <w:pPr>
        <w:spacing w:after="0" w:line="128" w:lineRule="exact"/>
        <w:rPr>
          <w:rFonts w:ascii="Times New Roman" w:cs="Times New Roman" w:eastAsia="Times New Roman" w:hAnsi="Times New Roman"/>
          <w:sz w:val="14"/>
          <w:szCs w:val="14"/>
          <w:color w:val="auto"/>
        </w:rPr>
      </w:pPr>
    </w:p>
    <w:p>
      <w:pPr>
        <w:ind w:left="500" w:right="120" w:hanging="249"/>
        <w:spacing w:after="0" w:line="273" w:lineRule="auto"/>
        <w:tabs>
          <w:tab w:leader="none" w:pos="49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and any applicable trustee have no responsibility for any aspect of the depositary’s actions or for its records of ownership interests in the global security, nor will we or any applicable trustee supervise the depositary in any way;</w:t>
      </w:r>
    </w:p>
    <w:p>
      <w:pPr>
        <w:spacing w:after="0" w:line="88" w:lineRule="exact"/>
        <w:rPr>
          <w:rFonts w:ascii="Times New Roman" w:cs="Times New Roman" w:eastAsia="Times New Roman" w:hAnsi="Times New Roman"/>
          <w:sz w:val="14"/>
          <w:szCs w:val="14"/>
          <w:color w:val="auto"/>
        </w:rPr>
      </w:pPr>
    </w:p>
    <w:p>
      <w:pPr>
        <w:ind w:left="500" w:right="160" w:hanging="249"/>
        <w:spacing w:after="0" w:line="273" w:lineRule="auto"/>
        <w:tabs>
          <w:tab w:leader="none" w:pos="49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depositary may, and we understand that DTC will, require that those who purchase and sell interests in the global security within its book-entry system use immediately available funds, and your broker or bank may require you to do so as well; and</w:t>
      </w:r>
    </w:p>
    <w:p>
      <w:pPr>
        <w:spacing w:after="0" w:line="88" w:lineRule="exact"/>
        <w:rPr>
          <w:rFonts w:ascii="Times New Roman" w:cs="Times New Roman" w:eastAsia="Times New Roman" w:hAnsi="Times New Roman"/>
          <w:sz w:val="14"/>
          <w:szCs w:val="14"/>
          <w:color w:val="auto"/>
        </w:rPr>
      </w:pPr>
    </w:p>
    <w:p>
      <w:pPr>
        <w:ind w:left="500" w:right="400" w:hanging="249"/>
        <w:spacing w:after="0" w:line="273" w:lineRule="auto"/>
        <w:tabs>
          <w:tab w:leader="none" w:pos="49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institutions that participate in the depositary’s book-entry system, and through which an investor holds its interest in the global security, may also have their own policies affecting payments, notices and other matters relating to the securities.</w:t>
      </w:r>
    </w:p>
    <w:p>
      <w:pPr>
        <w:spacing w:after="0" w:line="89" w:lineRule="exact"/>
        <w:rPr>
          <w:sz w:val="20"/>
          <w:szCs w:val="20"/>
          <w:color w:val="auto"/>
        </w:rPr>
      </w:pPr>
    </w:p>
    <w:p>
      <w:pPr>
        <w:ind w:right="1200"/>
        <w:spacing w:after="0" w:line="431" w:lineRule="auto"/>
        <w:rPr>
          <w:sz w:val="20"/>
          <w:szCs w:val="20"/>
          <w:color w:val="auto"/>
        </w:rPr>
      </w:pPr>
      <w:r>
        <w:rPr>
          <w:rFonts w:ascii="Times New Roman" w:cs="Times New Roman" w:eastAsia="Times New Roman" w:hAnsi="Times New Roman"/>
          <w:sz w:val="14"/>
          <w:szCs w:val="14"/>
          <w:color w:val="auto"/>
        </w:rPr>
        <w:t xml:space="preserve">There may be more than one financial intermediary in the chain of ownership for an investor. We do not monitor and are not responsible for the actions of any of those intermediaries. </w:t>
      </w:r>
      <w:r>
        <w:rPr>
          <w:rFonts w:ascii="Times New Roman" w:cs="Times New Roman" w:eastAsia="Times New Roman" w:hAnsi="Times New Roman"/>
          <w:sz w:val="14"/>
          <w:szCs w:val="14"/>
          <w:b w:val="1"/>
          <w:bCs w:val="1"/>
          <w:color w:val="auto"/>
        </w:rPr>
        <w:t>Special Situations When a Global Security Will Be Terminated</w:t>
      </w:r>
    </w:p>
    <w:p>
      <w:pPr>
        <w:spacing w:after="0" w:line="1"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4"/>
          <w:szCs w:val="14"/>
          <w:color w:val="auto"/>
        </w:rPr>
        <w:t>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names, so that they will be direct holders. We have described the rights of holders and street name investors above.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global security will terminate when the following special situations occur:</w:t>
      </w:r>
    </w:p>
    <w:p>
      <w:pPr>
        <w:spacing w:after="0" w:line="129" w:lineRule="exact"/>
        <w:rPr>
          <w:sz w:val="20"/>
          <w:szCs w:val="20"/>
          <w:color w:val="auto"/>
        </w:rPr>
      </w:pPr>
    </w:p>
    <w:p>
      <w:pPr>
        <w:ind w:left="500" w:right="80" w:hanging="249"/>
        <w:spacing w:after="0" w:line="273" w:lineRule="auto"/>
        <w:tabs>
          <w:tab w:leader="none" w:pos="49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depositary notifies us that it is unwilling, unable or no longer qualified to continue as depositary for that global security and we do not appoint another institution to act as depositary within 90 days;</w:t>
      </w:r>
    </w:p>
    <w:p>
      <w:pPr>
        <w:spacing w:after="0" w:line="8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notify any applicable trustee that we wish to terminate that global security; or</w:t>
      </w:r>
    </w:p>
    <w:p>
      <w:pPr>
        <w:spacing w:after="0" w:line="12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 event of default has occurred with regard to securities represented by that global security and has not been cured or waived.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applicable prospectus supplement may also list additional situations for terminating a global security that would apply only to the particular series of securities covered by the prospectus supplement.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When a global security terminates, the depositary, and neither we nor any applicable trustee, is responsible for deciding the names of the institutions that will be the initial direct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1260"/>
          </w:cols>
          <w:pgMar w:left="300" w:top="1119" w:right="339" w:bottom="1440" w:gutter="0" w:footer="0" w:header="0"/>
        </w:sectPr>
      </w:pPr>
    </w:p>
    <w:bookmarkStart w:id="30" w:name="page31"/>
    <w:bookmarkEnd w:id="30"/>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33"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4"/>
          <w:szCs w:val="14"/>
          <w:color w:val="auto"/>
        </w:rPr>
        <w:t>We may sell the securities from time to time pursuant to underwritten public offerings, direct sales to the public, negotiated transactions, block trades or a combination of these methods. We may sell the securities to or through underwriters or dealers, through agents, or directly to one or more purchasers. We may distribute securities from time to time in one or more transactions:</w:t>
      </w:r>
    </w:p>
    <w:p>
      <w:pPr>
        <w:spacing w:after="0" w:line="89" w:lineRule="exact"/>
        <w:rPr>
          <w:sz w:val="20"/>
          <w:szCs w:val="20"/>
          <w:color w:val="auto"/>
        </w:rPr>
      </w:pPr>
    </w:p>
    <w:p>
      <w:pPr>
        <w:ind w:left="500" w:hanging="249"/>
        <w:spacing w:after="0"/>
        <w:tabs>
          <w:tab w:leader="none" w:pos="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 fixed price or prices, which may be changed;</w:t>
      </w:r>
    </w:p>
    <w:p>
      <w:pPr>
        <w:spacing w:after="0" w:line="12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market prices prevailing at the time of sale;</w:t>
      </w:r>
    </w:p>
    <w:p>
      <w:pPr>
        <w:spacing w:after="0" w:line="12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prices related to such prevailing market prices; or</w:t>
      </w:r>
    </w:p>
    <w:p>
      <w:pPr>
        <w:spacing w:after="0" w:line="12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negotiated prices.</w:t>
      </w:r>
    </w:p>
    <w:p>
      <w:pPr>
        <w:spacing w:after="0" w:line="129"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4"/>
          <w:szCs w:val="14"/>
          <w:color w:val="auto"/>
        </w:rPr>
        <w:t>We may also sell equity securities covered by this registration statement in an “at the market offering” as defined in Rule 415(a)(4) under the Securities Act. Such offering may be made into an existing trading market for such securities in transactions at other than a fixed price, either:</w:t>
      </w:r>
    </w:p>
    <w:p>
      <w:pPr>
        <w:spacing w:after="0" w:line="89" w:lineRule="exact"/>
        <w:rPr>
          <w:sz w:val="20"/>
          <w:szCs w:val="20"/>
          <w:color w:val="auto"/>
        </w:rPr>
      </w:pPr>
    </w:p>
    <w:p>
      <w:pPr>
        <w:ind w:left="500" w:hanging="249"/>
        <w:spacing w:after="0" w:line="273" w:lineRule="auto"/>
        <w:tabs>
          <w:tab w:leader="none" w:pos="49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or through the facilities of the Nasdaq Global Select Market or any other securities exchange or quotation or trading service on which such securities may be listed, quoted or traded at the time of sale; and/or</w:t>
      </w:r>
    </w:p>
    <w:p>
      <w:pPr>
        <w:spacing w:after="0" w:line="8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or through a market maker otherwise than on the Nasdaq Global Select Market or such other securities exchanges or quotation trading services.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Such at the market offerings, if any, may be conducted by underwriters acting as principal or agent.</w:t>
      </w:r>
    </w:p>
    <w:p>
      <w:pPr>
        <w:spacing w:after="0" w:line="129" w:lineRule="exact"/>
        <w:rPr>
          <w:sz w:val="20"/>
          <w:szCs w:val="20"/>
          <w:color w:val="auto"/>
        </w:rPr>
      </w:pPr>
    </w:p>
    <w:p>
      <w:pPr>
        <w:ind w:right="220"/>
        <w:spacing w:after="0" w:line="273" w:lineRule="auto"/>
        <w:rPr>
          <w:sz w:val="20"/>
          <w:szCs w:val="20"/>
          <w:color w:val="auto"/>
        </w:rPr>
      </w:pPr>
      <w:r>
        <w:rPr>
          <w:rFonts w:ascii="Times New Roman" w:cs="Times New Roman" w:eastAsia="Times New Roman" w:hAnsi="Times New Roman"/>
          <w:sz w:val="14"/>
          <w:szCs w:val="14"/>
          <w:color w:val="auto"/>
        </w:rPr>
        <w:t>A prospectus supplement or supplements (and any related free writing prospectus that we may authorize to be provided to you) will describe the terms of the offering of the securities, including, to the extent applicable:</w:t>
      </w:r>
    </w:p>
    <w:p>
      <w:pPr>
        <w:spacing w:after="0" w:line="89" w:lineRule="exact"/>
        <w:rPr>
          <w:sz w:val="20"/>
          <w:szCs w:val="20"/>
          <w:color w:val="auto"/>
        </w:rPr>
      </w:pPr>
    </w:p>
    <w:p>
      <w:pPr>
        <w:ind w:left="500" w:hanging="249"/>
        <w:spacing w:after="0"/>
        <w:tabs>
          <w:tab w:leader="none" w:pos="5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or names of any underwriters, dealers or agents, if any;</w:t>
      </w:r>
    </w:p>
    <w:p>
      <w:pPr>
        <w:spacing w:after="0" w:line="12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price of the securities or other consideration therefor, and the proceeds, if any, we will receive from the sale;</w:t>
      </w:r>
    </w:p>
    <w:p>
      <w:pPr>
        <w:spacing w:after="0" w:line="12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agency fees or underwriting discounts and other items constituting agents’ or underwriters’ compensation;</w:t>
      </w:r>
    </w:p>
    <w:p>
      <w:pPr>
        <w:spacing w:after="0" w:line="12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public offering price;</w:t>
      </w:r>
    </w:p>
    <w:p>
      <w:pPr>
        <w:spacing w:after="0" w:line="12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discounts or concessions allowed or reallowed or paid to dealers; and</w:t>
      </w:r>
    </w:p>
    <w:p>
      <w:pPr>
        <w:spacing w:after="0" w:line="12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securities exchange or market on which the securities may be listed.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Only underwriters named in the prospectus supplement are underwriters of the securities offered by the prospectus supplement.</w:t>
      </w:r>
    </w:p>
    <w:p>
      <w:pPr>
        <w:spacing w:after="0" w:line="129"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4"/>
          <w:szCs w:val="14"/>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option.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1220"/>
          </w:cols>
          <w:pgMar w:left="300" w:top="1240" w:right="379" w:bottom="1440" w:gutter="0" w:footer="0" w:header="0"/>
        </w:sectPr>
      </w:pPr>
    </w:p>
    <w:bookmarkStart w:id="31" w:name="page32"/>
    <w:bookmarkEnd w:id="31"/>
    <w:p>
      <w:pPr>
        <w:ind w:right="40"/>
        <w:spacing w:after="0" w:line="273" w:lineRule="auto"/>
        <w:rPr>
          <w:sz w:val="20"/>
          <w:szCs w:val="20"/>
          <w:color w:val="auto"/>
        </w:rPr>
      </w:pPr>
      <w:r>
        <w:rPr>
          <w:rFonts w:ascii="Times New Roman" w:cs="Times New Roman" w:eastAsia="Times New Roman" w:hAnsi="Times New Roman"/>
          <w:sz w:val="14"/>
          <w:szCs w:val="14"/>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8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99"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4"/>
          <w:szCs w:val="14"/>
          <w:color w:val="auto"/>
        </w:rPr>
        <w:t>We may provide agents and underwriters with indemnification against civil liabilities related to this offering,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w:t>
      </w:r>
    </w:p>
    <w:p>
      <w:pPr>
        <w:spacing w:after="0" w:line="89"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4"/>
          <w:szCs w:val="14"/>
          <w:color w:val="auto"/>
        </w:rPr>
        <w:t>All securities we may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89"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4"/>
          <w:szCs w:val="14"/>
          <w:color w:val="auto"/>
        </w:rPr>
        <w:t>Any underwriter may engage in stabilizing transactions, short covering transactions and penalty bids in accordance with Regulation M under the Exchange Act. Stabilizing transactions permit bids to purchase the underlying security so long as the stabilizing bids do not exceed a specified maximum price. Syndicate-covering or other short-covering transactions involve purchases of the securities, including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w:t>
      </w:r>
    </w:p>
    <w:p>
      <w:pPr>
        <w:spacing w:after="0" w:line="10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4"/>
          <w:szCs w:val="14"/>
          <w:color w:val="auto"/>
        </w:rPr>
        <w:t>Any underwriters or agents that are qualified market makers on the Nasdaq Global Select Market may engage in passive market making transactions in the securities on the Nasdaq Global Select Market in accordance with Rule 103 of Regulation M under the Exchange Act,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1280"/>
          </w:cols>
          <w:pgMar w:left="300" w:top="1119" w:right="31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33" w:lineRule="exact"/>
        <w:rPr>
          <w:sz w:val="20"/>
          <w:szCs w:val="20"/>
          <w:color w:val="auto"/>
        </w:rPr>
      </w:pPr>
    </w:p>
    <w:p>
      <w:pPr>
        <w:ind w:right="320"/>
        <w:spacing w:after="0" w:line="273" w:lineRule="auto"/>
        <w:rPr>
          <w:sz w:val="20"/>
          <w:szCs w:val="20"/>
          <w:color w:val="auto"/>
        </w:rPr>
      </w:pPr>
      <w:r>
        <w:rPr>
          <w:rFonts w:ascii="Times New Roman" w:cs="Times New Roman" w:eastAsia="Times New Roman" w:hAnsi="Times New Roman"/>
          <w:sz w:val="14"/>
          <w:szCs w:val="14"/>
          <w:color w:val="auto"/>
        </w:rPr>
        <w:t>Ropes &amp; Gray LLP, Boston, Massachusetts, will pass upon the validity of the securities offered by this prospectus, and any supplement thereto, unless otherwise indicated in the applicable prospectus supplement. Additional legal matters may be passed upon for us or any underwriters, dealers or agents, by counsel that we will name in the applicable prospectus supplement.</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3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4"/>
          <w:szCs w:val="14"/>
          <w:color w:val="auto"/>
        </w:rPr>
        <w:t>The financial statements of Acumen Pharmaceuticals, Inc. appearing in Acumen Pharmaceuticals, Inc.’s Annual Report (Form 10-K) for the year ended December 31, 2025, have been audited by Ernst &amp; Young LLP, independent registered public accounting firm, as set forth in their report thereon (which contains an explanatory paragraph describing conditions that raise substantial doubt about the Company's ability to continue as a going concern as described in Note 1 to the financial statements), included therein, and incorporated herein by reference. Such financial statements are incorporated herein by reference in reliance upon such report given on the authority of such firm as experts in accounting and auditing.</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33"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4"/>
          <w:szCs w:val="14"/>
          <w:color w:val="auto"/>
        </w:rPr>
        <w:t>This prospectus is part of a registration statement we filed with the SEC.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You should rely only on the information contained in this prospectus or incorporated by reference in this prospectus. We have not authorized anyone else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w:t>
      </w:r>
    </w:p>
    <w:p>
      <w:pPr>
        <w:spacing w:after="0" w:line="103"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14"/>
          <w:szCs w:val="14"/>
          <w:color w:val="auto"/>
        </w:rPr>
        <w:t xml:space="preserve">We file annual, quarterly and current reports, proxy statements and other information with the SEC. The SEC maintains a website that contains reports, proxy statements and other information regarding issuers that file electronically with the SEC, including Acumen. The address of the SEC website is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w:t>
      </w:r>
    </w:p>
    <w:p>
      <w:pPr>
        <w:spacing w:after="0" w:line="85"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4"/>
          <w:szCs w:val="14"/>
          <w:color w:val="auto"/>
        </w:rPr>
        <w:t xml:space="preserve">We maintain a website at </w:t>
      </w:r>
      <w:r>
        <w:rPr>
          <w:rFonts w:ascii="Times New Roman" w:cs="Times New Roman" w:eastAsia="Times New Roman" w:hAnsi="Times New Roman"/>
          <w:sz w:val="14"/>
          <w:szCs w:val="14"/>
          <w:i w:val="1"/>
          <w:iCs w:val="1"/>
          <w:color w:val="auto"/>
        </w:rPr>
        <w:t>http://www.acumenpharm.com/</w:t>
      </w:r>
      <w:r>
        <w:rPr>
          <w:rFonts w:ascii="Times New Roman" w:cs="Times New Roman" w:eastAsia="Times New Roman" w:hAnsi="Times New Roman"/>
          <w:sz w:val="14"/>
          <w:szCs w:val="14"/>
          <w:color w:val="auto"/>
        </w:rPr>
        <w:t>. Information contained in or accessible through our website does not constitute a part of this prospectus and is not incorporated by reference in this prospectus. We have included our website address as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1280"/>
          </w:cols>
          <w:pgMar w:left="300" w:top="1240" w:right="319" w:bottom="1440" w:gutter="0" w:footer="0" w:header="0"/>
        </w:sectPr>
      </w:pPr>
    </w:p>
    <w:bookmarkStart w:id="33" w:name="page34"/>
    <w:bookmarkEnd w:id="33"/>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INCORPORATION OF CERTAIN INFORMATION BY REFERENCE</w:t>
      </w:r>
    </w:p>
    <w:p>
      <w:pPr>
        <w:spacing w:after="0" w:line="133"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4"/>
          <w:szCs w:val="14"/>
          <w:color w:val="auto"/>
        </w:rPr>
        <w:t>The SEC allows us to “incorporate by reference” information into this prospectus, which means that we can disclose important information to you by referring you to another document filed separately with the SEC. The SEC file number for the documents incorporated by reference in this prospectus is 001-40551. The documents incorporated by reference into this prospectus contain important information that you should read about us.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documents are incorporated by reference into this document:</w:t>
      </w:r>
    </w:p>
    <w:p>
      <w:pPr>
        <w:spacing w:after="0" w:line="129" w:lineRule="exact"/>
        <w:rPr>
          <w:sz w:val="20"/>
          <w:szCs w:val="20"/>
          <w:color w:val="auto"/>
        </w:rPr>
      </w:pPr>
    </w:p>
    <w:p>
      <w:pPr>
        <w:ind w:left="500" w:hanging="249"/>
        <w:spacing w:after="0"/>
        <w:tabs>
          <w:tab w:leader="none" w:pos="5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Form 10-K for the fiscal year ended </w:t>
      </w:r>
      <w:hyperlink r:id="rId29">
        <w:r>
          <w:rPr>
            <w:rFonts w:ascii="Times New Roman" w:cs="Times New Roman" w:eastAsia="Times New Roman" w:hAnsi="Times New Roman"/>
            <w:sz w:val="14"/>
            <w:szCs w:val="14"/>
            <w:u w:val="single" w:color="auto"/>
            <w:color w:val="0000FF"/>
          </w:rPr>
          <w:t>December 31, 2025</w:t>
        </w:r>
      </w:hyperlink>
      <w:r>
        <w:rPr>
          <w:rFonts w:ascii="Times New Roman" w:cs="Times New Roman" w:eastAsia="Times New Roman" w:hAnsi="Times New Roman"/>
          <w:sz w:val="14"/>
          <w:szCs w:val="14"/>
          <w:color w:val="auto"/>
        </w:rPr>
        <w:t>, filed with the SEC on March 26, 2026;</w:t>
      </w:r>
    </w:p>
    <w:p>
      <w:pPr>
        <w:spacing w:after="0" w:line="128" w:lineRule="exact"/>
        <w:rPr>
          <w:rFonts w:ascii="Times New Roman" w:cs="Times New Roman" w:eastAsia="Times New Roman" w:hAnsi="Times New Roman"/>
          <w:sz w:val="14"/>
          <w:szCs w:val="14"/>
          <w:color w:val="auto"/>
        </w:rPr>
      </w:pPr>
    </w:p>
    <w:p>
      <w:pPr>
        <w:ind w:left="500" w:right="220" w:hanging="249"/>
        <w:spacing w:after="0" w:line="273" w:lineRule="auto"/>
        <w:tabs>
          <w:tab w:leader="none" w:pos="49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Reports on Form 10-Q for the quarters ended </w:t>
      </w:r>
      <w:hyperlink r:id="rId30">
        <w:r>
          <w:rPr>
            <w:rFonts w:ascii="Times New Roman" w:cs="Times New Roman" w:eastAsia="Times New Roman" w:hAnsi="Times New Roman"/>
            <w:sz w:val="14"/>
            <w:szCs w:val="14"/>
            <w:u w:val="single" w:color="auto"/>
            <w:color w:val="0000FF"/>
          </w:rPr>
          <w:t>March 31, 2026</w:t>
        </w:r>
      </w:hyperlink>
      <w:r>
        <w:rPr>
          <w:rFonts w:ascii="Times New Roman" w:cs="Times New Roman" w:eastAsia="Times New Roman" w:hAnsi="Times New Roman"/>
          <w:sz w:val="14"/>
          <w:szCs w:val="14"/>
          <w:color w:val="auto"/>
        </w:rPr>
        <w:t xml:space="preserve">, </w:t>
      </w:r>
      <w:hyperlink r:id="rId31">
        <w:r>
          <w:rPr>
            <w:rFonts w:ascii="Times New Roman" w:cs="Times New Roman" w:eastAsia="Times New Roman" w:hAnsi="Times New Roman"/>
            <w:sz w:val="14"/>
            <w:szCs w:val="14"/>
            <w:u w:val="single" w:color="auto"/>
            <w:color w:val="0000FF"/>
          </w:rPr>
          <w:t>June 30,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32">
        <w:r>
          <w:rPr>
            <w:rFonts w:ascii="Times New Roman" w:cs="Times New Roman" w:eastAsia="Times New Roman" w:hAnsi="Times New Roman"/>
            <w:sz w:val="14"/>
            <w:szCs w:val="14"/>
            <w:u w:val="single" w:color="auto"/>
            <w:color w:val="0000FF"/>
          </w:rPr>
          <w:t>September 30, 2026</w:t>
        </w:r>
      </w:hyperlink>
      <w:r>
        <w:rPr>
          <w:rFonts w:ascii="Times New Roman" w:cs="Times New Roman" w:eastAsia="Times New Roman" w:hAnsi="Times New Roman"/>
          <w:sz w:val="14"/>
          <w:szCs w:val="14"/>
          <w:color w:val="auto"/>
        </w:rPr>
        <w:t>, as filed with the SEC on May 12, 2026, August 13, 2026 and October 26, 2026, respectively;</w:t>
      </w:r>
    </w:p>
    <w:p>
      <w:pPr>
        <w:spacing w:after="0" w:line="88" w:lineRule="exact"/>
        <w:rPr>
          <w:rFonts w:ascii="Times New Roman" w:cs="Times New Roman" w:eastAsia="Times New Roman" w:hAnsi="Times New Roman"/>
          <w:sz w:val="14"/>
          <w:szCs w:val="14"/>
          <w:color w:val="auto"/>
        </w:rPr>
      </w:pPr>
    </w:p>
    <w:p>
      <w:pPr>
        <w:ind w:left="500" w:right="120" w:hanging="249"/>
        <w:spacing w:after="0" w:line="273" w:lineRule="auto"/>
        <w:tabs>
          <w:tab w:leader="none" w:pos="49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information specifically incorporated by reference into our Annual Report on Form 10-K for the year ended </w:t>
      </w:r>
      <w:hyperlink r:id="rId29">
        <w:r>
          <w:rPr>
            <w:rFonts w:ascii="Times New Roman" w:cs="Times New Roman" w:eastAsia="Times New Roman" w:hAnsi="Times New Roman"/>
            <w:sz w:val="14"/>
            <w:szCs w:val="14"/>
            <w:u w:val="single" w:color="auto"/>
            <w:color w:val="0000FF"/>
          </w:rPr>
          <w:t>December 31,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from our Definitive Proxy Statement on Schedule 14A, filed with the SEC on April 23, 2026;</w:t>
      </w:r>
    </w:p>
    <w:p>
      <w:pPr>
        <w:spacing w:after="0" w:line="8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Reports on Form 8-K filed with the SEC on </w:t>
      </w:r>
      <w:hyperlink r:id="rId33">
        <w:r>
          <w:rPr>
            <w:rFonts w:ascii="Times New Roman" w:cs="Times New Roman" w:eastAsia="Times New Roman" w:hAnsi="Times New Roman"/>
            <w:sz w:val="14"/>
            <w:szCs w:val="14"/>
            <w:u w:val="single" w:color="auto"/>
            <w:color w:val="0000FF"/>
          </w:rPr>
          <w:t>March 16, 2026</w:t>
        </w:r>
      </w:hyperlink>
      <w:r>
        <w:rPr>
          <w:rFonts w:ascii="Times New Roman" w:cs="Times New Roman" w:eastAsia="Times New Roman" w:hAnsi="Times New Roman"/>
          <w:sz w:val="14"/>
          <w:szCs w:val="14"/>
          <w:color w:val="auto"/>
        </w:rPr>
        <w:t xml:space="preserve">, </w:t>
      </w:r>
      <w:hyperlink r:id="rId34">
        <w:r>
          <w:rPr>
            <w:rFonts w:ascii="Times New Roman" w:cs="Times New Roman" w:eastAsia="Times New Roman" w:hAnsi="Times New Roman"/>
            <w:sz w:val="14"/>
            <w:szCs w:val="14"/>
            <w:u w:val="single" w:color="auto"/>
            <w:color w:val="0000FF"/>
          </w:rPr>
          <w:t>June 3,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35">
        <w:r>
          <w:rPr>
            <w:rFonts w:ascii="Times New Roman" w:cs="Times New Roman" w:eastAsia="Times New Roman" w:hAnsi="Times New Roman"/>
            <w:sz w:val="14"/>
            <w:szCs w:val="14"/>
            <w:u w:val="single" w:color="auto"/>
            <w:color w:val="0000FF"/>
          </w:rPr>
          <w:t>June 16, 2026</w:t>
        </w:r>
      </w:hyperlink>
      <w:r>
        <w:rPr>
          <w:rFonts w:ascii="Times New Roman" w:cs="Times New Roman" w:eastAsia="Times New Roman" w:hAnsi="Times New Roman"/>
          <w:sz w:val="14"/>
          <w:szCs w:val="14"/>
          <w:color w:val="auto"/>
        </w:rPr>
        <w:t>, to the extent the information in such report is filed and not furnished; and</w:t>
      </w:r>
    </w:p>
    <w:p>
      <w:pPr>
        <w:spacing w:after="0" w:line="128" w:lineRule="exact"/>
        <w:rPr>
          <w:rFonts w:ascii="Times New Roman" w:cs="Times New Roman" w:eastAsia="Times New Roman" w:hAnsi="Times New Roman"/>
          <w:sz w:val="14"/>
          <w:szCs w:val="14"/>
          <w:color w:val="auto"/>
        </w:rPr>
      </w:pPr>
    </w:p>
    <w:p>
      <w:pPr>
        <w:ind w:left="500" w:right="20" w:hanging="249"/>
        <w:spacing w:after="0" w:line="259" w:lineRule="auto"/>
        <w:tabs>
          <w:tab w:leader="none" w:pos="49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set forth in the amendment to the registration statement on Form 8-A registering our common stock under Section 12 of the Exchange Act, which was filed with the SEC on </w:t>
      </w:r>
      <w:hyperlink r:id="rId36">
        <w:r>
          <w:rPr>
            <w:rFonts w:ascii="Times New Roman" w:cs="Times New Roman" w:eastAsia="Times New Roman" w:hAnsi="Times New Roman"/>
            <w:sz w:val="14"/>
            <w:szCs w:val="14"/>
            <w:u w:val="single" w:color="auto"/>
            <w:color w:val="0000FF"/>
          </w:rPr>
          <w:t>June 28, 2021</w:t>
        </w:r>
      </w:hyperlink>
      <w:r>
        <w:rPr>
          <w:rFonts w:ascii="Times New Roman" w:cs="Times New Roman" w:eastAsia="Times New Roman" w:hAnsi="Times New Roman"/>
          <w:sz w:val="14"/>
          <w:szCs w:val="14"/>
          <w:color w:val="auto"/>
        </w:rPr>
        <w:t>, including any additional amendment or report filed for the purpose of adapting such description, including Exhibit 4.1 to our Annual Report on Form 10-K for the year ended December 31, 2025, filed with the SEC on March 26, 2026.</w:t>
      </w:r>
    </w:p>
    <w:p>
      <w:pPr>
        <w:spacing w:after="0" w:line="99" w:lineRule="exact"/>
        <w:rPr>
          <w:rFonts w:ascii="Times New Roman" w:cs="Times New Roman" w:eastAsia="Times New Roman" w:hAnsi="Times New Roman"/>
          <w:sz w:val="14"/>
          <w:szCs w:val="14"/>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We also incorporate by reference into this prospectus all documents (other than current reports furnished under Item 2.02 or Item 7.01 of Form 8-K and exhibits filed on such form that are related to such items) that are filed by us with the SEC pursuant to Sections 13(a), 13(c), 14 or 15(d) of the Exchange Act (i) after the date of the initial filing of the registration statement of which this prospectus forms a part and prior to effectiveness of the registration statement, or (ii) after the date of this prospectus but prior to the termination of the offering. These documents include periodic reports, such as Annual Reports on Form 10-K, Quarterly Reports on Form 10-Q and Current Reports on Form 8-K, as well as proxy statements.</w:t>
      </w:r>
    </w:p>
    <w:p>
      <w:pPr>
        <w:spacing w:after="0" w:line="102" w:lineRule="exact"/>
        <w:rPr>
          <w:rFonts w:ascii="Times New Roman" w:cs="Times New Roman" w:eastAsia="Times New Roman" w:hAnsi="Times New Roman"/>
          <w:sz w:val="14"/>
          <w:szCs w:val="14"/>
          <w:color w:val="auto"/>
        </w:rPr>
      </w:pPr>
    </w:p>
    <w:p>
      <w:pPr>
        <w:ind w:right="40"/>
        <w:spacing w:after="0" w:line="289" w:lineRule="auto"/>
        <w:rPr>
          <w:sz w:val="20"/>
          <w:szCs w:val="20"/>
          <w:color w:val="auto"/>
        </w:rPr>
      </w:pPr>
      <w:r>
        <w:rPr>
          <w:rFonts w:ascii="Times New Roman" w:cs="Times New Roman" w:eastAsia="Times New Roman" w:hAnsi="Times New Roman"/>
          <w:sz w:val="13"/>
          <w:szCs w:val="13"/>
          <w:color w:val="auto"/>
        </w:rPr>
        <w:t>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which are specifically incorporated by reference into such documents. You should direct any requests for documents to Acumen Pharmaceuticals, Inc., Attn: Investor Relations, 1210-1220 Washington Street, Suite 210, Newton, Massachusetts 02465, and our telephone number is (617) 344-4190.</w:t>
      </w:r>
    </w:p>
    <w:p>
      <w:pPr>
        <w:spacing w:after="0" w:line="80" w:lineRule="exact"/>
        <w:rPr>
          <w:rFonts w:ascii="Times New Roman" w:cs="Times New Roman" w:eastAsia="Times New Roman" w:hAnsi="Times New Roman"/>
          <w:sz w:val="14"/>
          <w:szCs w:val="14"/>
          <w:color w:val="auto"/>
        </w:rPr>
      </w:pPr>
    </w:p>
    <w:p>
      <w:pPr>
        <w:ind w:right="280"/>
        <w:spacing w:after="0" w:line="259" w:lineRule="auto"/>
        <w:rPr>
          <w:sz w:val="20"/>
          <w:szCs w:val="20"/>
          <w:color w:val="auto"/>
        </w:rPr>
      </w:pPr>
      <w:r>
        <w:rPr>
          <w:rFonts w:ascii="Times New Roman" w:cs="Times New Roman" w:eastAsia="Times New Roman" w:hAnsi="Times New Roman"/>
          <w:sz w:val="14"/>
          <w:szCs w:val="14"/>
          <w:color w:val="auto"/>
        </w:rPr>
        <w:t>Any statement contained in this prospectus or contained in a document incorporated or deemed to be incorporated by reference into this prospectus will be deemed to be modified or superseded to the extent that a statement contained in this prospectus or any subsequently filed supplement to this prospectus, or document deemed to be incorporated by reference into this prospectus, modifies or supersedes such statement.</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3" w:lineRule="exact"/>
        <w:rPr>
          <w:rFonts w:ascii="Times New Roman" w:cs="Times New Roman" w:eastAsia="Times New Roman" w:hAnsi="Times New Roman"/>
          <w:sz w:val="14"/>
          <w:szCs w:val="1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1240"/>
          </w:cols>
          <w:pgMar w:left="300" w:top="1240" w:right="35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$500,000,000</w:t>
      </w:r>
    </w:p>
    <w:p>
      <w:pPr>
        <w:spacing w:after="0" w:line="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Preferred Stock</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1812925</wp:posOffset>
            </wp:positionH>
            <wp:positionV relativeFrom="paragraph">
              <wp:posOffset>249555</wp:posOffset>
            </wp:positionV>
            <wp:extent cx="2094865" cy="387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2094865" cy="387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1"/>
          <w:szCs w:val="21"/>
          <w:b w:val="1"/>
          <w:bCs w:val="1"/>
          <w:color w:val="auto"/>
        </w:rPr>
        <w:t>, 2026</w:t>
      </w:r>
    </w:p>
    <w:p>
      <w:pPr>
        <w:sectPr>
          <w:pgSz w:w="11900" w:h="16838" w:orient="portrait"/>
          <w:cols w:equalWidth="0" w:num="1">
            <w:col w:w="9019"/>
          </w:cols>
          <w:pgMar w:left="1440" w:top="1107" w:right="1440"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INFORMATION NOT REQUIRED IN THE PROSPECTUS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Other Expenses of Issuance and Distribution</w:t>
      </w:r>
    </w:p>
    <w:p>
      <w:pPr>
        <w:spacing w:after="0" w:line="133"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4"/>
          <w:szCs w:val="14"/>
          <w:color w:val="auto"/>
        </w:rPr>
        <w:t>The following table sets forth the estimated costs and expenses, other than underwriting discounts and commissions, payable by us in connection with the offering of the securities being registered. All the amounts shown are estimates, except for the SEC registration fee and FINRA filing fee.</w:t>
      </w:r>
    </w:p>
    <w:p>
      <w:pPr>
        <w:sectPr>
          <w:pgSz w:w="11900" w:h="16838" w:orient="portrait"/>
          <w:cols w:equalWidth="0" w:num="1">
            <w:col w:w="11280"/>
          </w:cols>
          <w:pgMar w:left="300" w:top="1240" w:right="319" w:bottom="1440" w:gutter="0" w:footer="0" w:header="0"/>
        </w:sectPr>
      </w:pP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-100330</wp:posOffset>
            </wp:positionV>
            <wp:extent cx="7164705" cy="1117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7164705" cy="11176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7164705" cy="1117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7164705" cy="11176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Legal fees and expenses</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Transfer agent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7164705" cy="1117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7164705" cy="11176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Trustee fees and expenses</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Printing and miscellaneous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7164705" cy="1314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7164705" cy="13144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Total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0" w:lineRule="exact"/>
        <w:rPr>
          <w:sz w:val="20"/>
          <w:szCs w:val="20"/>
          <w:color w:val="auto"/>
        </w:rPr>
      </w:pPr>
    </w:p>
    <w:p>
      <w:pPr>
        <w:ind w:left="240" w:hanging="237"/>
        <w:spacing w:after="0"/>
        <w:tabs>
          <w:tab w:leader="none" w:pos="240" w:val="left"/>
        </w:tabs>
        <w:numPr>
          <w:ilvl w:val="0"/>
          <w:numId w:val="3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These fees are calculated based on the securities offered and the number of issuances and, accordingly, cannot be estimated at this time.</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ind w:left="1120" w:hanging="1115"/>
        <w:spacing w:after="0"/>
        <w:tabs>
          <w:tab w:leader="none" w:pos="11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43,500</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w:t>
      </w:r>
    </w:p>
    <w:p>
      <w:pPr>
        <w:spacing w:after="0" w:line="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w:t>
      </w:r>
    </w:p>
    <w:p>
      <w:pPr>
        <w:spacing w:after="0" w:line="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w:t>
      </w:r>
    </w:p>
    <w:p>
      <w:pPr>
        <w:spacing w:after="0" w:line="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w:t>
      </w:r>
    </w:p>
    <w:p>
      <w:pPr>
        <w:spacing w:after="0" w:line="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w:t>
      </w:r>
    </w:p>
    <w:p>
      <w:pPr>
        <w:spacing w:after="0" w:line="22"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1037590"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037590" cy="6350"/>
                    </a:xfrm>
                    <a:prstGeom prst="rect">
                      <a:avLst/>
                    </a:prstGeom>
                    <a:noFill/>
                  </pic:spPr>
                </pic:pic>
              </a:graphicData>
            </a:graphic>
          </wp:anchor>
        </w:drawing>
      </w:r>
    </w:p>
    <w:p>
      <w:pPr>
        <w:spacing w:after="0" w:line="496" w:lineRule="exact"/>
        <w:rPr>
          <w:sz w:val="20"/>
          <w:szCs w:val="20"/>
          <w:color w:val="auto"/>
        </w:rPr>
      </w:pPr>
    </w:p>
    <w:p>
      <w:pPr>
        <w:sectPr>
          <w:pgSz w:w="11900" w:h="16838" w:orient="portrait"/>
          <w:cols w:equalWidth="0" w:num="2">
            <w:col w:w="8940" w:space="720"/>
            <w:col w:w="1620"/>
          </w:cols>
          <w:pgMar w:left="300" w:top="1240"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b w:val="1"/>
          <w:bCs w:val="1"/>
          <w:color w:val="auto"/>
        </w:rPr>
        <w:t>Item 15. Indemnification of Directors and Officers</w:t>
      </w:r>
    </w:p>
    <w:p>
      <w:pPr>
        <w:spacing w:after="0" w:line="13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4"/>
          <w:szCs w:val="14"/>
          <w:color w:val="auto"/>
        </w:rPr>
        <w:t>We are incorporated under the laws of the State of Delaware. Section 102 of the DGCL permits a corporation to eliminate the personal liability of directors or officers of a corporation to the corporation or its stockholders for monetary damages for a breach of fiduciary duty as a director or officer, except, in the case of any director or officer, where the director or officer breached his or her duty of loyalty, failed to act in good faith, engaged in intentional misconduct or knowingly violated a law, or obtained an improper personal benefit; in the case of any director, where the director authorized the payment of a dividend or approved a stock repurchase in violation of Delaware corporate law; or, in the case of any officer, in any action by or in the right of the corporation.</w:t>
      </w:r>
    </w:p>
    <w:p>
      <w:pPr>
        <w:spacing w:after="0" w:line="102"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4"/>
          <w:szCs w:val="14"/>
          <w:color w:val="auto"/>
        </w:rPr>
        <w:t>Section 145 of the DGCL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or she is or is threatened to be made a party by reason of such position, if such person acted in good faith and in a manner he or she reasonably believed to be in or not opposed to the best interests of the corporation, and, in any criminal action or proceeding, had no reasonable cause to believe his or her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spacing w:after="0" w:line="10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As permitted by the DGCL, our amended and restated certificate of incorporation and our amended and restated bylaws provide that: (i) we are required to indemnify our directors and officers to the fullest extent permitted by the DGCL; (ii) we may, in our discretion, indemnify our employees and agents as set forth in the DGCL; (iii) we are required, upon satisfaction of certain conditions, to advance all expenses incurred by our directors or officers in connection with certain legal proceedings; (iv) the rights conferred in the bylaws are not exclusive; and (v) we are authorized to enter into indemnification agreements with our directors, officers, employees and agents.</w:t>
      </w:r>
    </w:p>
    <w:p>
      <w:pPr>
        <w:spacing w:after="0" w:line="1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have entered into indemnification agreements with each of our directors and executive officers that require us to indemnify them against expenses, judgments, fines, settlements and other amounts that any such person becomes legally obligated to pay (including with respect to a derivative action) in connection with any proceeding, whether actual or threatened, to which such person may be made a party by reason of the fact that such person is or was a director or officer of us or any of our affiliates, provided such person acted in good faith and in a manner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w:t>
      </w:r>
    </w:p>
    <w:p>
      <w:pPr>
        <w:sectPr>
          <w:pgSz w:w="11900" w:h="16838" w:orient="portrait"/>
          <w:cols w:equalWidth="0" w:num="1">
            <w:col w:w="11280"/>
          </w:cols>
          <w:pgMar w:left="300" w:top="1240" w:right="319" w:bottom="1440" w:gutter="0" w:footer="0" w:header="0"/>
          <w:type w:val="continuous"/>
        </w:sectPr>
      </w:pPr>
    </w:p>
    <w:bookmarkStart w:id="36" w:name="page37"/>
    <w:bookmarkEnd w:id="36"/>
    <w:p>
      <w:pPr>
        <w:ind w:right="60"/>
        <w:spacing w:after="0" w:line="259" w:lineRule="auto"/>
        <w:rPr>
          <w:sz w:val="20"/>
          <w:szCs w:val="20"/>
          <w:color w:val="auto"/>
        </w:rPr>
      </w:pPr>
      <w:r>
        <w:rPr>
          <w:rFonts w:ascii="Times New Roman" w:cs="Times New Roman" w:eastAsia="Times New Roman" w:hAnsi="Times New Roman"/>
          <w:sz w:val="14"/>
          <w:szCs w:val="14"/>
          <w:color w:val="auto"/>
        </w:rPr>
        <w:t>person reasonably believed to be in, or not opposed to, our best interests. The indemnification agreements also set forth certain procedures that apply in the event of a claim for indemnification thereunder. At present, no litigation or proceeding is pending that involves any of our directors or officers regarding which indemnification is sought, nor are we aware of any threatened litigation that may result in claims for indemnification.</w:t>
      </w:r>
    </w:p>
    <w:p>
      <w:pPr>
        <w:spacing w:after="0" w:line="99" w:lineRule="exact"/>
        <w:rPr>
          <w:sz w:val="20"/>
          <w:szCs w:val="20"/>
          <w:color w:val="auto"/>
        </w:rPr>
      </w:pPr>
    </w:p>
    <w:p>
      <w:pPr>
        <w:ind w:right="200"/>
        <w:spacing w:after="0" w:line="273" w:lineRule="auto"/>
        <w:rPr>
          <w:sz w:val="20"/>
          <w:szCs w:val="20"/>
          <w:color w:val="auto"/>
        </w:rPr>
      </w:pPr>
      <w:r>
        <w:rPr>
          <w:rFonts w:ascii="Times New Roman" w:cs="Times New Roman" w:eastAsia="Times New Roman" w:hAnsi="Times New Roman"/>
          <w:sz w:val="14"/>
          <w:szCs w:val="14"/>
          <w:color w:val="auto"/>
        </w:rPr>
        <w:t>We maintain a directors’ and officers’ liability insurance policy. The policy insures directors and officers against indemnified losses arising from certain wrongful acts in their capacities as directors and officers and reimburses us for those losses for which we have lawfully indemnified the directors and officers. The policy contains various exclusions.</w:t>
      </w:r>
    </w:p>
    <w:p>
      <w:pPr>
        <w:spacing w:after="0" w:line="89" w:lineRule="exact"/>
        <w:rPr>
          <w:sz w:val="20"/>
          <w:szCs w:val="20"/>
          <w:color w:val="auto"/>
        </w:rPr>
      </w:pPr>
    </w:p>
    <w:p>
      <w:pPr>
        <w:ind w:right="400"/>
        <w:spacing w:after="0" w:line="273" w:lineRule="auto"/>
        <w:rPr>
          <w:sz w:val="20"/>
          <w:szCs w:val="20"/>
          <w:color w:val="auto"/>
        </w:rPr>
      </w:pPr>
      <w:r>
        <w:rPr>
          <w:rFonts w:ascii="Times New Roman" w:cs="Times New Roman" w:eastAsia="Times New Roman" w:hAnsi="Times New Roman"/>
          <w:sz w:val="14"/>
          <w:szCs w:val="14"/>
          <w:color w:val="auto"/>
        </w:rPr>
        <w:t>The underwriting or sales agreement, if any, that we may enter into in connection with an offering pursuant to this Registration Statement will provide for indemnification by any underwriters of the company, our directors and officers who sign the registration statement, if any, and our controlling persons for some liabilities, including liabilities arising under the Securities Act.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 Exhibits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76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Description of Document</w:t>
            </w:r>
          </w:p>
        </w:tc>
        <w:tc>
          <w:tcPr>
            <w:tcW w:w="0" w:type="dxa"/>
            <w:vAlign w:val="bottom"/>
          </w:tcPr>
          <w:p>
            <w:pPr>
              <w:spacing w:after="0"/>
              <w:rPr>
                <w:sz w:val="1"/>
                <w:szCs w:val="1"/>
                <w:color w:val="auto"/>
              </w:rPr>
            </w:pPr>
          </w:p>
        </w:tc>
      </w:tr>
      <w:tr>
        <w:trPr>
          <w:trHeight w:val="149"/>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220" w:type="dxa"/>
            <w:vAlign w:val="bottom"/>
            <w:tcBorders>
              <w:top w:val="single" w:sz="8" w:color="auto"/>
            </w:tcBorders>
            <w:gridSpan w:val="13"/>
          </w:tcPr>
          <w:p>
            <w:pPr>
              <w:spacing w:after="0"/>
              <w:rPr>
                <w:rFonts w:ascii="Times New Roman" w:cs="Times New Roman" w:eastAsia="Times New Roman" w:hAnsi="Times New Roman"/>
                <w:sz w:val="14"/>
                <w:szCs w:val="14"/>
                <w:color w:val="0000FF"/>
              </w:rPr>
            </w:pPr>
            <w:hyperlink r:id="rId43">
              <w:r>
                <w:rPr>
                  <w:rFonts w:ascii="Times New Roman" w:cs="Times New Roman" w:eastAsia="Times New Roman" w:hAnsi="Times New Roman"/>
                  <w:sz w:val="14"/>
                  <w:szCs w:val="14"/>
                  <w:color w:val="0000FF"/>
                </w:rPr>
                <w:t>Amended and Restated Certificate of Incorporation (incorporated by reference to Exhibit 3.1 to the Company’s Current Report on Form 8-K (File No. 001-40551), filed with the</w:t>
              </w:r>
            </w:hyperlink>
          </w:p>
        </w:tc>
        <w:tc>
          <w:tcPr>
            <w:tcW w:w="0" w:type="dxa"/>
            <w:vAlign w:val="bottom"/>
          </w:tcPr>
          <w:p>
            <w:pPr>
              <w:spacing w:after="0"/>
              <w:rPr>
                <w:sz w:val="1"/>
                <w:szCs w:val="1"/>
                <w:color w:val="auto"/>
              </w:rPr>
            </w:pPr>
          </w:p>
        </w:tc>
      </w:tr>
      <w:tr>
        <w:trPr>
          <w:trHeight w:val="114"/>
        </w:trPr>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9740" w:type="dxa"/>
            <w:vAlign w:val="bottom"/>
            <w:tcBorders>
              <w:top w:val="single" w:sz="8" w:color="0000FF"/>
            </w:tcBorders>
            <w:gridSpan w:val="11"/>
          </w:tcPr>
          <w:p>
            <w:pPr>
              <w:spacing w:after="0" w:line="114" w:lineRule="exact"/>
              <w:rPr>
                <w:rFonts w:ascii="Times New Roman" w:cs="Times New Roman" w:eastAsia="Times New Roman" w:hAnsi="Times New Roman"/>
                <w:sz w:val="13"/>
                <w:szCs w:val="13"/>
                <w:color w:val="0000FF"/>
              </w:rPr>
            </w:pPr>
            <w:hyperlink r:id="rId43">
              <w:r>
                <w:rPr>
                  <w:rFonts w:ascii="Times New Roman" w:cs="Times New Roman" w:eastAsia="Times New Roman" w:hAnsi="Times New Roman"/>
                  <w:sz w:val="13"/>
                  <w:szCs w:val="13"/>
                  <w:color w:val="0000FF"/>
                </w:rPr>
                <w:t>Securities and Exchange Commission on June 8, 2023).</w:t>
              </w:r>
            </w:hyperlink>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20" w:type="dxa"/>
            <w:vAlign w:val="bottom"/>
            <w:gridSpan w:val="13"/>
          </w:tcPr>
          <w:p>
            <w:pPr>
              <w:spacing w:after="0"/>
              <w:rPr>
                <w:rFonts w:ascii="Times New Roman" w:cs="Times New Roman" w:eastAsia="Times New Roman" w:hAnsi="Times New Roman"/>
                <w:sz w:val="14"/>
                <w:szCs w:val="14"/>
                <w:color w:val="0000FF"/>
                <w:w w:val="99"/>
              </w:rPr>
            </w:pPr>
            <w:hyperlink r:id="rId44">
              <w:r>
                <w:rPr>
                  <w:rFonts w:ascii="Times New Roman" w:cs="Times New Roman" w:eastAsia="Times New Roman" w:hAnsi="Times New Roman"/>
                  <w:sz w:val="14"/>
                  <w:szCs w:val="14"/>
                  <w:color w:val="0000FF"/>
                  <w:w w:val="99"/>
                </w:rPr>
                <w:t>Amended and Restated Bylaws (incorporated by reference to Exhibit 3.1 to the Company’s Current Report on Form 8-K (File No. 001-40551), filed with the Securities and Exchange</w:t>
              </w:r>
            </w:hyperlink>
          </w:p>
        </w:tc>
        <w:tc>
          <w:tcPr>
            <w:tcW w:w="0" w:type="dxa"/>
            <w:vAlign w:val="bottom"/>
          </w:tcPr>
          <w:p>
            <w:pPr>
              <w:spacing w:after="0"/>
              <w:rPr>
                <w:sz w:val="1"/>
                <w:szCs w:val="1"/>
                <w:color w:val="auto"/>
              </w:rPr>
            </w:pPr>
          </w:p>
        </w:tc>
      </w:tr>
      <w:tr>
        <w:trPr>
          <w:trHeight w:val="114"/>
        </w:trPr>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60" w:type="dxa"/>
            <w:vAlign w:val="bottom"/>
            <w:tcBorders>
              <w:top w:val="single" w:sz="8" w:color="0000FF"/>
              <w:bottom w:val="single" w:sz="8" w:color="0000FF"/>
            </w:tcBorders>
            <w:gridSpan w:val="2"/>
          </w:tcPr>
          <w:p>
            <w:pPr>
              <w:spacing w:after="0" w:line="114" w:lineRule="exact"/>
              <w:rPr>
                <w:rFonts w:ascii="Times New Roman" w:cs="Times New Roman" w:eastAsia="Times New Roman" w:hAnsi="Times New Roman"/>
                <w:sz w:val="13"/>
                <w:szCs w:val="13"/>
                <w:color w:val="0000FF"/>
              </w:rPr>
            </w:pPr>
            <w:hyperlink r:id="rId44">
              <w:r>
                <w:rPr>
                  <w:rFonts w:ascii="Times New Roman" w:cs="Times New Roman" w:eastAsia="Times New Roman" w:hAnsi="Times New Roman"/>
                  <w:sz w:val="13"/>
                  <w:szCs w:val="13"/>
                  <w:color w:val="0000FF"/>
                </w:rPr>
                <w:t>Commission on March 15, 2023).</w:t>
              </w:r>
            </w:hyperlink>
          </w:p>
        </w:tc>
        <w:tc>
          <w:tcPr>
            <w:tcW w:w="8180" w:type="dxa"/>
            <w:vAlign w:val="bottom"/>
            <w:tcBorders>
              <w:top w:val="single" w:sz="8" w:color="0000FF"/>
            </w:tcBorders>
            <w:gridSpan w:val="10"/>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2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Form of Specimen Preferred Stock Certificate and Certificate of Designation of Preferred Stock.</w:t>
            </w:r>
          </w:p>
        </w:tc>
        <w:tc>
          <w:tcPr>
            <w:tcW w:w="0" w:type="dxa"/>
            <w:vAlign w:val="bottom"/>
          </w:tcPr>
          <w:p>
            <w:pPr>
              <w:spacing w:after="0"/>
              <w:rPr>
                <w:sz w:val="1"/>
                <w:szCs w:val="1"/>
                <w:color w:val="auto"/>
              </w:rPr>
            </w:pPr>
          </w:p>
        </w:tc>
      </w:tr>
      <w:tr>
        <w:trPr>
          <w:trHeight w:val="186"/>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2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Form of Indenture, between the Registrant and one or more trustees to be named.</w:t>
            </w:r>
          </w:p>
        </w:tc>
        <w:tc>
          <w:tcPr>
            <w:tcW w:w="0" w:type="dxa"/>
            <w:vAlign w:val="bottom"/>
          </w:tcPr>
          <w:p>
            <w:pPr>
              <w:spacing w:after="0"/>
              <w:rPr>
                <w:sz w:val="1"/>
                <w:szCs w:val="1"/>
                <w:color w:val="auto"/>
              </w:rPr>
            </w:pPr>
          </w:p>
        </w:tc>
      </w:tr>
      <w:tr>
        <w:trPr>
          <w:trHeight w:val="229"/>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6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auto"/>
              </w:rPr>
              <w:t>Form of Debt Securities.</w:t>
            </w:r>
          </w:p>
        </w:tc>
        <w:tc>
          <w:tcPr>
            <w:tcW w:w="576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w w:val="97"/>
              </w:rPr>
              <w:t>Form of Common Stock Warrant Agreement and Warrant Certificate.</w:t>
            </w:r>
          </w:p>
        </w:tc>
        <w:tc>
          <w:tcPr>
            <w:tcW w:w="638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w w:val="97"/>
              </w:rPr>
              <w:t>Form of Preferred Stock Warrant Agreement and Warrant Certificate.</w:t>
            </w:r>
          </w:p>
        </w:tc>
        <w:tc>
          <w:tcPr>
            <w:tcW w:w="64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w w:val="97"/>
              </w:rPr>
              <w:t>Form of Debt Securities Warrant Agreement and Warrant Certificate.</w:t>
            </w:r>
          </w:p>
        </w:tc>
        <w:tc>
          <w:tcPr>
            <w:tcW w:w="64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2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Opinion of Ropes &amp; Gray LLP.</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58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23.1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2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Consent of Ernst &amp; Young LLP, independent registered public accounting firm.</w:t>
            </w:r>
          </w:p>
        </w:tc>
        <w:tc>
          <w:tcPr>
            <w:tcW w:w="0" w:type="dxa"/>
            <w:vAlign w:val="bottom"/>
          </w:tcPr>
          <w:p>
            <w:pPr>
              <w:spacing w:after="0"/>
              <w:rPr>
                <w:sz w:val="1"/>
                <w:szCs w:val="1"/>
                <w:color w:val="auto"/>
              </w:rPr>
            </w:pPr>
          </w:p>
        </w:tc>
      </w:tr>
      <w:tr>
        <w:trPr>
          <w:trHeight w:val="197"/>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23.2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6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Consent of Ropes &amp; Gray LLP (included in Exhibit 5.1).</w:t>
            </w:r>
          </w:p>
        </w:tc>
        <w:tc>
          <w:tcPr>
            <w:tcW w:w="58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24.1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7"/>
              </w:rPr>
              <w:t>Power of Attorney (included on signature page).</w:t>
            </w:r>
          </w:p>
        </w:tc>
        <w:tc>
          <w:tcPr>
            <w:tcW w:w="460" w:type="dxa"/>
            <w:vAlign w:val="bottom"/>
            <w:tcBorders>
              <w:top w:val="single" w:sz="8" w:color="0000FF"/>
            </w:tcBorders>
            <w:gridSpan w:val="2"/>
          </w:tcPr>
          <w:p>
            <w:pPr>
              <w:spacing w:after="0"/>
              <w:rPr>
                <w:sz w:val="17"/>
                <w:szCs w:val="17"/>
                <w:color w:val="auto"/>
              </w:rPr>
            </w:pPr>
          </w:p>
        </w:tc>
        <w:tc>
          <w:tcPr>
            <w:tcW w:w="71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25.1**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2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Statement of Eligibility of Trustee under the Indenture.</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1060" w:hanging="1044"/>
        <w:spacing w:after="0"/>
        <w:tabs>
          <w:tab w:leader="none" w:pos="10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FF"/>
        </w:rPr>
        <w:t>Filing Fee Table.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w:t>
      </w:r>
    </w:p>
    <w:p>
      <w:pPr>
        <w:spacing w:after="0" w:line="10" w:lineRule="exact"/>
        <w:rPr>
          <w:sz w:val="20"/>
          <w:szCs w:val="20"/>
          <w:color w:val="auto"/>
        </w:rPr>
      </w:pPr>
    </w:p>
    <w:p>
      <w:pPr>
        <w:ind w:left="240" w:hanging="237"/>
        <w:spacing w:after="0"/>
        <w:tabs>
          <w:tab w:leader="none" w:pos="240" w:val="left"/>
        </w:tabs>
        <w:numPr>
          <w:ilvl w:val="0"/>
          <w:numId w:val="3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To be filed, if applicable, by amendment or by a report filed under the Exchange Act and incorporated herein by reference.</w:t>
      </w:r>
    </w:p>
    <w:p>
      <w:pPr>
        <w:spacing w:after="0" w:line="4" w:lineRule="exact"/>
        <w:rPr>
          <w:sz w:val="20"/>
          <w:szCs w:val="20"/>
          <w:color w:val="auto"/>
        </w:rPr>
      </w:pPr>
    </w:p>
    <w:p>
      <w:pPr>
        <w:ind w:left="240" w:hanging="237"/>
        <w:spacing w:after="0"/>
        <w:tabs>
          <w:tab w:leader="none" w:pos="240" w:val="left"/>
        </w:tabs>
        <w:numPr>
          <w:ilvl w:val="0"/>
          <w:numId w:val="3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To be filed, if applicable, in accordance with the requirements of Section 305(b)(2) of the Trust Indenture Act of 1939 and Rule 5b-3 thereunder.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17. Undertakings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undersigned registrant hereby undertakes:</w:t>
      </w:r>
    </w:p>
    <w:p>
      <w:pPr>
        <w:spacing w:after="0" w:line="129" w:lineRule="exact"/>
        <w:rPr>
          <w:sz w:val="20"/>
          <w:szCs w:val="20"/>
          <w:color w:val="auto"/>
        </w:rPr>
      </w:pPr>
    </w:p>
    <w:p>
      <w:pPr>
        <w:ind w:left="500" w:hanging="249"/>
        <w:spacing w:after="0"/>
        <w:tabs>
          <w:tab w:leader="none" w:pos="5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128" w:lineRule="exact"/>
        <w:rPr>
          <w:rFonts w:ascii="Times New Roman" w:cs="Times New Roman" w:eastAsia="Times New Roman" w:hAnsi="Times New Roman"/>
          <w:sz w:val="14"/>
          <w:szCs w:val="14"/>
          <w:color w:val="auto"/>
        </w:rPr>
      </w:pPr>
    </w:p>
    <w:p>
      <w:pPr>
        <w:ind w:left="740" w:hanging="241"/>
        <w:spacing w:after="0"/>
        <w:tabs>
          <w:tab w:leader="none" w:pos="740"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 of 1933;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II-2</w:t>
      </w:r>
    </w:p>
    <w:p>
      <w:pPr>
        <w:sectPr>
          <w:pgSz w:w="11900" w:h="16838" w:orient="portrait"/>
          <w:cols w:equalWidth="0" w:num="1">
            <w:col w:w="11280"/>
          </w:cols>
          <w:pgMar w:left="300" w:top="1120" w:right="319" w:bottom="1440" w:gutter="0" w:footer="0" w:header="0"/>
        </w:sectPr>
      </w:pPr>
    </w:p>
    <w:bookmarkStart w:id="37" w:name="page38"/>
    <w:bookmarkEnd w:id="37"/>
    <w:p>
      <w:pPr>
        <w:ind w:left="740" w:right="20" w:hanging="241"/>
        <w:spacing w:after="0" w:line="253" w:lineRule="auto"/>
        <w:tabs>
          <w:tab w:leader="none" w:pos="73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Filing Fee Tables” or “Calculation of Registration Fee” table, as applicable, in the effective registration statement; and</w:t>
      </w:r>
    </w:p>
    <w:p>
      <w:pPr>
        <w:spacing w:after="0" w:line="102" w:lineRule="exact"/>
        <w:rPr>
          <w:rFonts w:ascii="Times New Roman" w:cs="Times New Roman" w:eastAsia="Times New Roman" w:hAnsi="Times New Roman"/>
          <w:sz w:val="14"/>
          <w:szCs w:val="14"/>
          <w:color w:val="auto"/>
        </w:rPr>
      </w:pPr>
    </w:p>
    <w:p>
      <w:pPr>
        <w:ind w:left="740" w:right="40" w:hanging="241"/>
        <w:spacing w:after="0" w:line="273" w:lineRule="auto"/>
        <w:tabs>
          <w:tab w:leader="none" w:pos="7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85" w:lineRule="exact"/>
        <w:rPr>
          <w:sz w:val="20"/>
          <w:szCs w:val="20"/>
          <w:color w:val="auto"/>
        </w:rPr>
      </w:pPr>
    </w:p>
    <w:p>
      <w:pPr>
        <w:jc w:val="both"/>
        <w:ind w:right="220"/>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provided, however, </w:t>
      </w:r>
      <w:r>
        <w:rPr>
          <w:rFonts w:ascii="Times New Roman" w:cs="Times New Roman" w:eastAsia="Times New Roman" w:hAnsi="Times New Roman"/>
          <w:sz w:val="14"/>
          <w:szCs w:val="14"/>
          <w:color w:val="auto"/>
        </w:rPr>
        <w:t>that the undertakings set forth in paragraphs (1)(i), (1)(ii) and (1)(iii) above do not apply if the registration statement is on Form S-3 and the information required to be included in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post-effective amendment 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97" w:lineRule="exact"/>
        <w:rPr>
          <w:sz w:val="20"/>
          <w:szCs w:val="20"/>
          <w:color w:val="auto"/>
        </w:rPr>
      </w:pPr>
    </w:p>
    <w:p>
      <w:pPr>
        <w:ind w:left="500" w:right="20" w:hanging="249"/>
        <w:spacing w:after="0" w:line="273" w:lineRule="auto"/>
        <w:tabs>
          <w:tab w:leader="none" w:pos="495"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8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128"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of 1933 to any purchaser</w:t>
      </w:r>
    </w:p>
    <w:p>
      <w:pPr>
        <w:spacing w:after="0" w:line="128" w:lineRule="exact"/>
        <w:rPr>
          <w:rFonts w:ascii="Times New Roman" w:cs="Times New Roman" w:eastAsia="Times New Roman" w:hAnsi="Times New Roman"/>
          <w:sz w:val="14"/>
          <w:szCs w:val="14"/>
          <w:color w:val="auto"/>
        </w:rPr>
      </w:pPr>
    </w:p>
    <w:p>
      <w:pPr>
        <w:ind w:left="740" w:right="120" w:hanging="241"/>
        <w:spacing w:after="0" w:line="273" w:lineRule="auto"/>
        <w:tabs>
          <w:tab w:leader="none" w:pos="736"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88" w:lineRule="exact"/>
        <w:rPr>
          <w:rFonts w:ascii="Times New Roman" w:cs="Times New Roman" w:eastAsia="Times New Roman" w:hAnsi="Times New Roman"/>
          <w:sz w:val="14"/>
          <w:szCs w:val="14"/>
          <w:color w:val="auto"/>
        </w:rPr>
      </w:pPr>
    </w:p>
    <w:p>
      <w:pPr>
        <w:ind w:left="740" w:hanging="241"/>
        <w:spacing w:after="0" w:line="249" w:lineRule="auto"/>
        <w:tabs>
          <w:tab w:leader="none" w:pos="732"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10" w:lineRule="exact"/>
        <w:rPr>
          <w:rFonts w:ascii="Times New Roman" w:cs="Times New Roman" w:eastAsia="Times New Roman" w:hAnsi="Times New Roman"/>
          <w:sz w:val="14"/>
          <w:szCs w:val="14"/>
          <w:color w:val="auto"/>
        </w:rPr>
      </w:pPr>
    </w:p>
    <w:p>
      <w:pPr>
        <w:ind w:left="500" w:right="100" w:hanging="249"/>
        <w:spacing w:after="0" w:line="259" w:lineRule="auto"/>
        <w:tabs>
          <w:tab w:leader="none" w:pos="495"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II-3</w:t>
      </w:r>
    </w:p>
    <w:p>
      <w:pPr>
        <w:sectPr>
          <w:pgSz w:w="11900" w:h="16838" w:orient="portrait"/>
          <w:cols w:equalWidth="0" w:num="1">
            <w:col w:w="11280"/>
          </w:cols>
          <w:pgMar w:left="300" w:top="1119" w:right="319" w:bottom="1440" w:gutter="0" w:footer="0" w:header="0"/>
        </w:sectPr>
      </w:pPr>
    </w:p>
    <w:bookmarkStart w:id="38" w:name="page39"/>
    <w:bookmarkEnd w:id="38"/>
    <w:p>
      <w:pPr>
        <w:ind w:left="500"/>
        <w:spacing w:after="0" w:line="255" w:lineRule="auto"/>
        <w:rPr>
          <w:sz w:val="20"/>
          <w:szCs w:val="20"/>
          <w:color w:val="auto"/>
        </w:rPr>
      </w:pPr>
      <w:r>
        <w:rPr>
          <w:rFonts w:ascii="Times New Roman" w:cs="Times New Roman" w:eastAsia="Times New Roman" w:hAnsi="Times New Roman"/>
          <w:sz w:val="14"/>
          <w:szCs w:val="14"/>
          <w:color w:val="auto"/>
        </w:rPr>
        <w:t>the purchaser and will be considered to offer or sell such securities to such purchaser: (i) any preliminary prospectus or prospectus of the undersigned registrant relating to the offering required to be filed pursuant to Rule 424; (ii) any free writing prospectus relating to the offering prepared by or on behalf of the undersigned registrant or used or referred to by the undersigned registrant; (iii) the portion of any other free writing prospectus relating to the offering containing material information about the undersigned registrant or its securities provided by or on behalf of the undersigned registrant; and (iv) any other communication that is an offer in the offering made by the undersigned registrant to the purchaser.</w:t>
      </w:r>
    </w:p>
    <w:p>
      <w:pPr>
        <w:spacing w:after="0" w:line="102" w:lineRule="exact"/>
        <w:rPr>
          <w:sz w:val="20"/>
          <w:szCs w:val="20"/>
          <w:color w:val="auto"/>
        </w:rPr>
      </w:pPr>
    </w:p>
    <w:p>
      <w:pPr>
        <w:ind w:left="500" w:right="120" w:hanging="249"/>
        <w:spacing w:after="0" w:line="255" w:lineRule="auto"/>
        <w:tabs>
          <w:tab w:leader="none" w:pos="495"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01" w:lineRule="exact"/>
        <w:rPr>
          <w:rFonts w:ascii="Times New Roman" w:cs="Times New Roman" w:eastAsia="Times New Roman" w:hAnsi="Times New Roman"/>
          <w:sz w:val="14"/>
          <w:szCs w:val="14"/>
          <w:color w:val="auto"/>
        </w:rPr>
      </w:pPr>
    </w:p>
    <w:p>
      <w:pPr>
        <w:ind w:left="500" w:right="100" w:hanging="249"/>
        <w:spacing w:after="0" w:line="273" w:lineRule="auto"/>
        <w:tabs>
          <w:tab w:leader="none" w:pos="495"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an application for the purpose of determining the eligibility of the trustee to act under subsection (a) of Section 310 of the Trust Indenture Act in accordance with the rules and regulations prescribed by the SEC under Section 305(b)(2) of the Trust Indenture Act.</w:t>
      </w:r>
    </w:p>
    <w:p>
      <w:pPr>
        <w:spacing w:after="0" w:line="89"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II-4</w:t>
      </w:r>
    </w:p>
    <w:p>
      <w:pPr>
        <w:sectPr>
          <w:pgSz w:w="11900" w:h="16838" w:orient="portrait"/>
          <w:cols w:equalWidth="0" w:num="1">
            <w:col w:w="11280"/>
          </w:cols>
          <w:pgMar w:left="300" w:top="1120" w:right="31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50"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Newton, Commonwealth of Massachusetts, on this 26th day of October, 2026.</w:t>
      </w:r>
    </w:p>
    <w:p>
      <w:pPr>
        <w:spacing w:after="0" w:line="44"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4"/>
          <w:szCs w:val="14"/>
          <w:b w:val="1"/>
          <w:bCs w:val="1"/>
          <w:color w:val="auto"/>
        </w:rPr>
        <w:t>ACUMEN PHARMACEUTICALS, INC.</w:t>
      </w:r>
    </w:p>
    <w:p>
      <w:pPr>
        <w:spacing w:after="0" w:line="22" w:lineRule="exact"/>
        <w:rPr>
          <w:sz w:val="20"/>
          <w:szCs w:val="20"/>
          <w:color w:val="auto"/>
        </w:rPr>
      </w:pPr>
    </w:p>
    <w:p>
      <w:pPr>
        <w:ind w:left="6720"/>
        <w:spacing w:after="0"/>
        <w:tabs>
          <w:tab w:leader="none" w:pos="766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Daniel O’Connell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8890</wp:posOffset>
            </wp:positionV>
            <wp:extent cx="2298700"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2298700" cy="6350"/>
                    </a:xfrm>
                    <a:prstGeom prst="rect">
                      <a:avLst/>
                    </a:prstGeom>
                    <a:noFill/>
                  </pic:spPr>
                </pic:pic>
              </a:graphicData>
            </a:graphic>
          </wp:anchor>
        </w:drawing>
      </w:r>
    </w:p>
    <w:p>
      <w:pPr>
        <w:spacing w:after="0" w:line="2"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4"/>
          <w:szCs w:val="14"/>
          <w:color w:val="auto"/>
        </w:rPr>
        <w:t>Daniel O’Connell</w:t>
      </w:r>
    </w:p>
    <w:p>
      <w:pPr>
        <w:spacing w:after="0" w:line="18"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50"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4"/>
          <w:szCs w:val="14"/>
          <w:color w:val="auto"/>
        </w:rPr>
        <w:t>KNOW ALL PERSONS BY THESE PRESENTS, that each person whose signature appears below hereby constitutes and appoints Daniel O’Connell, William Matthew Zuga and Derek Meisner, jointly and severally, as his or her true and lawful agent, proxy and attorneys-in-fact, with full power of substitution and resubstitution, for him or her and in his or her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to be done, as fully for all intents and purposes as he or she might or could do in person, hereby approving, ratifying and confirming all that such agent, proxy and attorney-in-fact or any of his substitutes may lawfully do or cause to be done by virtue thereof.</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Act of 1933, as amended, this Registration Statement has been signed by the following persons in the capacities and on the dates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Name</w:t>
            </w:r>
          </w:p>
        </w:tc>
        <w:tc>
          <w:tcPr>
            <w:tcW w:w="80" w:type="dxa"/>
            <w:vAlign w:val="bottom"/>
          </w:tcPr>
          <w:p>
            <w:pPr>
              <w:spacing w:after="0"/>
              <w:rPr>
                <w:sz w:val="13"/>
                <w:szCs w:val="13"/>
                <w:color w:val="auto"/>
              </w:rPr>
            </w:pPr>
          </w:p>
        </w:tc>
        <w:tc>
          <w:tcPr>
            <w:tcW w:w="5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Title</w:t>
            </w:r>
          </w:p>
        </w:tc>
        <w:tc>
          <w:tcPr>
            <w:tcW w:w="80" w:type="dxa"/>
            <w:vAlign w:val="bottom"/>
          </w:tcPr>
          <w:p>
            <w:pPr>
              <w:spacing w:after="0"/>
              <w:rPr>
                <w:sz w:val="13"/>
                <w:szCs w:val="13"/>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0" w:type="dxa"/>
            <w:vAlign w:val="bottom"/>
          </w:tcPr>
          <w:p>
            <w:pPr>
              <w:spacing w:after="0"/>
              <w:rPr>
                <w:sz w:val="1"/>
                <w:szCs w:val="1"/>
                <w:color w:val="auto"/>
              </w:rPr>
            </w:pPr>
          </w:p>
        </w:tc>
      </w:tr>
      <w:tr>
        <w:trPr>
          <w:trHeight w:val="186"/>
        </w:trPr>
        <w:tc>
          <w:tcPr>
            <w:tcW w:w="3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/s/ Daniel O’Connell</w:t>
            </w:r>
          </w:p>
        </w:tc>
        <w:tc>
          <w:tcPr>
            <w:tcW w:w="80" w:type="dxa"/>
            <w:vAlign w:val="bottom"/>
          </w:tcPr>
          <w:p>
            <w:pPr>
              <w:spacing w:after="0"/>
              <w:rPr>
                <w:sz w:val="16"/>
                <w:szCs w:val="16"/>
                <w:color w:val="auto"/>
              </w:rPr>
            </w:pPr>
          </w:p>
        </w:tc>
        <w:tc>
          <w:tcPr>
            <w:tcW w:w="5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7"/>
              </w:rPr>
              <w:t>Chief Executive Officer and Director</w:t>
            </w:r>
          </w:p>
        </w:tc>
        <w:tc>
          <w:tcPr>
            <w:tcW w:w="2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October 26, 2026</w:t>
            </w:r>
          </w:p>
        </w:tc>
        <w:tc>
          <w:tcPr>
            <w:tcW w:w="0" w:type="dxa"/>
            <w:vAlign w:val="bottom"/>
          </w:tcPr>
          <w:p>
            <w:pPr>
              <w:spacing w:after="0"/>
              <w:rPr>
                <w:sz w:val="1"/>
                <w:szCs w:val="1"/>
                <w:color w:val="auto"/>
              </w:rPr>
            </w:pPr>
          </w:p>
        </w:tc>
      </w:tr>
      <w:tr>
        <w:trPr>
          <w:trHeight w:val="21"/>
        </w:trPr>
        <w:tc>
          <w:tcPr>
            <w:tcW w:w="3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7"/>
              </w:rPr>
              <w:t>(</w:t>
            </w:r>
            <w:r>
              <w:rPr>
                <w:rFonts w:ascii="Times New Roman" w:cs="Times New Roman" w:eastAsia="Times New Roman" w:hAnsi="Times New Roman"/>
                <w:sz w:val="14"/>
                <w:szCs w:val="14"/>
                <w:i w:val="1"/>
                <w:iCs w:val="1"/>
                <w:color w:val="auto"/>
                <w:w w:val="97"/>
              </w:rPr>
              <w:t>Principal Executive Officer</w:t>
            </w:r>
            <w:r>
              <w:rPr>
                <w:rFonts w:ascii="Times New Roman" w:cs="Times New Roman" w:eastAsia="Times New Roman" w:hAnsi="Times New Roman"/>
                <w:sz w:val="14"/>
                <w:szCs w:val="14"/>
                <w:color w:val="auto"/>
                <w:w w:val="97"/>
              </w:rPr>
              <w:t>)</w:t>
            </w:r>
          </w:p>
        </w:tc>
        <w:tc>
          <w:tcPr>
            <w:tcW w:w="214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3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Daniel O’Connell</w:t>
            </w:r>
          </w:p>
        </w:tc>
        <w:tc>
          <w:tcPr>
            <w:tcW w:w="80" w:type="dxa"/>
            <w:vAlign w:val="bottom"/>
          </w:tcPr>
          <w:p>
            <w:pPr>
              <w:spacing w:after="0"/>
              <w:rPr>
                <w:sz w:val="6"/>
                <w:szCs w:val="6"/>
                <w:color w:val="auto"/>
              </w:rPr>
            </w:pPr>
          </w:p>
        </w:tc>
        <w:tc>
          <w:tcPr>
            <w:tcW w:w="5940" w:type="dxa"/>
            <w:vAlign w:val="bottom"/>
            <w:gridSpan w:val="2"/>
            <w:vMerge w:val="continue"/>
          </w:tcPr>
          <w:p>
            <w:pPr>
              <w:spacing w:after="0"/>
              <w:rPr>
                <w:sz w:val="6"/>
                <w:szCs w:val="6"/>
                <w:color w:val="auto"/>
              </w:rPr>
            </w:pPr>
          </w:p>
        </w:tc>
        <w:tc>
          <w:tcPr>
            <w:tcW w:w="2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31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940" w:type="dxa"/>
            <w:vAlign w:val="bottom"/>
            <w:gridSpan w:val="2"/>
            <w:vMerge w:val="continue"/>
          </w:tcPr>
          <w:p>
            <w:pPr>
              <w:spacing w:after="0"/>
              <w:rPr>
                <w:sz w:val="8"/>
                <w:szCs w:val="8"/>
                <w:color w:val="auto"/>
              </w:rPr>
            </w:pPr>
          </w:p>
        </w:tc>
        <w:tc>
          <w:tcPr>
            <w:tcW w:w="2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3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/s/ William Matthew Zuga</w:t>
            </w:r>
          </w:p>
        </w:tc>
        <w:tc>
          <w:tcPr>
            <w:tcW w:w="80" w:type="dxa"/>
            <w:vAlign w:val="bottom"/>
          </w:tcPr>
          <w:p>
            <w:pPr>
              <w:spacing w:after="0"/>
              <w:rPr>
                <w:sz w:val="24"/>
                <w:szCs w:val="24"/>
                <w:color w:val="auto"/>
              </w:rPr>
            </w:pPr>
          </w:p>
        </w:tc>
        <w:tc>
          <w:tcPr>
            <w:tcW w:w="5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Chief Financial Officer and Chief Business Officer</w:t>
            </w:r>
          </w:p>
        </w:tc>
        <w:tc>
          <w:tcPr>
            <w:tcW w:w="2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October 26, 2026</w:t>
            </w:r>
          </w:p>
        </w:tc>
        <w:tc>
          <w:tcPr>
            <w:tcW w:w="0" w:type="dxa"/>
            <w:vAlign w:val="bottom"/>
          </w:tcPr>
          <w:p>
            <w:pPr>
              <w:spacing w:after="0"/>
              <w:rPr>
                <w:sz w:val="1"/>
                <w:szCs w:val="1"/>
                <w:color w:val="auto"/>
              </w:rPr>
            </w:pPr>
          </w:p>
        </w:tc>
      </w:tr>
      <w:tr>
        <w:trPr>
          <w:trHeight w:val="31"/>
        </w:trPr>
        <w:tc>
          <w:tcPr>
            <w:tcW w:w="3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9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98"/>
              </w:rPr>
              <w:t>(</w:t>
            </w:r>
            <w:r>
              <w:rPr>
                <w:rFonts w:ascii="Times New Roman" w:cs="Times New Roman" w:eastAsia="Times New Roman" w:hAnsi="Times New Roman"/>
                <w:sz w:val="14"/>
                <w:szCs w:val="14"/>
                <w:i w:val="1"/>
                <w:iCs w:val="1"/>
                <w:color w:val="auto"/>
                <w:w w:val="98"/>
              </w:rPr>
              <w:t>Principal Financial Officer and Principal Accounting Officer</w:t>
            </w:r>
            <w:r>
              <w:rPr>
                <w:rFonts w:ascii="Times New Roman" w:cs="Times New Roman" w:eastAsia="Times New Roman" w:hAnsi="Times New Roman"/>
                <w:sz w:val="14"/>
                <w:szCs w:val="14"/>
                <w:color w:val="auto"/>
                <w:w w:val="98"/>
              </w:rPr>
              <w:t>)</w:t>
            </w:r>
          </w:p>
        </w:tc>
        <w:tc>
          <w:tcPr>
            <w:tcW w:w="21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3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William Matthew Zuga</w:t>
            </w:r>
          </w:p>
        </w:tc>
        <w:tc>
          <w:tcPr>
            <w:tcW w:w="80" w:type="dxa"/>
            <w:vAlign w:val="bottom"/>
          </w:tcPr>
          <w:p>
            <w:pPr>
              <w:spacing w:after="0"/>
              <w:rPr>
                <w:sz w:val="5"/>
                <w:szCs w:val="5"/>
                <w:color w:val="auto"/>
              </w:rPr>
            </w:pPr>
          </w:p>
        </w:tc>
        <w:tc>
          <w:tcPr>
            <w:tcW w:w="5940" w:type="dxa"/>
            <w:vAlign w:val="bottom"/>
            <w:gridSpan w:val="2"/>
            <w:vMerge w:val="continue"/>
          </w:tcPr>
          <w:p>
            <w:pPr>
              <w:spacing w:after="0"/>
              <w:rPr>
                <w:sz w:val="5"/>
                <w:szCs w:val="5"/>
                <w:color w:val="auto"/>
              </w:rPr>
            </w:pPr>
          </w:p>
        </w:tc>
        <w:tc>
          <w:tcPr>
            <w:tcW w:w="2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31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940" w:type="dxa"/>
            <w:vAlign w:val="bottom"/>
            <w:gridSpan w:val="2"/>
            <w:vMerge w:val="continue"/>
          </w:tcPr>
          <w:p>
            <w:pPr>
              <w:spacing w:after="0"/>
              <w:rPr>
                <w:sz w:val="5"/>
                <w:szCs w:val="5"/>
                <w:color w:val="auto"/>
              </w:rPr>
            </w:pPr>
          </w:p>
        </w:tc>
        <w:tc>
          <w:tcPr>
            <w:tcW w:w="2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31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860" w:type="dxa"/>
            <w:vAlign w:val="bottom"/>
          </w:tcPr>
          <w:p>
            <w:pPr>
              <w:spacing w:after="0"/>
              <w:rPr>
                <w:sz w:val="6"/>
                <w:szCs w:val="6"/>
                <w:color w:val="auto"/>
              </w:rPr>
            </w:pPr>
          </w:p>
        </w:tc>
        <w:tc>
          <w:tcPr>
            <w:tcW w:w="80" w:type="dxa"/>
            <w:vAlign w:val="bottom"/>
          </w:tcPr>
          <w:p>
            <w:pPr>
              <w:spacing w:after="0"/>
              <w:rPr>
                <w:sz w:val="6"/>
                <w:szCs w:val="6"/>
                <w:color w:val="auto"/>
              </w:rPr>
            </w:pPr>
          </w:p>
        </w:tc>
        <w:tc>
          <w:tcPr>
            <w:tcW w:w="2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8"/>
        </w:trPr>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/s/ Kimberlee C. Drapkin</w:t>
            </w:r>
          </w:p>
        </w:tc>
        <w:tc>
          <w:tcPr>
            <w:tcW w:w="80" w:type="dxa"/>
            <w:vAlign w:val="bottom"/>
          </w:tcPr>
          <w:p>
            <w:pPr>
              <w:spacing w:after="0"/>
              <w:rPr>
                <w:sz w:val="23"/>
                <w:szCs w:val="23"/>
                <w:color w:val="auto"/>
              </w:rPr>
            </w:pPr>
          </w:p>
        </w:tc>
        <w:tc>
          <w:tcPr>
            <w:tcW w:w="59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98"/>
              </w:rPr>
              <w:t>Director</w:t>
            </w:r>
          </w:p>
        </w:tc>
        <w:tc>
          <w:tcPr>
            <w:tcW w:w="2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October 26, 2026</w:t>
            </w:r>
          </w:p>
        </w:tc>
        <w:tc>
          <w:tcPr>
            <w:tcW w:w="0" w:type="dxa"/>
            <w:vAlign w:val="bottom"/>
          </w:tcPr>
          <w:p>
            <w:pPr>
              <w:spacing w:after="0"/>
              <w:rPr>
                <w:sz w:val="1"/>
                <w:szCs w:val="1"/>
                <w:color w:val="auto"/>
              </w:rPr>
            </w:pPr>
          </w:p>
        </w:tc>
      </w:tr>
      <w:tr>
        <w:trPr>
          <w:trHeight w:val="74"/>
        </w:trPr>
        <w:tc>
          <w:tcPr>
            <w:tcW w:w="3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Kimberlee C. Drapkin</w:t>
            </w:r>
          </w:p>
        </w:tc>
        <w:tc>
          <w:tcPr>
            <w:tcW w:w="80" w:type="dxa"/>
            <w:vAlign w:val="bottom"/>
          </w:tcPr>
          <w:p>
            <w:pPr>
              <w:spacing w:after="0"/>
              <w:rPr>
                <w:sz w:val="6"/>
                <w:szCs w:val="6"/>
                <w:color w:val="auto"/>
              </w:rPr>
            </w:pPr>
          </w:p>
        </w:tc>
        <w:tc>
          <w:tcPr>
            <w:tcW w:w="5940" w:type="dxa"/>
            <w:vAlign w:val="bottom"/>
            <w:gridSpan w:val="2"/>
            <w:vMerge w:val="continue"/>
          </w:tcPr>
          <w:p>
            <w:pPr>
              <w:spacing w:after="0"/>
              <w:rPr>
                <w:sz w:val="6"/>
                <w:szCs w:val="6"/>
                <w:color w:val="auto"/>
              </w:rPr>
            </w:pPr>
          </w:p>
        </w:tc>
        <w:tc>
          <w:tcPr>
            <w:tcW w:w="2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31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860" w:type="dxa"/>
            <w:vAlign w:val="bottom"/>
          </w:tcPr>
          <w:p>
            <w:pPr>
              <w:spacing w:after="0"/>
              <w:rPr>
                <w:sz w:val="8"/>
                <w:szCs w:val="8"/>
                <w:color w:val="auto"/>
              </w:rPr>
            </w:pPr>
          </w:p>
        </w:tc>
        <w:tc>
          <w:tcPr>
            <w:tcW w:w="80" w:type="dxa"/>
            <w:vAlign w:val="bottom"/>
          </w:tcPr>
          <w:p>
            <w:pPr>
              <w:spacing w:after="0"/>
              <w:rPr>
                <w:sz w:val="8"/>
                <w:szCs w:val="8"/>
                <w:color w:val="auto"/>
              </w:rPr>
            </w:pPr>
          </w:p>
        </w:tc>
        <w:tc>
          <w:tcPr>
            <w:tcW w:w="2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/s/ Nathan B. Fountain</w:t>
            </w:r>
          </w:p>
        </w:tc>
        <w:tc>
          <w:tcPr>
            <w:tcW w:w="80" w:type="dxa"/>
            <w:vAlign w:val="bottom"/>
          </w:tcPr>
          <w:p>
            <w:pPr>
              <w:spacing w:after="0"/>
              <w:rPr>
                <w:sz w:val="18"/>
                <w:szCs w:val="18"/>
                <w:color w:val="auto"/>
              </w:rPr>
            </w:pPr>
          </w:p>
        </w:tc>
        <w:tc>
          <w:tcPr>
            <w:tcW w:w="59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98"/>
              </w:rPr>
              <w:t>Director</w:t>
            </w:r>
          </w:p>
        </w:tc>
        <w:tc>
          <w:tcPr>
            <w:tcW w:w="2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October 26, 2026</w:t>
            </w:r>
          </w:p>
        </w:tc>
        <w:tc>
          <w:tcPr>
            <w:tcW w:w="0" w:type="dxa"/>
            <w:vAlign w:val="bottom"/>
          </w:tcPr>
          <w:p>
            <w:pPr>
              <w:spacing w:after="0"/>
              <w:rPr>
                <w:sz w:val="1"/>
                <w:szCs w:val="1"/>
                <w:color w:val="auto"/>
              </w:rPr>
            </w:pPr>
          </w:p>
        </w:tc>
      </w:tr>
      <w:tr>
        <w:trPr>
          <w:trHeight w:val="74"/>
        </w:trPr>
        <w:tc>
          <w:tcPr>
            <w:tcW w:w="3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Nathan B. Fountain, M.D.</w:t>
            </w:r>
          </w:p>
        </w:tc>
        <w:tc>
          <w:tcPr>
            <w:tcW w:w="80" w:type="dxa"/>
            <w:vAlign w:val="bottom"/>
          </w:tcPr>
          <w:p>
            <w:pPr>
              <w:spacing w:after="0"/>
              <w:rPr>
                <w:sz w:val="6"/>
                <w:szCs w:val="6"/>
                <w:color w:val="auto"/>
              </w:rPr>
            </w:pPr>
          </w:p>
        </w:tc>
        <w:tc>
          <w:tcPr>
            <w:tcW w:w="5940" w:type="dxa"/>
            <w:vAlign w:val="bottom"/>
            <w:gridSpan w:val="2"/>
            <w:vMerge w:val="continue"/>
          </w:tcPr>
          <w:p>
            <w:pPr>
              <w:spacing w:after="0"/>
              <w:rPr>
                <w:sz w:val="6"/>
                <w:szCs w:val="6"/>
                <w:color w:val="auto"/>
              </w:rPr>
            </w:pPr>
          </w:p>
        </w:tc>
        <w:tc>
          <w:tcPr>
            <w:tcW w:w="2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31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860" w:type="dxa"/>
            <w:vAlign w:val="bottom"/>
          </w:tcPr>
          <w:p>
            <w:pPr>
              <w:spacing w:after="0"/>
              <w:rPr>
                <w:sz w:val="8"/>
                <w:szCs w:val="8"/>
                <w:color w:val="auto"/>
              </w:rPr>
            </w:pPr>
          </w:p>
        </w:tc>
        <w:tc>
          <w:tcPr>
            <w:tcW w:w="80" w:type="dxa"/>
            <w:vAlign w:val="bottom"/>
          </w:tcPr>
          <w:p>
            <w:pPr>
              <w:spacing w:after="0"/>
              <w:rPr>
                <w:sz w:val="8"/>
                <w:szCs w:val="8"/>
                <w:color w:val="auto"/>
              </w:rPr>
            </w:pPr>
          </w:p>
        </w:tc>
        <w:tc>
          <w:tcPr>
            <w:tcW w:w="2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/s/ George Golumbeski</w:t>
            </w:r>
          </w:p>
        </w:tc>
        <w:tc>
          <w:tcPr>
            <w:tcW w:w="80" w:type="dxa"/>
            <w:vAlign w:val="bottom"/>
          </w:tcPr>
          <w:p>
            <w:pPr>
              <w:spacing w:after="0"/>
              <w:rPr>
                <w:sz w:val="20"/>
                <w:szCs w:val="20"/>
                <w:color w:val="auto"/>
              </w:rPr>
            </w:pPr>
          </w:p>
        </w:tc>
        <w:tc>
          <w:tcPr>
            <w:tcW w:w="5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9"/>
              </w:rPr>
              <w:t>Director and Chair</w:t>
            </w:r>
          </w:p>
        </w:tc>
        <w:tc>
          <w:tcPr>
            <w:tcW w:w="2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October 26, 2026</w:t>
            </w:r>
          </w:p>
        </w:tc>
        <w:tc>
          <w:tcPr>
            <w:tcW w:w="0" w:type="dxa"/>
            <w:vAlign w:val="bottom"/>
          </w:tcPr>
          <w:p>
            <w:pPr>
              <w:spacing w:after="0"/>
              <w:rPr>
                <w:sz w:val="1"/>
                <w:szCs w:val="1"/>
                <w:color w:val="auto"/>
              </w:rPr>
            </w:pPr>
          </w:p>
        </w:tc>
      </w:tr>
      <w:tr>
        <w:trPr>
          <w:trHeight w:val="63"/>
        </w:trPr>
        <w:tc>
          <w:tcPr>
            <w:tcW w:w="3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George Golumbeski, Ph.D.</w:t>
            </w:r>
          </w:p>
        </w:tc>
        <w:tc>
          <w:tcPr>
            <w:tcW w:w="80" w:type="dxa"/>
            <w:vAlign w:val="bottom"/>
          </w:tcPr>
          <w:p>
            <w:pPr>
              <w:spacing w:after="0"/>
              <w:rPr>
                <w:sz w:val="5"/>
                <w:szCs w:val="5"/>
                <w:color w:val="auto"/>
              </w:rPr>
            </w:pPr>
          </w:p>
        </w:tc>
        <w:tc>
          <w:tcPr>
            <w:tcW w:w="5940" w:type="dxa"/>
            <w:vAlign w:val="bottom"/>
            <w:gridSpan w:val="2"/>
            <w:vMerge w:val="continue"/>
          </w:tcPr>
          <w:p>
            <w:pPr>
              <w:spacing w:after="0"/>
              <w:rPr>
                <w:sz w:val="5"/>
                <w:szCs w:val="5"/>
                <w:color w:val="auto"/>
              </w:rPr>
            </w:pPr>
          </w:p>
        </w:tc>
        <w:tc>
          <w:tcPr>
            <w:tcW w:w="2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31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860" w:type="dxa"/>
            <w:vAlign w:val="bottom"/>
          </w:tcPr>
          <w:p>
            <w:pPr>
              <w:spacing w:after="0"/>
              <w:rPr>
                <w:sz w:val="9"/>
                <w:szCs w:val="9"/>
                <w:color w:val="auto"/>
              </w:rPr>
            </w:pPr>
          </w:p>
        </w:tc>
        <w:tc>
          <w:tcPr>
            <w:tcW w:w="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7"/>
        </w:trPr>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/s/ Jeffrey L. Ives</w:t>
            </w:r>
          </w:p>
        </w:tc>
        <w:tc>
          <w:tcPr>
            <w:tcW w:w="80" w:type="dxa"/>
            <w:vAlign w:val="bottom"/>
          </w:tcPr>
          <w:p>
            <w:pPr>
              <w:spacing w:after="0"/>
              <w:rPr>
                <w:sz w:val="18"/>
                <w:szCs w:val="18"/>
                <w:color w:val="auto"/>
              </w:rPr>
            </w:pPr>
          </w:p>
        </w:tc>
        <w:tc>
          <w:tcPr>
            <w:tcW w:w="59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98"/>
              </w:rPr>
              <w:t>Director</w:t>
            </w:r>
          </w:p>
        </w:tc>
        <w:tc>
          <w:tcPr>
            <w:tcW w:w="2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October 26, 2026</w:t>
            </w:r>
          </w:p>
        </w:tc>
        <w:tc>
          <w:tcPr>
            <w:tcW w:w="0" w:type="dxa"/>
            <w:vAlign w:val="bottom"/>
          </w:tcPr>
          <w:p>
            <w:pPr>
              <w:spacing w:after="0"/>
              <w:rPr>
                <w:sz w:val="1"/>
                <w:szCs w:val="1"/>
                <w:color w:val="auto"/>
              </w:rPr>
            </w:pPr>
          </w:p>
        </w:tc>
      </w:tr>
      <w:tr>
        <w:trPr>
          <w:trHeight w:val="74"/>
        </w:trPr>
        <w:tc>
          <w:tcPr>
            <w:tcW w:w="3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Jeffrey L. Ives, Ph.D.</w:t>
            </w:r>
          </w:p>
        </w:tc>
        <w:tc>
          <w:tcPr>
            <w:tcW w:w="80" w:type="dxa"/>
            <w:vAlign w:val="bottom"/>
          </w:tcPr>
          <w:p>
            <w:pPr>
              <w:spacing w:after="0"/>
              <w:rPr>
                <w:sz w:val="6"/>
                <w:szCs w:val="6"/>
                <w:color w:val="auto"/>
              </w:rPr>
            </w:pPr>
          </w:p>
        </w:tc>
        <w:tc>
          <w:tcPr>
            <w:tcW w:w="5940" w:type="dxa"/>
            <w:vAlign w:val="bottom"/>
            <w:gridSpan w:val="2"/>
            <w:vMerge w:val="continue"/>
          </w:tcPr>
          <w:p>
            <w:pPr>
              <w:spacing w:after="0"/>
              <w:rPr>
                <w:sz w:val="6"/>
                <w:szCs w:val="6"/>
                <w:color w:val="auto"/>
              </w:rPr>
            </w:pPr>
          </w:p>
        </w:tc>
        <w:tc>
          <w:tcPr>
            <w:tcW w:w="2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31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860" w:type="dxa"/>
            <w:vAlign w:val="bottom"/>
          </w:tcPr>
          <w:p>
            <w:pPr>
              <w:spacing w:after="0"/>
              <w:rPr>
                <w:sz w:val="8"/>
                <w:szCs w:val="8"/>
                <w:color w:val="auto"/>
              </w:rPr>
            </w:pPr>
          </w:p>
        </w:tc>
        <w:tc>
          <w:tcPr>
            <w:tcW w:w="80" w:type="dxa"/>
            <w:vAlign w:val="bottom"/>
          </w:tcPr>
          <w:p>
            <w:pPr>
              <w:spacing w:after="0"/>
              <w:rPr>
                <w:sz w:val="8"/>
                <w:szCs w:val="8"/>
                <w:color w:val="auto"/>
              </w:rPr>
            </w:pPr>
          </w:p>
        </w:tc>
        <w:tc>
          <w:tcPr>
            <w:tcW w:w="2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/s/ Derrell D. Porter</w:t>
            </w:r>
          </w:p>
        </w:tc>
        <w:tc>
          <w:tcPr>
            <w:tcW w:w="80" w:type="dxa"/>
            <w:vAlign w:val="bottom"/>
          </w:tcPr>
          <w:p>
            <w:pPr>
              <w:spacing w:after="0"/>
              <w:rPr>
                <w:sz w:val="18"/>
                <w:szCs w:val="18"/>
                <w:color w:val="auto"/>
              </w:rPr>
            </w:pPr>
          </w:p>
        </w:tc>
        <w:tc>
          <w:tcPr>
            <w:tcW w:w="59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98"/>
              </w:rPr>
              <w:t>Director</w:t>
            </w:r>
          </w:p>
        </w:tc>
        <w:tc>
          <w:tcPr>
            <w:tcW w:w="2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October 26, 2026</w:t>
            </w:r>
          </w:p>
        </w:tc>
        <w:tc>
          <w:tcPr>
            <w:tcW w:w="0" w:type="dxa"/>
            <w:vAlign w:val="bottom"/>
          </w:tcPr>
          <w:p>
            <w:pPr>
              <w:spacing w:after="0"/>
              <w:rPr>
                <w:sz w:val="1"/>
                <w:szCs w:val="1"/>
                <w:color w:val="auto"/>
              </w:rPr>
            </w:pPr>
          </w:p>
        </w:tc>
      </w:tr>
      <w:tr>
        <w:trPr>
          <w:trHeight w:val="74"/>
        </w:trPr>
        <w:tc>
          <w:tcPr>
            <w:tcW w:w="3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Derrell D. Porter, M.D.</w:t>
            </w:r>
          </w:p>
        </w:tc>
        <w:tc>
          <w:tcPr>
            <w:tcW w:w="80" w:type="dxa"/>
            <w:vAlign w:val="bottom"/>
          </w:tcPr>
          <w:p>
            <w:pPr>
              <w:spacing w:after="0"/>
              <w:rPr>
                <w:sz w:val="6"/>
                <w:szCs w:val="6"/>
                <w:color w:val="auto"/>
              </w:rPr>
            </w:pPr>
          </w:p>
        </w:tc>
        <w:tc>
          <w:tcPr>
            <w:tcW w:w="5940" w:type="dxa"/>
            <w:vAlign w:val="bottom"/>
            <w:gridSpan w:val="2"/>
            <w:vMerge w:val="continue"/>
          </w:tcPr>
          <w:p>
            <w:pPr>
              <w:spacing w:after="0"/>
              <w:rPr>
                <w:sz w:val="6"/>
                <w:szCs w:val="6"/>
                <w:color w:val="auto"/>
              </w:rPr>
            </w:pPr>
          </w:p>
        </w:tc>
        <w:tc>
          <w:tcPr>
            <w:tcW w:w="2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31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860" w:type="dxa"/>
            <w:vAlign w:val="bottom"/>
          </w:tcPr>
          <w:p>
            <w:pPr>
              <w:spacing w:after="0"/>
              <w:rPr>
                <w:sz w:val="8"/>
                <w:szCs w:val="8"/>
                <w:color w:val="auto"/>
              </w:rPr>
            </w:pPr>
          </w:p>
        </w:tc>
        <w:tc>
          <w:tcPr>
            <w:tcW w:w="80" w:type="dxa"/>
            <w:vAlign w:val="bottom"/>
          </w:tcPr>
          <w:p>
            <w:pPr>
              <w:spacing w:after="0"/>
              <w:rPr>
                <w:sz w:val="8"/>
                <w:szCs w:val="8"/>
                <w:color w:val="auto"/>
              </w:rPr>
            </w:pPr>
          </w:p>
        </w:tc>
        <w:tc>
          <w:tcPr>
            <w:tcW w:w="2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/s/ Sean Stalfort</w:t>
            </w:r>
          </w:p>
        </w:tc>
        <w:tc>
          <w:tcPr>
            <w:tcW w:w="80" w:type="dxa"/>
            <w:vAlign w:val="bottom"/>
          </w:tcPr>
          <w:p>
            <w:pPr>
              <w:spacing w:after="0"/>
              <w:rPr>
                <w:sz w:val="18"/>
                <w:szCs w:val="18"/>
                <w:color w:val="auto"/>
              </w:rPr>
            </w:pPr>
          </w:p>
        </w:tc>
        <w:tc>
          <w:tcPr>
            <w:tcW w:w="59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98"/>
              </w:rPr>
              <w:t>Director</w:t>
            </w:r>
          </w:p>
        </w:tc>
        <w:tc>
          <w:tcPr>
            <w:tcW w:w="2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October 26, 2026</w:t>
            </w:r>
          </w:p>
        </w:tc>
        <w:tc>
          <w:tcPr>
            <w:tcW w:w="0" w:type="dxa"/>
            <w:vAlign w:val="bottom"/>
          </w:tcPr>
          <w:p>
            <w:pPr>
              <w:spacing w:after="0"/>
              <w:rPr>
                <w:sz w:val="1"/>
                <w:szCs w:val="1"/>
                <w:color w:val="auto"/>
              </w:rPr>
            </w:pPr>
          </w:p>
        </w:tc>
      </w:tr>
      <w:tr>
        <w:trPr>
          <w:trHeight w:val="74"/>
        </w:trPr>
        <w:tc>
          <w:tcPr>
            <w:tcW w:w="3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Sean Stalfort</w:t>
            </w:r>
          </w:p>
        </w:tc>
        <w:tc>
          <w:tcPr>
            <w:tcW w:w="80" w:type="dxa"/>
            <w:vAlign w:val="bottom"/>
          </w:tcPr>
          <w:p>
            <w:pPr>
              <w:spacing w:after="0"/>
              <w:rPr>
                <w:sz w:val="6"/>
                <w:szCs w:val="6"/>
                <w:color w:val="auto"/>
              </w:rPr>
            </w:pPr>
          </w:p>
        </w:tc>
        <w:tc>
          <w:tcPr>
            <w:tcW w:w="5940" w:type="dxa"/>
            <w:vAlign w:val="bottom"/>
            <w:gridSpan w:val="2"/>
            <w:vMerge w:val="continue"/>
          </w:tcPr>
          <w:p>
            <w:pPr>
              <w:spacing w:after="0"/>
              <w:rPr>
                <w:sz w:val="6"/>
                <w:szCs w:val="6"/>
                <w:color w:val="auto"/>
              </w:rPr>
            </w:pPr>
          </w:p>
        </w:tc>
        <w:tc>
          <w:tcPr>
            <w:tcW w:w="2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31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860" w:type="dxa"/>
            <w:vAlign w:val="bottom"/>
          </w:tcPr>
          <w:p>
            <w:pPr>
              <w:spacing w:after="0"/>
              <w:rPr>
                <w:sz w:val="8"/>
                <w:szCs w:val="8"/>
                <w:color w:val="auto"/>
              </w:rPr>
            </w:pPr>
          </w:p>
        </w:tc>
        <w:tc>
          <w:tcPr>
            <w:tcW w:w="80" w:type="dxa"/>
            <w:vAlign w:val="bottom"/>
          </w:tcPr>
          <w:p>
            <w:pPr>
              <w:spacing w:after="0"/>
              <w:rPr>
                <w:sz w:val="8"/>
                <w:szCs w:val="8"/>
                <w:color w:val="auto"/>
              </w:rPr>
            </w:pPr>
          </w:p>
        </w:tc>
        <w:tc>
          <w:tcPr>
            <w:tcW w:w="2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Laura Stoppel</w:t>
            </w:r>
          </w:p>
        </w:tc>
        <w:tc>
          <w:tcPr>
            <w:tcW w:w="80" w:type="dxa"/>
            <w:vAlign w:val="bottom"/>
          </w:tcPr>
          <w:p>
            <w:pPr>
              <w:spacing w:after="0"/>
              <w:rPr>
                <w:sz w:val="20"/>
                <w:szCs w:val="20"/>
                <w:color w:val="auto"/>
              </w:rPr>
            </w:pPr>
          </w:p>
        </w:tc>
        <w:tc>
          <w:tcPr>
            <w:tcW w:w="59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98"/>
              </w:rPr>
              <w:t>Director</w:t>
            </w:r>
          </w:p>
        </w:tc>
        <w:tc>
          <w:tcPr>
            <w:tcW w:w="2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October 26, 2026</w:t>
            </w:r>
          </w:p>
        </w:tc>
        <w:tc>
          <w:tcPr>
            <w:tcW w:w="0" w:type="dxa"/>
            <w:vAlign w:val="bottom"/>
          </w:tcPr>
          <w:p>
            <w:pPr>
              <w:spacing w:after="0"/>
              <w:rPr>
                <w:sz w:val="1"/>
                <w:szCs w:val="1"/>
                <w:color w:val="auto"/>
              </w:rPr>
            </w:pPr>
          </w:p>
        </w:tc>
      </w:tr>
      <w:tr>
        <w:trPr>
          <w:trHeight w:val="63"/>
        </w:trPr>
        <w:tc>
          <w:tcPr>
            <w:tcW w:w="3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Laura Stoppel, Ph.D.</w:t>
            </w:r>
          </w:p>
        </w:tc>
        <w:tc>
          <w:tcPr>
            <w:tcW w:w="80" w:type="dxa"/>
            <w:vAlign w:val="bottom"/>
          </w:tcPr>
          <w:p>
            <w:pPr>
              <w:spacing w:after="0"/>
              <w:rPr>
                <w:sz w:val="5"/>
                <w:szCs w:val="5"/>
                <w:color w:val="auto"/>
              </w:rPr>
            </w:pPr>
          </w:p>
        </w:tc>
        <w:tc>
          <w:tcPr>
            <w:tcW w:w="5940" w:type="dxa"/>
            <w:vAlign w:val="bottom"/>
            <w:gridSpan w:val="2"/>
            <w:vMerge w:val="continue"/>
          </w:tcPr>
          <w:p>
            <w:pPr>
              <w:spacing w:after="0"/>
              <w:rPr>
                <w:sz w:val="5"/>
                <w:szCs w:val="5"/>
                <w:color w:val="auto"/>
              </w:rPr>
            </w:pPr>
          </w:p>
        </w:tc>
        <w:tc>
          <w:tcPr>
            <w:tcW w:w="2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31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860" w:type="dxa"/>
            <w:vAlign w:val="bottom"/>
          </w:tcPr>
          <w:p>
            <w:pPr>
              <w:spacing w:after="0"/>
              <w:rPr>
                <w:sz w:val="9"/>
                <w:szCs w:val="9"/>
                <w:color w:val="auto"/>
              </w:rPr>
            </w:pPr>
          </w:p>
        </w:tc>
        <w:tc>
          <w:tcPr>
            <w:tcW w:w="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II-5</w:t>
      </w:r>
    </w:p>
    <w:p>
      <w:pPr>
        <w:sectPr>
          <w:pgSz w:w="11900" w:h="16838" w:orient="portrait"/>
          <w:cols w:equalWidth="0" w:num="1">
            <w:col w:w="11280"/>
          </w:cols>
          <w:pgMar w:left="300" w:top="1116" w:right="319" w:bottom="1440" w:gutter="0" w:footer="0" w:header="0"/>
        </w:sectPr>
      </w:pPr>
    </w:p>
    <w:bookmarkStart w:id="40" w:name="page41"/>
    <w:bookmarkEnd w:id="40"/>
    <w:p>
      <w:pPr>
        <w:ind w:left="3520"/>
        <w:spacing w:after="0"/>
        <w:rPr>
          <w:sz w:val="20"/>
          <w:szCs w:val="20"/>
          <w:color w:val="auto"/>
        </w:rPr>
      </w:pPr>
      <w:r>
        <w:rPr>
          <w:rFonts w:ascii="Arial" w:cs="Arial" w:eastAsia="Arial" w:hAnsi="Arial"/>
          <w:sz w:val="28"/>
          <w:szCs w:val="28"/>
          <w:b w:val="1"/>
          <w:bCs w:val="1"/>
          <w:color w:val="auto"/>
        </w:rPr>
        <w:t>Calculation of Filing Fee Tables</w:t>
      </w:r>
    </w:p>
    <w:p>
      <w:pPr>
        <w:spacing w:after="0" w:line="164"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92"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Acumen Pharmaceuticals, Inc.</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4500" w:type="dxa"/>
            <w:vAlign w:val="bottom"/>
            <w:tcBorders>
              <w:bottom w:val="single" w:sz="8" w:color="auto"/>
            </w:tcBorders>
            <w:gridSpan w:val="4"/>
          </w:tcPr>
          <w:p>
            <w:pPr>
              <w:ind w:left="40"/>
              <w:spacing w:after="0"/>
              <w:rPr>
                <w:sz w:val="20"/>
                <w:szCs w:val="20"/>
                <w:color w:val="auto"/>
              </w:rPr>
            </w:pPr>
            <w:r>
              <w:rPr>
                <w:rFonts w:ascii="Arial" w:cs="Arial" w:eastAsia="Arial" w:hAnsi="Arial"/>
                <w:sz w:val="17"/>
                <w:szCs w:val="17"/>
                <w:b w:val="1"/>
                <w:bCs w:val="1"/>
                <w:color w:val="auto"/>
                <w:w w:val="98"/>
              </w:rPr>
              <w:t>Table 1: Newly Registered and Carry Forward Securities</w:t>
            </w:r>
          </w:p>
        </w:tc>
        <w:tc>
          <w:tcPr>
            <w:tcW w:w="8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2"/>
          </w:tcPr>
          <w:p>
            <w:pPr>
              <w:ind w:left="30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1"/>
        </w:trPr>
        <w:tc>
          <w:tcPr>
            <w:tcW w:w="1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jc w:val="center"/>
              <w:spacing w:after="0" w:line="191" w:lineRule="exact"/>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6"/>
        </w:trPr>
        <w:tc>
          <w:tcPr>
            <w:tcW w:w="1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jc w:val="center"/>
              <w:spacing w:after="0" w:line="186"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6"/>
        </w:trPr>
        <w:tc>
          <w:tcPr>
            <w:tcW w:w="1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Fee</w:t>
            </w:r>
          </w:p>
        </w:tc>
        <w:tc>
          <w:tcPr>
            <w:tcW w:w="900" w:type="dxa"/>
            <w:vAlign w:val="bottom"/>
          </w:tcPr>
          <w:p>
            <w:pPr>
              <w:spacing w:after="0"/>
              <w:rPr>
                <w:sz w:val="16"/>
                <w:szCs w:val="16"/>
                <w:color w:val="auto"/>
              </w:rPr>
            </w:pPr>
          </w:p>
        </w:tc>
        <w:tc>
          <w:tcPr>
            <w:tcW w:w="82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6"/>
              </w:rPr>
              <w:t>Proposed</w:t>
            </w:r>
          </w:p>
        </w:tc>
        <w:tc>
          <w:tcPr>
            <w:tcW w:w="11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4"/>
              </w:rPr>
              <w:t>Carry</w:t>
            </w:r>
          </w:p>
        </w:tc>
        <w:tc>
          <w:tcPr>
            <w:tcW w:w="960" w:type="dxa"/>
            <w:vAlign w:val="bottom"/>
          </w:tcPr>
          <w:p>
            <w:pPr>
              <w:jc w:val="center"/>
              <w:spacing w:after="0" w:line="186" w:lineRule="exact"/>
              <w:rPr>
                <w:sz w:val="20"/>
                <w:szCs w:val="20"/>
                <w:color w:val="auto"/>
              </w:rPr>
            </w:pPr>
            <w:r>
              <w:rPr>
                <w:rFonts w:ascii="Arial" w:cs="Arial" w:eastAsia="Arial" w:hAnsi="Arial"/>
                <w:sz w:val="17"/>
                <w:szCs w:val="17"/>
                <w:b w:val="1"/>
                <w:bCs w:val="1"/>
                <w:color w:val="auto"/>
                <w:w w:val="96"/>
              </w:rPr>
              <w:t>Paid in</w:t>
            </w:r>
          </w:p>
        </w:tc>
        <w:tc>
          <w:tcPr>
            <w:tcW w:w="0" w:type="dxa"/>
            <w:vAlign w:val="bottom"/>
          </w:tcPr>
          <w:p>
            <w:pPr>
              <w:spacing w:after="0"/>
              <w:rPr>
                <w:sz w:val="1"/>
                <w:szCs w:val="1"/>
                <w:color w:val="auto"/>
              </w:rPr>
            </w:pPr>
          </w:p>
        </w:tc>
      </w:tr>
      <w:tr>
        <w:trPr>
          <w:trHeight w:val="166"/>
        </w:trPr>
        <w:tc>
          <w:tcPr>
            <w:tcW w:w="1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60" w:type="dxa"/>
            <w:vAlign w:val="bottom"/>
          </w:tcPr>
          <w:p>
            <w:pPr>
              <w:jc w:val="center"/>
              <w:spacing w:after="0" w:line="166" w:lineRule="exact"/>
              <w:rPr>
                <w:sz w:val="20"/>
                <w:szCs w:val="20"/>
                <w:color w:val="auto"/>
              </w:rPr>
            </w:pPr>
            <w:r>
              <w:rPr>
                <w:rFonts w:ascii="Arial" w:cs="Arial" w:eastAsia="Arial" w:hAnsi="Arial"/>
                <w:sz w:val="17"/>
                <w:szCs w:val="17"/>
                <w:b w:val="1"/>
                <w:bCs w:val="1"/>
                <w:color w:val="auto"/>
                <w:w w:val="94"/>
              </w:rPr>
              <w:t>Carry</w:t>
            </w:r>
          </w:p>
        </w:tc>
        <w:tc>
          <w:tcPr>
            <w:tcW w:w="740" w:type="dxa"/>
            <w:vAlign w:val="bottom"/>
          </w:tcPr>
          <w:p>
            <w:pPr>
              <w:jc w:val="center"/>
              <w:spacing w:after="0" w:line="166" w:lineRule="exact"/>
              <w:rPr>
                <w:sz w:val="20"/>
                <w:szCs w:val="20"/>
                <w:color w:val="auto"/>
              </w:rPr>
            </w:pPr>
            <w:r>
              <w:rPr>
                <w:rFonts w:ascii="Arial" w:cs="Arial" w:eastAsia="Arial" w:hAnsi="Arial"/>
                <w:sz w:val="17"/>
                <w:szCs w:val="17"/>
                <w:b w:val="1"/>
                <w:bCs w:val="1"/>
                <w:color w:val="auto"/>
                <w:w w:val="94"/>
              </w:rPr>
              <w:t>Carry</w:t>
            </w:r>
          </w:p>
        </w:tc>
        <w:tc>
          <w:tcPr>
            <w:tcW w:w="740" w:type="dxa"/>
            <w:vAlign w:val="bottom"/>
            <w:vMerge w:val="continue"/>
          </w:tcPr>
          <w:p>
            <w:pPr>
              <w:spacing w:after="0"/>
              <w:rPr>
                <w:sz w:val="14"/>
                <w:szCs w:val="14"/>
                <w:color w:val="auto"/>
              </w:rPr>
            </w:pPr>
          </w:p>
        </w:tc>
        <w:tc>
          <w:tcPr>
            <w:tcW w:w="960" w:type="dxa"/>
            <w:vAlign w:val="bottom"/>
          </w:tcPr>
          <w:p>
            <w:pPr>
              <w:jc w:val="center"/>
              <w:spacing w:after="0" w:line="166" w:lineRule="exact"/>
              <w:rPr>
                <w:sz w:val="20"/>
                <w:szCs w:val="20"/>
                <w:color w:val="auto"/>
              </w:rPr>
            </w:pPr>
            <w:r>
              <w:rPr>
                <w:rFonts w:ascii="Arial" w:cs="Arial" w:eastAsia="Arial" w:hAnsi="Arial"/>
                <w:sz w:val="17"/>
                <w:szCs w:val="17"/>
                <w:b w:val="1"/>
                <w:bCs w:val="1"/>
                <w:color w:val="auto"/>
                <w:w w:val="96"/>
              </w:rPr>
              <w:t>Connection</w:t>
            </w:r>
          </w:p>
        </w:tc>
        <w:tc>
          <w:tcPr>
            <w:tcW w:w="0" w:type="dxa"/>
            <w:vAlign w:val="bottom"/>
          </w:tcPr>
          <w:p>
            <w:pPr>
              <w:spacing w:after="0"/>
              <w:rPr>
                <w:sz w:val="1"/>
                <w:szCs w:val="1"/>
                <w:color w:val="auto"/>
              </w:rPr>
            </w:pPr>
          </w:p>
        </w:tc>
      </w:tr>
      <w:tr>
        <w:trPr>
          <w:trHeight w:val="186"/>
        </w:trPr>
        <w:tc>
          <w:tcPr>
            <w:tcW w:w="1840" w:type="dxa"/>
            <w:vAlign w:val="bottom"/>
          </w:tcPr>
          <w:p>
            <w:pPr>
              <w:jc w:val="center"/>
              <w:ind w:left="937"/>
              <w:spacing w:after="0" w:line="186" w:lineRule="exact"/>
              <w:rPr>
                <w:sz w:val="20"/>
                <w:szCs w:val="20"/>
                <w:color w:val="auto"/>
              </w:rPr>
            </w:pPr>
            <w:r>
              <w:rPr>
                <w:rFonts w:ascii="Arial" w:cs="Arial" w:eastAsia="Arial" w:hAnsi="Arial"/>
                <w:sz w:val="17"/>
                <w:szCs w:val="17"/>
                <w:b w:val="1"/>
                <w:bCs w:val="1"/>
                <w:color w:val="auto"/>
                <w:w w:val="98"/>
              </w:rPr>
              <w:t>Security</w:t>
            </w:r>
          </w:p>
        </w:tc>
        <w:tc>
          <w:tcPr>
            <w:tcW w:w="1760" w:type="dxa"/>
            <w:vAlign w:val="bottom"/>
            <w:gridSpan w:val="2"/>
          </w:tcPr>
          <w:p>
            <w:pPr>
              <w:ind w:left="100"/>
              <w:spacing w:after="0" w:line="186" w:lineRule="exact"/>
              <w:rPr>
                <w:sz w:val="20"/>
                <w:szCs w:val="20"/>
                <w:color w:val="auto"/>
              </w:rPr>
            </w:pPr>
            <w:r>
              <w:rPr>
                <w:rFonts w:ascii="Arial" w:cs="Arial" w:eastAsia="Arial" w:hAnsi="Arial"/>
                <w:sz w:val="17"/>
                <w:szCs w:val="17"/>
                <w:b w:val="1"/>
                <w:bCs w:val="1"/>
                <w:color w:val="auto"/>
              </w:rPr>
              <w:t>Security Calculation</w:t>
            </w:r>
          </w:p>
        </w:tc>
        <w:tc>
          <w:tcPr>
            <w:tcW w:w="900" w:type="dxa"/>
            <w:vAlign w:val="bottom"/>
          </w:tcPr>
          <w:p>
            <w:pPr>
              <w:jc w:val="center"/>
              <w:spacing w:after="0" w:line="186" w:lineRule="exact"/>
              <w:rPr>
                <w:sz w:val="20"/>
                <w:szCs w:val="20"/>
                <w:color w:val="auto"/>
              </w:rPr>
            </w:pPr>
            <w:r>
              <w:rPr>
                <w:rFonts w:ascii="Arial" w:cs="Arial" w:eastAsia="Arial" w:hAnsi="Arial"/>
                <w:sz w:val="17"/>
                <w:szCs w:val="17"/>
                <w:b w:val="1"/>
                <w:bCs w:val="1"/>
                <w:color w:val="auto"/>
                <w:w w:val="96"/>
              </w:rPr>
              <w:t>Amount</w:t>
            </w:r>
          </w:p>
        </w:tc>
        <w:tc>
          <w:tcPr>
            <w:tcW w:w="820" w:type="dxa"/>
            <w:vAlign w:val="bottom"/>
          </w:tcPr>
          <w:p>
            <w:pPr>
              <w:jc w:val="center"/>
              <w:spacing w:after="0" w:line="186" w:lineRule="exact"/>
              <w:rPr>
                <w:sz w:val="20"/>
                <w:szCs w:val="20"/>
                <w:color w:val="auto"/>
              </w:rPr>
            </w:pPr>
            <w:r>
              <w:rPr>
                <w:rFonts w:ascii="Arial" w:cs="Arial" w:eastAsia="Arial" w:hAnsi="Arial"/>
                <w:sz w:val="17"/>
                <w:szCs w:val="17"/>
                <w:b w:val="1"/>
                <w:bCs w:val="1"/>
                <w:color w:val="auto"/>
                <w:w w:val="96"/>
              </w:rPr>
              <w:t>Maximum</w:t>
            </w:r>
          </w:p>
        </w:tc>
        <w:tc>
          <w:tcPr>
            <w:tcW w:w="1180" w:type="dxa"/>
            <w:vAlign w:val="bottom"/>
          </w:tcPr>
          <w:p>
            <w:pPr>
              <w:jc w:val="center"/>
              <w:spacing w:after="0" w:line="186" w:lineRule="exact"/>
              <w:rPr>
                <w:sz w:val="20"/>
                <w:szCs w:val="20"/>
                <w:color w:val="auto"/>
              </w:rPr>
            </w:pPr>
            <w:r>
              <w:rPr>
                <w:rFonts w:ascii="Arial" w:cs="Arial" w:eastAsia="Arial" w:hAnsi="Arial"/>
                <w:sz w:val="17"/>
                <w:szCs w:val="17"/>
                <w:b w:val="1"/>
                <w:bCs w:val="1"/>
                <w:color w:val="auto"/>
                <w:w w:val="96"/>
              </w:rPr>
              <w:t>Maximum</w:t>
            </w:r>
          </w:p>
        </w:tc>
        <w:tc>
          <w:tcPr>
            <w:tcW w:w="1760" w:type="dxa"/>
            <w:vAlign w:val="bottom"/>
          </w:tcPr>
          <w:p>
            <w:pPr>
              <w:jc w:val="center"/>
              <w:ind w:left="657"/>
              <w:spacing w:after="0" w:line="186" w:lineRule="exact"/>
              <w:rPr>
                <w:sz w:val="20"/>
                <w:szCs w:val="20"/>
                <w:color w:val="auto"/>
              </w:rPr>
            </w:pPr>
            <w:r>
              <w:rPr>
                <w:rFonts w:ascii="Arial" w:cs="Arial" w:eastAsia="Arial" w:hAnsi="Arial"/>
                <w:sz w:val="17"/>
                <w:szCs w:val="17"/>
                <w:b w:val="1"/>
                <w:bCs w:val="1"/>
                <w:color w:val="auto"/>
                <w:w w:val="96"/>
              </w:rPr>
              <w:t>Amount of</w:t>
            </w:r>
          </w:p>
        </w:tc>
        <w:tc>
          <w:tcPr>
            <w:tcW w:w="1400" w:type="dxa"/>
            <w:vAlign w:val="bottom"/>
            <w:gridSpan w:val="2"/>
          </w:tcPr>
          <w:p>
            <w:pPr>
              <w:ind w:left="20"/>
              <w:spacing w:after="0" w:line="186" w:lineRule="exact"/>
              <w:rPr>
                <w:sz w:val="20"/>
                <w:szCs w:val="20"/>
                <w:color w:val="auto"/>
              </w:rPr>
            </w:pPr>
            <w:r>
              <w:rPr>
                <w:rFonts w:ascii="Arial" w:cs="Arial" w:eastAsia="Arial" w:hAnsi="Arial"/>
                <w:sz w:val="17"/>
                <w:szCs w:val="17"/>
                <w:b w:val="1"/>
                <w:bCs w:val="1"/>
                <w:color w:val="auto"/>
                <w:w w:val="97"/>
              </w:rPr>
              <w:t>Forward Forward</w:t>
            </w:r>
          </w:p>
        </w:tc>
        <w:tc>
          <w:tcPr>
            <w:tcW w:w="740" w:type="dxa"/>
            <w:vAlign w:val="bottom"/>
          </w:tcPr>
          <w:p>
            <w:pPr>
              <w:jc w:val="center"/>
              <w:spacing w:after="0" w:line="186" w:lineRule="exact"/>
              <w:rPr>
                <w:sz w:val="20"/>
                <w:szCs w:val="20"/>
                <w:color w:val="auto"/>
              </w:rPr>
            </w:pPr>
            <w:r>
              <w:rPr>
                <w:rFonts w:ascii="Arial" w:cs="Arial" w:eastAsia="Arial" w:hAnsi="Arial"/>
                <w:sz w:val="17"/>
                <w:szCs w:val="17"/>
                <w:b w:val="1"/>
                <w:bCs w:val="1"/>
                <w:color w:val="auto"/>
                <w:w w:val="98"/>
              </w:rPr>
              <w:t>Forward</w:t>
            </w:r>
          </w:p>
        </w:tc>
        <w:tc>
          <w:tcPr>
            <w:tcW w:w="960" w:type="dxa"/>
            <w:vAlign w:val="bottom"/>
          </w:tcPr>
          <w:p>
            <w:pPr>
              <w:jc w:val="center"/>
              <w:spacing w:after="0" w:line="186"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86"/>
        </w:trPr>
        <w:tc>
          <w:tcPr>
            <w:tcW w:w="1840" w:type="dxa"/>
            <w:vAlign w:val="bottom"/>
          </w:tcPr>
          <w:p>
            <w:pPr>
              <w:jc w:val="center"/>
              <w:ind w:left="937"/>
              <w:spacing w:after="0" w:line="186" w:lineRule="exact"/>
              <w:rPr>
                <w:sz w:val="20"/>
                <w:szCs w:val="20"/>
                <w:color w:val="auto"/>
              </w:rPr>
            </w:pPr>
            <w:r>
              <w:rPr>
                <w:rFonts w:ascii="Arial" w:cs="Arial" w:eastAsia="Arial" w:hAnsi="Arial"/>
                <w:sz w:val="17"/>
                <w:szCs w:val="17"/>
                <w:b w:val="1"/>
                <w:bCs w:val="1"/>
                <w:color w:val="auto"/>
                <w:w w:val="95"/>
              </w:rPr>
              <w:t>Type</w:t>
            </w:r>
          </w:p>
        </w:tc>
        <w:tc>
          <w:tcPr>
            <w:tcW w:w="800" w:type="dxa"/>
            <w:vAlign w:val="bottom"/>
          </w:tcPr>
          <w:p>
            <w:pPr>
              <w:jc w:val="center"/>
              <w:spacing w:after="0" w:line="186" w:lineRule="exact"/>
              <w:rPr>
                <w:sz w:val="20"/>
                <w:szCs w:val="20"/>
                <w:color w:val="auto"/>
              </w:rPr>
            </w:pPr>
            <w:r>
              <w:rPr>
                <w:rFonts w:ascii="Arial" w:cs="Arial" w:eastAsia="Arial" w:hAnsi="Arial"/>
                <w:sz w:val="17"/>
                <w:szCs w:val="17"/>
                <w:b w:val="1"/>
                <w:bCs w:val="1"/>
                <w:color w:val="auto"/>
                <w:w w:val="96"/>
              </w:rPr>
              <w:t>Class</w:t>
            </w:r>
          </w:p>
        </w:tc>
        <w:tc>
          <w:tcPr>
            <w:tcW w:w="960" w:type="dxa"/>
            <w:vAlign w:val="bottom"/>
          </w:tcPr>
          <w:p>
            <w:pPr>
              <w:jc w:val="center"/>
              <w:spacing w:after="0" w:line="186" w:lineRule="exact"/>
              <w:rPr>
                <w:sz w:val="20"/>
                <w:szCs w:val="20"/>
                <w:color w:val="auto"/>
              </w:rPr>
            </w:pPr>
            <w:r>
              <w:rPr>
                <w:rFonts w:ascii="Arial" w:cs="Arial" w:eastAsia="Arial" w:hAnsi="Arial"/>
                <w:sz w:val="17"/>
                <w:szCs w:val="17"/>
                <w:b w:val="1"/>
                <w:bCs w:val="1"/>
                <w:color w:val="auto"/>
                <w:w w:val="99"/>
              </w:rPr>
              <w:t>or Carry</w:t>
            </w:r>
          </w:p>
        </w:tc>
        <w:tc>
          <w:tcPr>
            <w:tcW w:w="900" w:type="dxa"/>
            <w:vAlign w:val="bottom"/>
          </w:tcPr>
          <w:p>
            <w:pPr>
              <w:jc w:val="center"/>
              <w:spacing w:after="0" w:line="186" w:lineRule="exact"/>
              <w:rPr>
                <w:sz w:val="20"/>
                <w:szCs w:val="20"/>
                <w:color w:val="auto"/>
              </w:rPr>
            </w:pPr>
            <w:r>
              <w:rPr>
                <w:rFonts w:ascii="Arial" w:cs="Arial" w:eastAsia="Arial" w:hAnsi="Arial"/>
                <w:sz w:val="17"/>
                <w:szCs w:val="17"/>
                <w:b w:val="1"/>
                <w:bCs w:val="1"/>
                <w:color w:val="auto"/>
                <w:w w:val="97"/>
              </w:rPr>
              <w:t>Registered</w:t>
            </w:r>
          </w:p>
        </w:tc>
        <w:tc>
          <w:tcPr>
            <w:tcW w:w="820" w:type="dxa"/>
            <w:vAlign w:val="bottom"/>
          </w:tcPr>
          <w:p>
            <w:pPr>
              <w:jc w:val="center"/>
              <w:spacing w:after="0" w:line="186" w:lineRule="exact"/>
              <w:rPr>
                <w:sz w:val="20"/>
                <w:szCs w:val="20"/>
                <w:color w:val="auto"/>
              </w:rPr>
            </w:pPr>
            <w:r>
              <w:rPr>
                <w:rFonts w:ascii="Arial" w:cs="Arial" w:eastAsia="Arial" w:hAnsi="Arial"/>
                <w:sz w:val="17"/>
                <w:szCs w:val="17"/>
                <w:b w:val="1"/>
                <w:bCs w:val="1"/>
                <w:color w:val="auto"/>
                <w:w w:val="96"/>
              </w:rPr>
              <w:t>Offering</w:t>
            </w:r>
          </w:p>
        </w:tc>
        <w:tc>
          <w:tcPr>
            <w:tcW w:w="1180" w:type="dxa"/>
            <w:vAlign w:val="bottom"/>
          </w:tcPr>
          <w:p>
            <w:pPr>
              <w:jc w:val="center"/>
              <w:spacing w:after="0" w:line="186" w:lineRule="exact"/>
              <w:rPr>
                <w:sz w:val="20"/>
                <w:szCs w:val="20"/>
                <w:color w:val="auto"/>
              </w:rPr>
            </w:pPr>
            <w:r>
              <w:rPr>
                <w:rFonts w:ascii="Arial" w:cs="Arial" w:eastAsia="Arial" w:hAnsi="Arial"/>
                <w:sz w:val="17"/>
                <w:szCs w:val="17"/>
                <w:b w:val="1"/>
                <w:bCs w:val="1"/>
                <w:color w:val="auto"/>
                <w:w w:val="97"/>
              </w:rPr>
              <w:t>Aggregate</w:t>
            </w:r>
          </w:p>
        </w:tc>
        <w:tc>
          <w:tcPr>
            <w:tcW w:w="1760" w:type="dxa"/>
            <w:vAlign w:val="bottom"/>
          </w:tcPr>
          <w:p>
            <w:pPr>
              <w:ind w:left="20"/>
              <w:spacing w:after="0" w:line="186" w:lineRule="exact"/>
              <w:rPr>
                <w:sz w:val="20"/>
                <w:szCs w:val="20"/>
                <w:color w:val="auto"/>
              </w:rPr>
            </w:pPr>
            <w:r>
              <w:rPr>
                <w:rFonts w:ascii="Arial" w:cs="Arial" w:eastAsia="Arial" w:hAnsi="Arial"/>
                <w:sz w:val="17"/>
                <w:szCs w:val="17"/>
                <w:b w:val="1"/>
                <w:bCs w:val="1"/>
                <w:color w:val="auto"/>
                <w:w w:val="98"/>
              </w:rPr>
              <w:t>Fee Rate Registration</w:t>
            </w:r>
          </w:p>
        </w:tc>
        <w:tc>
          <w:tcPr>
            <w:tcW w:w="660" w:type="dxa"/>
            <w:vAlign w:val="bottom"/>
          </w:tcPr>
          <w:p>
            <w:pPr>
              <w:jc w:val="center"/>
              <w:spacing w:after="0" w:line="186" w:lineRule="exact"/>
              <w:rPr>
                <w:sz w:val="20"/>
                <w:szCs w:val="20"/>
                <w:color w:val="auto"/>
              </w:rPr>
            </w:pPr>
            <w:r>
              <w:rPr>
                <w:rFonts w:ascii="Arial" w:cs="Arial" w:eastAsia="Arial" w:hAnsi="Arial"/>
                <w:sz w:val="17"/>
                <w:szCs w:val="17"/>
                <w:b w:val="1"/>
                <w:bCs w:val="1"/>
                <w:color w:val="auto"/>
                <w:w w:val="98"/>
              </w:rPr>
              <w:t>Form</w:t>
            </w:r>
          </w:p>
        </w:tc>
        <w:tc>
          <w:tcPr>
            <w:tcW w:w="740" w:type="dxa"/>
            <w:vAlign w:val="bottom"/>
          </w:tcPr>
          <w:p>
            <w:pPr>
              <w:jc w:val="center"/>
              <w:spacing w:after="0" w:line="186" w:lineRule="exact"/>
              <w:rPr>
                <w:sz w:val="20"/>
                <w:szCs w:val="20"/>
                <w:color w:val="auto"/>
              </w:rPr>
            </w:pPr>
            <w:r>
              <w:rPr>
                <w:rFonts w:ascii="Arial" w:cs="Arial" w:eastAsia="Arial" w:hAnsi="Arial"/>
                <w:sz w:val="17"/>
                <w:szCs w:val="17"/>
                <w:b w:val="1"/>
                <w:bCs w:val="1"/>
                <w:color w:val="auto"/>
              </w:rPr>
              <w:t>File</w:t>
            </w:r>
          </w:p>
        </w:tc>
        <w:tc>
          <w:tcPr>
            <w:tcW w:w="740" w:type="dxa"/>
            <w:vAlign w:val="bottom"/>
          </w:tcPr>
          <w:p>
            <w:pPr>
              <w:jc w:val="center"/>
              <w:spacing w:after="0" w:line="186" w:lineRule="exact"/>
              <w:rPr>
                <w:sz w:val="20"/>
                <w:szCs w:val="20"/>
                <w:color w:val="auto"/>
              </w:rPr>
            </w:pPr>
            <w:r>
              <w:rPr>
                <w:rFonts w:ascii="Arial" w:cs="Arial" w:eastAsia="Arial" w:hAnsi="Arial"/>
                <w:sz w:val="17"/>
                <w:szCs w:val="17"/>
                <w:b w:val="1"/>
                <w:bCs w:val="1"/>
                <w:color w:val="auto"/>
                <w:w w:val="94"/>
              </w:rPr>
              <w:t>Initial</w:t>
            </w:r>
          </w:p>
        </w:tc>
        <w:tc>
          <w:tcPr>
            <w:tcW w:w="960" w:type="dxa"/>
            <w:vAlign w:val="bottom"/>
          </w:tcPr>
          <w:p>
            <w:pPr>
              <w:jc w:val="center"/>
              <w:spacing w:after="0" w:line="186" w:lineRule="exact"/>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86"/>
        </w:trPr>
        <w:tc>
          <w:tcPr>
            <w:tcW w:w="1840" w:type="dxa"/>
            <w:vAlign w:val="bottom"/>
          </w:tcPr>
          <w:p>
            <w:pPr>
              <w:spacing w:after="0"/>
              <w:rPr>
                <w:sz w:val="16"/>
                <w:szCs w:val="16"/>
                <w:color w:val="auto"/>
              </w:rPr>
            </w:pPr>
          </w:p>
        </w:tc>
        <w:tc>
          <w:tcPr>
            <w:tcW w:w="800" w:type="dxa"/>
            <w:vAlign w:val="bottom"/>
          </w:tcPr>
          <w:p>
            <w:pPr>
              <w:jc w:val="center"/>
              <w:spacing w:after="0" w:line="186" w:lineRule="exact"/>
              <w:rPr>
                <w:sz w:val="20"/>
                <w:szCs w:val="20"/>
                <w:color w:val="auto"/>
              </w:rPr>
            </w:pPr>
            <w:r>
              <w:rPr>
                <w:rFonts w:ascii="Arial" w:cs="Arial" w:eastAsia="Arial" w:hAnsi="Arial"/>
                <w:sz w:val="17"/>
                <w:szCs w:val="17"/>
                <w:b w:val="1"/>
                <w:bCs w:val="1"/>
                <w:color w:val="auto"/>
                <w:w w:val="97"/>
              </w:rPr>
              <w:t>Title</w:t>
            </w:r>
          </w:p>
        </w:tc>
        <w:tc>
          <w:tcPr>
            <w:tcW w:w="960" w:type="dxa"/>
            <w:vAlign w:val="bottom"/>
          </w:tcPr>
          <w:p>
            <w:pPr>
              <w:jc w:val="center"/>
              <w:spacing w:after="0" w:line="186" w:lineRule="exact"/>
              <w:rPr>
                <w:sz w:val="20"/>
                <w:szCs w:val="20"/>
                <w:color w:val="auto"/>
              </w:rPr>
            </w:pPr>
            <w:r>
              <w:rPr>
                <w:rFonts w:ascii="Arial" w:cs="Arial" w:eastAsia="Arial" w:hAnsi="Arial"/>
                <w:sz w:val="17"/>
                <w:szCs w:val="17"/>
                <w:b w:val="1"/>
                <w:bCs w:val="1"/>
                <w:color w:val="auto"/>
                <w:w w:val="98"/>
              </w:rPr>
              <w:t>Forward</w:t>
            </w:r>
          </w:p>
        </w:tc>
        <w:tc>
          <w:tcPr>
            <w:tcW w:w="900" w:type="dxa"/>
            <w:vAlign w:val="bottom"/>
          </w:tcPr>
          <w:p>
            <w:pPr>
              <w:spacing w:after="0"/>
              <w:rPr>
                <w:sz w:val="16"/>
                <w:szCs w:val="16"/>
                <w:color w:val="auto"/>
              </w:rPr>
            </w:pPr>
          </w:p>
        </w:tc>
        <w:tc>
          <w:tcPr>
            <w:tcW w:w="820" w:type="dxa"/>
            <w:vAlign w:val="bottom"/>
          </w:tcPr>
          <w:p>
            <w:pPr>
              <w:jc w:val="center"/>
              <w:spacing w:after="0" w:line="186" w:lineRule="exact"/>
              <w:rPr>
                <w:sz w:val="20"/>
                <w:szCs w:val="20"/>
                <w:color w:val="auto"/>
              </w:rPr>
            </w:pPr>
            <w:r>
              <w:rPr>
                <w:rFonts w:ascii="Arial" w:cs="Arial" w:eastAsia="Arial" w:hAnsi="Arial"/>
                <w:sz w:val="17"/>
                <w:szCs w:val="17"/>
                <w:b w:val="1"/>
                <w:bCs w:val="1"/>
                <w:color w:val="auto"/>
                <w:w w:val="97"/>
              </w:rPr>
              <w:t>Price Per</w:t>
            </w:r>
          </w:p>
        </w:tc>
        <w:tc>
          <w:tcPr>
            <w:tcW w:w="1180" w:type="dxa"/>
            <w:vAlign w:val="bottom"/>
          </w:tcPr>
          <w:p>
            <w:pPr>
              <w:jc w:val="center"/>
              <w:spacing w:after="0" w:line="186" w:lineRule="exact"/>
              <w:rPr>
                <w:sz w:val="20"/>
                <w:szCs w:val="20"/>
                <w:color w:val="auto"/>
              </w:rPr>
            </w:pPr>
            <w:r>
              <w:rPr>
                <w:rFonts w:ascii="Arial" w:cs="Arial" w:eastAsia="Arial" w:hAnsi="Arial"/>
                <w:sz w:val="17"/>
                <w:szCs w:val="17"/>
                <w:b w:val="1"/>
                <w:bCs w:val="1"/>
                <w:color w:val="auto"/>
                <w:w w:val="97"/>
              </w:rPr>
              <w:t>Offering Price</w:t>
            </w:r>
          </w:p>
        </w:tc>
        <w:tc>
          <w:tcPr>
            <w:tcW w:w="1760" w:type="dxa"/>
            <w:vAlign w:val="bottom"/>
          </w:tcPr>
          <w:p>
            <w:pPr>
              <w:jc w:val="center"/>
              <w:ind w:left="657"/>
              <w:spacing w:after="0" w:line="186" w:lineRule="exact"/>
              <w:rPr>
                <w:sz w:val="20"/>
                <w:szCs w:val="20"/>
                <w:color w:val="auto"/>
              </w:rPr>
            </w:pPr>
            <w:r>
              <w:rPr>
                <w:rFonts w:ascii="Arial" w:cs="Arial" w:eastAsia="Arial" w:hAnsi="Arial"/>
                <w:sz w:val="17"/>
                <w:szCs w:val="17"/>
                <w:b w:val="1"/>
                <w:bCs w:val="1"/>
                <w:color w:val="auto"/>
              </w:rPr>
              <w:t>Fee</w:t>
            </w:r>
          </w:p>
        </w:tc>
        <w:tc>
          <w:tcPr>
            <w:tcW w:w="660" w:type="dxa"/>
            <w:vAlign w:val="bottom"/>
          </w:tcPr>
          <w:p>
            <w:pPr>
              <w:jc w:val="center"/>
              <w:spacing w:after="0" w:line="186" w:lineRule="exact"/>
              <w:rPr>
                <w:sz w:val="20"/>
                <w:szCs w:val="20"/>
                <w:color w:val="auto"/>
              </w:rPr>
            </w:pPr>
            <w:r>
              <w:rPr>
                <w:rFonts w:ascii="Arial" w:cs="Arial" w:eastAsia="Arial" w:hAnsi="Arial"/>
                <w:sz w:val="17"/>
                <w:szCs w:val="17"/>
                <w:b w:val="1"/>
                <w:bCs w:val="1"/>
                <w:color w:val="auto"/>
                <w:w w:val="95"/>
              </w:rPr>
              <w:t>Type</w:t>
            </w:r>
          </w:p>
        </w:tc>
        <w:tc>
          <w:tcPr>
            <w:tcW w:w="740" w:type="dxa"/>
            <w:vAlign w:val="bottom"/>
          </w:tcPr>
          <w:p>
            <w:pPr>
              <w:jc w:val="center"/>
              <w:spacing w:after="0" w:line="186" w:lineRule="exact"/>
              <w:rPr>
                <w:sz w:val="20"/>
                <w:szCs w:val="20"/>
                <w:color w:val="auto"/>
              </w:rPr>
            </w:pPr>
            <w:r>
              <w:rPr>
                <w:rFonts w:ascii="Arial" w:cs="Arial" w:eastAsia="Arial" w:hAnsi="Arial"/>
                <w:sz w:val="17"/>
                <w:szCs w:val="17"/>
                <w:b w:val="1"/>
                <w:bCs w:val="1"/>
                <w:color w:val="auto"/>
                <w:w w:val="96"/>
              </w:rPr>
              <w:t>Number</w:t>
            </w:r>
          </w:p>
        </w:tc>
        <w:tc>
          <w:tcPr>
            <w:tcW w:w="740" w:type="dxa"/>
            <w:vAlign w:val="bottom"/>
          </w:tcPr>
          <w:p>
            <w:pPr>
              <w:jc w:val="center"/>
              <w:spacing w:after="0" w:line="186" w:lineRule="exact"/>
              <w:rPr>
                <w:sz w:val="20"/>
                <w:szCs w:val="20"/>
                <w:color w:val="auto"/>
              </w:rPr>
            </w:pPr>
            <w:r>
              <w:rPr>
                <w:rFonts w:ascii="Arial" w:cs="Arial" w:eastAsia="Arial" w:hAnsi="Arial"/>
                <w:sz w:val="17"/>
                <w:szCs w:val="17"/>
                <w:b w:val="1"/>
                <w:bCs w:val="1"/>
                <w:color w:val="auto"/>
                <w:w w:val="98"/>
              </w:rPr>
              <w:t>Effective</w:t>
            </w:r>
          </w:p>
        </w:tc>
        <w:tc>
          <w:tcPr>
            <w:tcW w:w="960" w:type="dxa"/>
            <w:vAlign w:val="bottom"/>
          </w:tcPr>
          <w:p>
            <w:pPr>
              <w:jc w:val="center"/>
              <w:spacing w:after="0" w:line="186" w:lineRule="exact"/>
              <w:rPr>
                <w:sz w:val="20"/>
                <w:szCs w:val="20"/>
                <w:color w:val="auto"/>
              </w:rPr>
            </w:pPr>
            <w:r>
              <w:rPr>
                <w:rFonts w:ascii="Arial" w:cs="Arial" w:eastAsia="Arial" w:hAnsi="Arial"/>
                <w:sz w:val="17"/>
                <w:szCs w:val="17"/>
                <w:b w:val="1"/>
                <w:bCs w:val="1"/>
                <w:color w:val="auto"/>
                <w:w w:val="95"/>
              </w:rPr>
              <w:t>Securities</w:t>
            </w:r>
          </w:p>
        </w:tc>
        <w:tc>
          <w:tcPr>
            <w:tcW w:w="0" w:type="dxa"/>
            <w:vAlign w:val="bottom"/>
          </w:tcPr>
          <w:p>
            <w:pPr>
              <w:spacing w:after="0"/>
              <w:rPr>
                <w:sz w:val="1"/>
                <w:szCs w:val="1"/>
                <w:color w:val="auto"/>
              </w:rPr>
            </w:pPr>
          </w:p>
        </w:tc>
      </w:tr>
      <w:tr>
        <w:trPr>
          <w:trHeight w:val="36"/>
        </w:trPr>
        <w:tc>
          <w:tcPr>
            <w:tcW w:w="1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960" w:type="dxa"/>
            <w:vAlign w:val="bottom"/>
          </w:tcPr>
          <w:p>
            <w:pPr>
              <w:jc w:val="center"/>
              <w:spacing w:after="0" w:line="37" w:lineRule="exact"/>
              <w:rPr>
                <w:sz w:val="20"/>
                <w:szCs w:val="20"/>
                <w:color w:val="auto"/>
              </w:rPr>
            </w:pPr>
            <w:r>
              <w:rPr>
                <w:rFonts w:ascii="Arial" w:cs="Arial" w:eastAsia="Arial" w:hAnsi="Arial"/>
                <w:sz w:val="4"/>
                <w:szCs w:val="4"/>
                <w:b w:val="1"/>
                <w:bCs w:val="1"/>
                <w:color w:val="auto"/>
              </w:rPr>
              <w:t>Rule</w:t>
            </w:r>
          </w:p>
        </w:tc>
        <w:tc>
          <w:tcPr>
            <w:tcW w:w="900" w:type="dxa"/>
            <w:vAlign w:val="bottom"/>
          </w:tcPr>
          <w:p>
            <w:pPr>
              <w:spacing w:after="0"/>
              <w:rPr>
                <w:sz w:val="3"/>
                <w:szCs w:val="3"/>
                <w:color w:val="auto"/>
              </w:rPr>
            </w:pPr>
          </w:p>
        </w:tc>
        <w:tc>
          <w:tcPr>
            <w:tcW w:w="820" w:type="dxa"/>
            <w:vAlign w:val="bottom"/>
          </w:tcPr>
          <w:p>
            <w:pPr>
              <w:jc w:val="center"/>
              <w:spacing w:after="0" w:line="37" w:lineRule="exact"/>
              <w:rPr>
                <w:sz w:val="20"/>
                <w:szCs w:val="20"/>
                <w:color w:val="auto"/>
              </w:rPr>
            </w:pPr>
            <w:r>
              <w:rPr>
                <w:rFonts w:ascii="Arial" w:cs="Arial" w:eastAsia="Arial" w:hAnsi="Arial"/>
                <w:sz w:val="4"/>
                <w:szCs w:val="4"/>
                <w:b w:val="1"/>
                <w:bCs w:val="1"/>
                <w:color w:val="auto"/>
              </w:rPr>
              <w:t>Unit</w:t>
            </w:r>
          </w:p>
        </w:tc>
        <w:tc>
          <w:tcPr>
            <w:tcW w:w="11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jc w:val="center"/>
              <w:spacing w:after="0" w:line="37" w:lineRule="exact"/>
              <w:rPr>
                <w:sz w:val="20"/>
                <w:szCs w:val="20"/>
                <w:color w:val="auto"/>
              </w:rPr>
            </w:pPr>
            <w:r>
              <w:rPr>
                <w:rFonts w:ascii="Arial" w:cs="Arial" w:eastAsia="Arial" w:hAnsi="Arial"/>
                <w:sz w:val="4"/>
                <w:szCs w:val="4"/>
                <w:b w:val="1"/>
                <w:bCs w:val="1"/>
                <w:color w:val="auto"/>
              </w:rPr>
              <w:t>Date</w:t>
            </w: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-852805</wp:posOffset>
            </wp:positionV>
            <wp:extent cx="7214870" cy="50101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7214870" cy="5010150"/>
                    </a:xfrm>
                    <a:prstGeom prst="rect">
                      <a:avLst/>
                    </a:prstGeom>
                    <a:noFill/>
                  </pic:spPr>
                </pic:pic>
              </a:graphicData>
            </a:graphic>
          </wp:anchor>
        </w:drawing>
      </w:r>
    </w:p>
    <w:p>
      <w:pPr>
        <w:jc w:val="center"/>
        <w:ind w:left="10440"/>
        <w:spacing w:after="0" w:line="228" w:lineRule="auto"/>
        <w:rPr>
          <w:sz w:val="20"/>
          <w:szCs w:val="20"/>
          <w:color w:val="auto"/>
        </w:rPr>
      </w:pPr>
      <w:r>
        <w:rPr>
          <w:rFonts w:ascii="Arial" w:cs="Arial" w:eastAsia="Arial" w:hAnsi="Arial"/>
          <w:sz w:val="17"/>
          <w:szCs w:val="17"/>
          <w:b w:val="1"/>
          <w:bCs w:val="1"/>
          <w:color w:val="auto"/>
        </w:rPr>
        <w:t>to be</w:t>
      </w:r>
    </w:p>
    <w:p>
      <w:pPr>
        <w:jc w:val="center"/>
        <w:ind w:left="10440"/>
        <w:spacing w:after="0" w:line="229" w:lineRule="auto"/>
        <w:rPr>
          <w:sz w:val="20"/>
          <w:szCs w:val="20"/>
          <w:color w:val="auto"/>
        </w:rPr>
      </w:pPr>
      <w:r>
        <w:rPr>
          <w:rFonts w:ascii="Arial" w:cs="Arial" w:eastAsia="Arial" w:hAnsi="Arial"/>
          <w:sz w:val="17"/>
          <w:szCs w:val="17"/>
          <w:b w:val="1"/>
          <w:bCs w:val="1"/>
          <w:color w:val="auto"/>
        </w:rPr>
        <w:t>Carried</w:t>
      </w:r>
    </w:p>
    <w:p>
      <w:pPr>
        <w:jc w:val="center"/>
        <w:ind w:left="10440"/>
        <w:spacing w:after="0"/>
        <w:rPr>
          <w:sz w:val="20"/>
          <w:szCs w:val="20"/>
          <w:color w:val="auto"/>
        </w:rPr>
      </w:pPr>
      <w:r>
        <w:rPr>
          <w:rFonts w:ascii="Arial" w:cs="Arial" w:eastAsia="Arial" w:hAnsi="Arial"/>
          <w:sz w:val="17"/>
          <w:szCs w:val="17"/>
          <w:b w:val="1"/>
          <w:bCs w:val="1"/>
          <w:color w:val="auto"/>
        </w:rPr>
        <w:t>Forward</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Newly Registered Securities</w:t>
      </w:r>
    </w:p>
    <w:p>
      <w:pPr>
        <w:spacing w:after="0" w:line="32"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Common</w:t>
      </w:r>
    </w:p>
    <w:p>
      <w:pPr>
        <w:ind w:left="1900"/>
        <w:spacing w:after="0" w:line="236" w:lineRule="auto"/>
        <w:rPr>
          <w:sz w:val="20"/>
          <w:szCs w:val="20"/>
          <w:color w:val="auto"/>
        </w:rPr>
      </w:pPr>
      <w:r>
        <w:rPr>
          <w:rFonts w:ascii="Arial" w:cs="Arial" w:eastAsia="Arial" w:hAnsi="Arial"/>
          <w:sz w:val="17"/>
          <w:szCs w:val="17"/>
          <w:color w:val="auto"/>
        </w:rPr>
        <w:t>Stock,</w:t>
      </w:r>
    </w:p>
    <w:p>
      <w:pPr>
        <w:ind w:left="1200"/>
        <w:spacing w:after="0"/>
        <w:tabs>
          <w:tab w:leader="none" w:pos="1880" w:val="left"/>
          <w:tab w:leader="none" w:pos="2880" w:val="left"/>
        </w:tabs>
        <w:rPr>
          <w:sz w:val="20"/>
          <w:szCs w:val="20"/>
          <w:color w:val="auto"/>
        </w:rPr>
      </w:pPr>
      <w:r>
        <w:rPr>
          <w:rFonts w:ascii="Arial" w:cs="Arial" w:eastAsia="Arial" w:hAnsi="Arial"/>
          <w:sz w:val="17"/>
          <w:szCs w:val="17"/>
          <w:color w:val="auto"/>
        </w:rPr>
        <w:t>Equity</w:t>
        <w:tab/>
        <w:t>par value</w:t>
      </w:r>
      <w:r>
        <w:rPr>
          <w:sz w:val="20"/>
          <w:szCs w:val="20"/>
          <w:color w:val="auto"/>
        </w:rPr>
        <w:tab/>
      </w:r>
      <w:r>
        <w:rPr>
          <w:rFonts w:ascii="Arial" w:cs="Arial" w:eastAsia="Arial" w:hAnsi="Arial"/>
          <w:sz w:val="16"/>
          <w:szCs w:val="16"/>
          <w:color w:val="auto"/>
        </w:rPr>
        <w:t>457(o)</w:t>
      </w:r>
    </w:p>
    <w:p>
      <w:pPr>
        <w:ind w:left="1900"/>
        <w:spacing w:after="0" w:line="228" w:lineRule="auto"/>
        <w:rPr>
          <w:sz w:val="20"/>
          <w:szCs w:val="20"/>
          <w:color w:val="auto"/>
        </w:rPr>
      </w:pPr>
      <w:r>
        <w:rPr>
          <w:rFonts w:ascii="Arial" w:cs="Arial" w:eastAsia="Arial" w:hAnsi="Arial"/>
          <w:sz w:val="17"/>
          <w:szCs w:val="17"/>
          <w:color w:val="auto"/>
        </w:rPr>
        <w:t>$0.0001</w:t>
      </w:r>
    </w:p>
    <w:p>
      <w:pPr>
        <w:ind w:left="1900"/>
        <w:spacing w:after="0"/>
        <w:rPr>
          <w:sz w:val="20"/>
          <w:szCs w:val="20"/>
          <w:color w:val="auto"/>
        </w:rPr>
      </w:pPr>
      <w:r>
        <w:rPr>
          <w:rFonts w:ascii="Arial" w:cs="Arial" w:eastAsia="Arial" w:hAnsi="Arial"/>
          <w:sz w:val="17"/>
          <w:szCs w:val="17"/>
          <w:color w:val="auto"/>
        </w:rPr>
        <w:t>per share</w:t>
      </w:r>
    </w:p>
    <w:p>
      <w:pPr>
        <w:spacing w:after="0" w:line="16"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Preferred</w:t>
      </w:r>
    </w:p>
    <w:p>
      <w:pPr>
        <w:ind w:left="1900"/>
        <w:spacing w:after="0" w:line="236" w:lineRule="auto"/>
        <w:rPr>
          <w:sz w:val="20"/>
          <w:szCs w:val="20"/>
          <w:color w:val="auto"/>
        </w:rPr>
      </w:pPr>
      <w:r>
        <w:rPr>
          <w:rFonts w:ascii="Arial" w:cs="Arial" w:eastAsia="Arial" w:hAnsi="Arial"/>
          <w:sz w:val="17"/>
          <w:szCs w:val="17"/>
          <w:color w:val="auto"/>
        </w:rPr>
        <w:t>Stock,</w:t>
      </w:r>
    </w:p>
    <w:p>
      <w:pPr>
        <w:ind w:left="1200"/>
        <w:spacing w:after="0"/>
        <w:tabs>
          <w:tab w:leader="none" w:pos="1880" w:val="left"/>
          <w:tab w:leader="none" w:pos="2880" w:val="left"/>
        </w:tabs>
        <w:rPr>
          <w:sz w:val="20"/>
          <w:szCs w:val="20"/>
          <w:color w:val="auto"/>
        </w:rPr>
      </w:pPr>
      <w:r>
        <w:rPr>
          <w:rFonts w:ascii="Arial" w:cs="Arial" w:eastAsia="Arial" w:hAnsi="Arial"/>
          <w:sz w:val="17"/>
          <w:szCs w:val="17"/>
          <w:color w:val="auto"/>
        </w:rPr>
        <w:t>Equity</w:t>
        <w:tab/>
        <w:t>par value</w:t>
      </w:r>
      <w:r>
        <w:rPr>
          <w:sz w:val="20"/>
          <w:szCs w:val="20"/>
          <w:color w:val="auto"/>
        </w:rPr>
        <w:tab/>
      </w:r>
      <w:r>
        <w:rPr>
          <w:rFonts w:ascii="Arial" w:cs="Arial" w:eastAsia="Arial" w:hAnsi="Arial"/>
          <w:sz w:val="16"/>
          <w:szCs w:val="16"/>
          <w:color w:val="auto"/>
        </w:rPr>
        <w:t>457(o)</w:t>
      </w:r>
    </w:p>
    <w:p>
      <w:pPr>
        <w:ind w:left="1900"/>
        <w:spacing w:after="0" w:line="228" w:lineRule="auto"/>
        <w:rPr>
          <w:sz w:val="20"/>
          <w:szCs w:val="20"/>
          <w:color w:val="auto"/>
        </w:rPr>
      </w:pPr>
      <w:r>
        <w:rPr>
          <w:rFonts w:ascii="Arial" w:cs="Arial" w:eastAsia="Arial" w:hAnsi="Arial"/>
          <w:sz w:val="17"/>
          <w:szCs w:val="17"/>
          <w:color w:val="auto"/>
        </w:rPr>
        <w:t>$0.0001</w:t>
      </w:r>
    </w:p>
    <w:p>
      <w:pPr>
        <w:spacing w:after="0" w:line="1" w:lineRule="exact"/>
        <w:rPr>
          <w:sz w:val="20"/>
          <w:szCs w:val="20"/>
          <w:color w:val="auto"/>
        </w:rPr>
      </w:pPr>
    </w:p>
    <w:p>
      <w:pPr>
        <w:jc w:val="center"/>
        <w:ind w:right="6820"/>
        <w:spacing w:after="0"/>
        <w:rPr>
          <w:sz w:val="20"/>
          <w:szCs w:val="20"/>
          <w:color w:val="auto"/>
        </w:rPr>
      </w:pPr>
      <w:r>
        <w:rPr>
          <w:rFonts w:ascii="Arial" w:cs="Arial" w:eastAsia="Arial" w:hAnsi="Arial"/>
          <w:sz w:val="17"/>
          <w:szCs w:val="17"/>
          <w:color w:val="auto"/>
        </w:rPr>
        <w:t>per share</w:t>
      </w:r>
    </w:p>
    <w:p>
      <w:pPr>
        <w:spacing w:after="0" w:line="16" w:lineRule="exact"/>
        <w:rPr>
          <w:sz w:val="20"/>
          <w:szCs w:val="20"/>
          <w:color w:val="auto"/>
        </w:rPr>
      </w:pPr>
    </w:p>
    <w:p>
      <w:pPr>
        <w:jc w:val="center"/>
        <w:ind w:right="6780"/>
        <w:spacing w:after="0"/>
        <w:tabs>
          <w:tab w:leader="none" w:pos="280" w:val="left"/>
          <w:tab w:leader="none" w:pos="300" w:val="left"/>
        </w:tabs>
        <w:rPr>
          <w:sz w:val="20"/>
          <w:szCs w:val="20"/>
          <w:color w:val="auto"/>
        </w:rPr>
      </w:pPr>
      <w:r>
        <w:rPr>
          <w:rFonts w:ascii="Arial" w:cs="Arial" w:eastAsia="Arial" w:hAnsi="Arial"/>
          <w:sz w:val="17"/>
          <w:szCs w:val="17"/>
          <w:color w:val="auto"/>
        </w:rPr>
        <w:t>Other</w:t>
      </w:r>
      <w:r>
        <w:rPr>
          <w:sz w:val="20"/>
          <w:szCs w:val="20"/>
          <w:color w:val="auto"/>
        </w:rPr>
        <w:tab/>
      </w:r>
      <w:r>
        <w:rPr>
          <w:rFonts w:ascii="Arial" w:cs="Arial" w:eastAsia="Arial" w:hAnsi="Arial"/>
          <w:sz w:val="17"/>
          <w:szCs w:val="17"/>
          <w:color w:val="auto"/>
        </w:rPr>
        <w:t>Warrants</w:t>
      </w:r>
      <w:r>
        <w:rPr>
          <w:sz w:val="20"/>
          <w:szCs w:val="20"/>
          <w:color w:val="auto"/>
        </w:rPr>
        <w:tab/>
      </w:r>
      <w:r>
        <w:rPr>
          <w:rFonts w:ascii="Arial" w:cs="Arial" w:eastAsia="Arial" w:hAnsi="Arial"/>
          <w:sz w:val="16"/>
          <w:szCs w:val="16"/>
          <w:color w:val="auto"/>
        </w:rPr>
        <w:t>457(o)</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Debt</w:t>
            </w:r>
          </w:p>
        </w:tc>
        <w:tc>
          <w:tcPr>
            <w:tcW w:w="20" w:type="dxa"/>
            <w:vAlign w:val="bottom"/>
          </w:tcPr>
          <w:p>
            <w:pPr>
              <w:spacing w:after="0"/>
              <w:rPr>
                <w:sz w:val="16"/>
                <w:szCs w:val="16"/>
                <w:color w:val="auto"/>
              </w:rPr>
            </w:pPr>
          </w:p>
        </w:tc>
        <w:tc>
          <w:tcPr>
            <w:tcW w:w="480" w:type="dxa"/>
            <w:vAlign w:val="bottom"/>
            <w:shd w:val="clear" w:color="auto" w:fill="E7E7E2"/>
          </w:tcPr>
          <w:p>
            <w:pPr>
              <w:spacing w:after="0"/>
              <w:rPr>
                <w:sz w:val="20"/>
                <w:szCs w:val="20"/>
                <w:color w:val="auto"/>
              </w:rPr>
            </w:pPr>
            <w:r>
              <w:rPr>
                <w:rFonts w:ascii="Arial" w:cs="Arial" w:eastAsia="Arial" w:hAnsi="Arial"/>
                <w:sz w:val="17"/>
                <w:szCs w:val="17"/>
                <w:color w:val="auto"/>
              </w:rPr>
              <w:t>Debt</w:t>
            </w:r>
          </w:p>
        </w:tc>
        <w:tc>
          <w:tcPr>
            <w:tcW w:w="2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457(o)</w:t>
            </w: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2"/>
            <w:vMerge w:val="restart"/>
            <w:shd w:val="clear" w:color="auto" w:fill="E7E7E2"/>
          </w:tcPr>
          <w:p>
            <w:pPr>
              <w:spacing w:after="0"/>
              <w:rPr>
                <w:sz w:val="20"/>
                <w:szCs w:val="20"/>
                <w:color w:val="auto"/>
              </w:rPr>
            </w:pPr>
            <w:r>
              <w:rPr>
                <w:rFonts w:ascii="Arial" w:cs="Arial" w:eastAsia="Arial" w:hAnsi="Arial"/>
                <w:sz w:val="17"/>
                <w:szCs w:val="17"/>
                <w:color w:val="auto"/>
                <w:w w:val="99"/>
              </w:rPr>
              <w:t>Securities</w:t>
            </w:r>
          </w:p>
        </w:tc>
        <w:tc>
          <w:tcPr>
            <w:tcW w:w="20" w:type="dxa"/>
            <w:vAlign w:val="bottom"/>
          </w:tcPr>
          <w:p>
            <w:pPr>
              <w:spacing w:after="0"/>
              <w:rPr>
                <w:sz w:val="10"/>
                <w:szCs w:val="10"/>
                <w:color w:val="auto"/>
              </w:rPr>
            </w:pPr>
          </w:p>
        </w:tc>
        <w:tc>
          <w:tcPr>
            <w:tcW w:w="9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gridSpan w:val="2"/>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line="176" w:lineRule="exact"/>
              <w:rPr>
                <w:sz w:val="20"/>
                <w:szCs w:val="20"/>
                <w:color w:val="auto"/>
              </w:rPr>
            </w:pPr>
            <w:r>
              <w:rPr>
                <w:rFonts w:ascii="Arial" w:cs="Arial" w:eastAsia="Arial" w:hAnsi="Arial"/>
                <w:sz w:val="17"/>
                <w:szCs w:val="17"/>
                <w:color w:val="auto"/>
                <w:w w:val="97"/>
              </w:rPr>
              <w:t>Unallocated</w:t>
            </w:r>
          </w:p>
        </w:tc>
        <w:tc>
          <w:tcPr>
            <w:tcW w:w="20" w:type="dxa"/>
            <w:vAlign w:val="bottom"/>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8"/>
                <w:szCs w:val="8"/>
                <w:color w:val="auto"/>
              </w:rPr>
            </w:pPr>
          </w:p>
        </w:tc>
        <w:tc>
          <w:tcPr>
            <w:tcW w:w="9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(Universal)</w:t>
            </w:r>
          </w:p>
        </w:tc>
        <w:tc>
          <w:tcPr>
            <w:tcW w:w="20" w:type="dxa"/>
            <w:vAlign w:val="bottom"/>
          </w:tcPr>
          <w:p>
            <w:pPr>
              <w:spacing w:after="0"/>
              <w:rPr>
                <w:sz w:val="8"/>
                <w:szCs w:val="8"/>
                <w:color w:val="auto"/>
              </w:rPr>
            </w:pPr>
          </w:p>
        </w:tc>
        <w:tc>
          <w:tcPr>
            <w:tcW w:w="480" w:type="dxa"/>
            <w:vAlign w:val="bottom"/>
            <w:shd w:val="clear" w:color="auto" w:fill="E7E7E2"/>
          </w:tcPr>
          <w:p>
            <w:pPr>
              <w:spacing w:after="0"/>
              <w:rPr>
                <w:sz w:val="8"/>
                <w:szCs w:val="8"/>
                <w:color w:val="auto"/>
              </w:rPr>
            </w:pPr>
          </w:p>
        </w:tc>
        <w:tc>
          <w:tcPr>
            <w:tcW w:w="2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457(o)</w:t>
            </w: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5"/>
              </w:rPr>
              <w:t>0.000087</w:t>
            </w:r>
          </w:p>
        </w:tc>
        <w:tc>
          <w:tcPr>
            <w:tcW w:w="20" w:type="dxa"/>
            <w:vAlign w:val="bottom"/>
          </w:tcPr>
          <w:p>
            <w:pPr>
              <w:spacing w:after="0"/>
              <w:rPr>
                <w:sz w:val="8"/>
                <w:szCs w:val="8"/>
                <w:color w:val="auto"/>
              </w:rPr>
            </w:pPr>
          </w:p>
        </w:tc>
        <w:tc>
          <w:tcPr>
            <w:tcW w:w="9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$ 43,500.00</w:t>
            </w:r>
          </w:p>
        </w:tc>
        <w:tc>
          <w:tcPr>
            <w:tcW w:w="0" w:type="dxa"/>
            <w:vAlign w:val="bottom"/>
          </w:tcPr>
          <w:p>
            <w:pPr>
              <w:spacing w:after="0"/>
              <w:rPr>
                <w:sz w:val="1"/>
                <w:szCs w:val="1"/>
                <w:color w:val="auto"/>
              </w:rPr>
            </w:pPr>
          </w:p>
        </w:tc>
      </w:tr>
      <w:tr>
        <w:trPr>
          <w:trHeight w:val="166"/>
        </w:trPr>
        <w:tc>
          <w:tcPr>
            <w:tcW w:w="780" w:type="dxa"/>
            <w:vAlign w:val="bottom"/>
            <w:shd w:val="clear" w:color="auto" w:fill="E7E7E2"/>
          </w:tcPr>
          <w:p>
            <w:pPr>
              <w:spacing w:after="0" w:line="166"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shd w:val="clear" w:color="auto" w:fill="E7E7E2"/>
          </w:tcPr>
          <w:p>
            <w:pPr>
              <w:spacing w:after="0"/>
              <w:rPr>
                <w:sz w:val="14"/>
                <w:szCs w:val="14"/>
                <w:color w:val="auto"/>
              </w:rPr>
            </w:pPr>
          </w:p>
        </w:tc>
        <w:tc>
          <w:tcPr>
            <w:tcW w:w="2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shd w:val="clear" w:color="auto" w:fill="E7E7E2"/>
          </w:tcPr>
          <w:p>
            <w:pPr>
              <w:jc w:val="right"/>
              <w:spacing w:after="0" w:line="166" w:lineRule="exact"/>
              <w:rPr>
                <w:sz w:val="20"/>
                <w:szCs w:val="20"/>
                <w:color w:val="auto"/>
              </w:rPr>
            </w:pPr>
            <w:r>
              <w:rPr>
                <w:rFonts w:ascii="Arial" w:cs="Arial" w:eastAsia="Arial" w:hAnsi="Arial"/>
                <w:sz w:val="17"/>
                <w:szCs w:val="17"/>
                <w:color w:val="auto"/>
                <w:w w:val="96"/>
              </w:rPr>
              <w:t>500,000,000.00</w:t>
            </w:r>
          </w:p>
        </w:tc>
        <w:tc>
          <w:tcPr>
            <w:tcW w:w="20" w:type="dxa"/>
            <w:vAlign w:val="bottom"/>
          </w:tcPr>
          <w:p>
            <w:pPr>
              <w:spacing w:after="0"/>
              <w:rPr>
                <w:sz w:val="14"/>
                <w:szCs w:val="14"/>
                <w:color w:val="auto"/>
              </w:rPr>
            </w:pPr>
          </w:p>
        </w:tc>
        <w:tc>
          <w:tcPr>
            <w:tcW w:w="7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vMerge w:val="continue"/>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7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shd w:val="clear" w:color="auto" w:fill="E7E7E2"/>
          </w:tcPr>
          <w:p>
            <w:pPr>
              <w:spacing w:after="0" w:line="145" w:lineRule="exact"/>
              <w:rPr>
                <w:sz w:val="20"/>
                <w:szCs w:val="20"/>
                <w:color w:val="auto"/>
              </w:rPr>
            </w:pPr>
            <w:r>
              <w:rPr>
                <w:rFonts w:ascii="Arial" w:cs="Arial" w:eastAsia="Arial" w:hAnsi="Arial"/>
                <w:sz w:val="16"/>
                <w:szCs w:val="16"/>
                <w:color w:val="auto"/>
              </w:rPr>
              <w:t>Shelf</w:t>
            </w:r>
          </w:p>
        </w:tc>
        <w:tc>
          <w:tcPr>
            <w:tcW w:w="20" w:type="dxa"/>
            <w:vAlign w:val="bottom"/>
          </w:tcPr>
          <w:p>
            <w:pPr>
              <w:spacing w:after="0"/>
              <w:rPr>
                <w:sz w:val="12"/>
                <w:szCs w:val="12"/>
                <w:color w:val="auto"/>
              </w:rPr>
            </w:pPr>
          </w:p>
        </w:tc>
        <w:tc>
          <w:tcPr>
            <w:tcW w:w="480" w:type="dxa"/>
            <w:vAlign w:val="bottom"/>
            <w:shd w:val="clear" w:color="auto" w:fill="E7E7E2"/>
          </w:tcPr>
          <w:p>
            <w:pPr>
              <w:spacing w:after="0"/>
              <w:rPr>
                <w:sz w:val="12"/>
                <w:szCs w:val="12"/>
                <w:color w:val="auto"/>
              </w:rPr>
            </w:pPr>
          </w:p>
        </w:tc>
        <w:tc>
          <w:tcPr>
            <w:tcW w:w="2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shd w:val="clear" w:color="auto" w:fill="E7E7E2"/>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80" w:type="dxa"/>
            <w:vAlign w:val="bottom"/>
            <w:shd w:val="clear" w:color="auto" w:fill="E7E7E2"/>
          </w:tcPr>
          <w:p>
            <w:pPr>
              <w:spacing w:after="0" w:line="176"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80" w:type="dxa"/>
            <w:vAlign w:val="bottom"/>
            <w:shd w:val="clear" w:color="auto" w:fill="E7E7E2"/>
          </w:tcPr>
          <w:p>
            <w:pPr>
              <w:spacing w:after="0" w:line="186" w:lineRule="exact"/>
              <w:rPr>
                <w:sz w:val="20"/>
                <w:szCs w:val="20"/>
                <w:color w:val="auto"/>
              </w:rPr>
            </w:pPr>
            <w:r>
              <w:rPr>
                <w:rFonts w:ascii="Arial" w:cs="Arial" w:eastAsia="Arial" w:hAnsi="Arial"/>
                <w:sz w:val="17"/>
                <w:szCs w:val="17"/>
                <w:color w:val="auto"/>
                <w:w w:val="96"/>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2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shd w:val="clear" w:color="auto" w:fill="E7E7E2"/>
          </w:tcPr>
          <w:p>
            <w:pPr>
              <w:spacing w:after="0"/>
              <w:rPr>
                <w:sz w:val="18"/>
                <w:szCs w:val="18"/>
                <w:color w:val="auto"/>
              </w:rPr>
            </w:pPr>
          </w:p>
        </w:tc>
        <w:tc>
          <w:tcPr>
            <w:tcW w:w="2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20" w:type="dxa"/>
            <w:vAlign w:val="bottom"/>
            <w:gridSpan w:val="5"/>
          </w:tcPr>
          <w:p>
            <w:pPr>
              <w:jc w:val="right"/>
              <w:ind w:right="497"/>
              <w:spacing w:after="0"/>
              <w:rPr>
                <w:sz w:val="20"/>
                <w:szCs w:val="20"/>
                <w:color w:val="auto"/>
              </w:rPr>
            </w:pPr>
            <w:r>
              <w:rPr>
                <w:rFonts w:ascii="Arial" w:cs="Arial" w:eastAsia="Arial" w:hAnsi="Arial"/>
                <w:sz w:val="17"/>
                <w:szCs w:val="17"/>
                <w:b w:val="1"/>
                <w:bCs w:val="1"/>
                <w:color w:val="auto"/>
              </w:rPr>
              <w:t>Carry Forward Securities</w:t>
            </w: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780" w:type="dxa"/>
            <w:vAlign w:val="bottom"/>
            <w:shd w:val="clear" w:color="auto" w:fill="E7E7E2"/>
          </w:tcPr>
          <w:p>
            <w:pPr>
              <w:spacing w:after="0" w:line="180"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80" w:type="dxa"/>
            <w:vAlign w:val="bottom"/>
            <w:shd w:val="clear" w:color="auto" w:fill="E7E7E2"/>
          </w:tcPr>
          <w:p>
            <w:pPr>
              <w:spacing w:after="0" w:line="186"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2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shd w:val="clear" w:color="auto" w:fill="E7E7E2"/>
          </w:tcPr>
          <w:p>
            <w:pPr>
              <w:spacing w:after="0"/>
              <w:rPr>
                <w:sz w:val="18"/>
                <w:szCs w:val="18"/>
                <w:color w:val="auto"/>
              </w:rPr>
            </w:pPr>
          </w:p>
        </w:tc>
        <w:tc>
          <w:tcPr>
            <w:tcW w:w="2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gridSpan w:val="3"/>
          </w:tcPr>
          <w:p>
            <w:pPr>
              <w:jc w:val="right"/>
              <w:ind w:right="20"/>
              <w:spacing w:after="0"/>
              <w:rPr>
                <w:sz w:val="20"/>
                <w:szCs w:val="20"/>
                <w:color w:val="auto"/>
              </w:rPr>
            </w:pPr>
            <w:r>
              <w:rPr>
                <w:rFonts w:ascii="Arial" w:cs="Arial" w:eastAsia="Arial" w:hAnsi="Arial"/>
                <w:sz w:val="17"/>
                <w:szCs w:val="17"/>
                <w:color w:val="auto"/>
                <w:w w:val="99"/>
              </w:rPr>
              <w:t>Total Offering Amounts:</w:t>
            </w:r>
          </w:p>
        </w:tc>
        <w:tc>
          <w:tcPr>
            <w:tcW w:w="200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$ 43,500.00</w:t>
            </w:r>
          </w:p>
        </w:tc>
        <w:tc>
          <w:tcPr>
            <w:tcW w:w="0" w:type="dxa"/>
            <w:vAlign w:val="bottom"/>
          </w:tcPr>
          <w:p>
            <w:pPr>
              <w:spacing w:after="0"/>
              <w:rPr>
                <w:sz w:val="1"/>
                <w:szCs w:val="1"/>
                <w:color w:val="auto"/>
              </w:rPr>
            </w:pPr>
          </w:p>
        </w:tc>
      </w:tr>
      <w:tr>
        <w:trPr>
          <w:trHeight w:val="218"/>
        </w:trPr>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0" w:type="dxa"/>
            <w:vAlign w:val="bottom"/>
            <w:gridSpan w:val="4"/>
          </w:tcPr>
          <w:p>
            <w:pPr>
              <w:jc w:val="right"/>
              <w:spacing w:after="0"/>
              <w:rPr>
                <w:sz w:val="20"/>
                <w:szCs w:val="20"/>
                <w:color w:val="auto"/>
              </w:rPr>
            </w:pPr>
            <w:r>
              <w:rPr>
                <w:rFonts w:ascii="Arial" w:cs="Arial" w:eastAsia="Arial" w:hAnsi="Arial"/>
                <w:sz w:val="17"/>
                <w:szCs w:val="17"/>
                <w:color w:val="auto"/>
              </w:rPr>
              <w:t>500,000,000.00</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120" w:type="dxa"/>
            <w:vAlign w:val="bottom"/>
            <w:gridSpan w:val="5"/>
          </w:tcPr>
          <w:p>
            <w:pPr>
              <w:jc w:val="right"/>
              <w:ind w:right="20"/>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0" w:type="dxa"/>
            <w:vAlign w:val="bottom"/>
          </w:tcPr>
          <w:p>
            <w:pPr>
              <w:spacing w:after="0"/>
              <w:rPr>
                <w:sz w:val="1"/>
                <w:szCs w:val="1"/>
                <w:color w:val="auto"/>
              </w:rPr>
            </w:pPr>
          </w:p>
        </w:tc>
      </w:tr>
      <w:tr>
        <w:trPr>
          <w:trHeight w:val="228"/>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gridSpan w:val="3"/>
          </w:tcPr>
          <w:p>
            <w:pPr>
              <w:jc w:val="right"/>
              <w:ind w:right="20"/>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0" w:type="dxa"/>
            <w:vAlign w:val="bottom"/>
          </w:tcPr>
          <w:p>
            <w:pPr>
              <w:spacing w:after="0"/>
              <w:rPr>
                <w:sz w:val="1"/>
                <w:szCs w:val="1"/>
                <w:color w:val="auto"/>
              </w:rPr>
            </w:pPr>
          </w:p>
        </w:tc>
      </w:tr>
      <w:tr>
        <w:trPr>
          <w:trHeight w:val="228"/>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gridSpan w:val="3"/>
          </w:tcPr>
          <w:p>
            <w:pPr>
              <w:jc w:val="right"/>
              <w:ind w:right="20"/>
              <w:spacing w:after="0"/>
              <w:rPr>
                <w:sz w:val="20"/>
                <w:szCs w:val="20"/>
                <w:color w:val="auto"/>
              </w:rPr>
            </w:pPr>
            <w:r>
              <w:rPr>
                <w:rFonts w:ascii="Arial" w:cs="Arial" w:eastAsia="Arial" w:hAnsi="Arial"/>
                <w:sz w:val="17"/>
                <w:szCs w:val="17"/>
                <w:color w:val="auto"/>
              </w:rPr>
              <w:t>Net Fee Due:</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$ 43,500.00</w:t>
            </w: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0"/>
          <w:szCs w:val="10"/>
          <w:color w:val="auto"/>
        </w:rPr>
        <w:t>1</w:t>
      </w:r>
    </w:p>
    <w:p>
      <w:pPr>
        <w:spacing w:after="0" w:line="61" w:lineRule="exact"/>
        <w:rPr>
          <w:sz w:val="20"/>
          <w:szCs w:val="20"/>
          <w:color w:val="auto"/>
        </w:rPr>
      </w:pPr>
    </w:p>
    <w:p>
      <w:pPr>
        <w:ind w:left="200" w:right="240" w:firstLine="10"/>
        <w:spacing w:after="0" w:line="238" w:lineRule="auto"/>
        <w:tabs>
          <w:tab w:leader="none" w:pos="448"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 is registering hereby an unspecified principal amount or number and offering price of securities of each identified class as may be offered, from time to time, hereunder, along with an indeterminate principal amount or number of securities that may be issued upon exercise, settlement, exchange or conversion of securities offered or sold hereunder. Separate consideration may or may not be received for securities that are issued upon conversion, exercise or exchange of other securities.</w:t>
      </w:r>
    </w:p>
    <w:p>
      <w:pPr>
        <w:spacing w:after="0" w:line="155" w:lineRule="exact"/>
        <w:rPr>
          <w:rFonts w:ascii="Arial" w:cs="Arial" w:eastAsia="Arial" w:hAnsi="Arial"/>
          <w:sz w:val="17"/>
          <w:szCs w:val="17"/>
          <w:color w:val="auto"/>
        </w:rPr>
      </w:pPr>
    </w:p>
    <w:p>
      <w:pPr>
        <w:ind w:left="200" w:right="180" w:firstLine="10"/>
        <w:spacing w:after="0" w:line="242" w:lineRule="auto"/>
        <w:tabs>
          <w:tab w:leader="none" w:pos="448"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proposed maximum aggregate offering price per class of security will be determined from time to time by the registrant in connection with the issuance by the registrant of the securities registered hereunder and is not specified as to each class of security pursuant to General Instruction II.D of Form S-3 under the Securities Act.</w:t>
      </w:r>
    </w:p>
    <w:p>
      <w:pPr>
        <w:spacing w:after="0" w:line="153" w:lineRule="exact"/>
        <w:rPr>
          <w:rFonts w:ascii="Arial" w:cs="Arial" w:eastAsia="Arial" w:hAnsi="Arial"/>
          <w:sz w:val="17"/>
          <w:szCs w:val="17"/>
          <w:color w:val="auto"/>
        </w:rPr>
      </w:pPr>
    </w:p>
    <w:p>
      <w:pPr>
        <w:ind w:left="200" w:right="340" w:firstLine="10"/>
        <w:spacing w:after="0" w:line="242" w:lineRule="auto"/>
        <w:tabs>
          <w:tab w:leader="none" w:pos="439"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Any securities registered hereunder with respect to the primary offering may be sold separately or as units with other securities registered hereunder. In no event will the aggregate offering price of all securities sold by the registrant from time to time pursuant to this registration statement exceed $500,000,000.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58420</wp:posOffset>
            </wp:positionV>
            <wp:extent cx="715010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7150100" cy="3873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40" w:type="dxa"/>
            <w:vAlign w:val="bottom"/>
            <w:tcBorders>
              <w:bottom w:val="single" w:sz="8" w:color="auto"/>
            </w:tcBorders>
          </w:tcPr>
          <w:p>
            <w:pPr>
              <w:spacing w:after="0"/>
              <w:rPr>
                <w:sz w:val="23"/>
                <w:szCs w:val="23"/>
                <w:color w:val="auto"/>
              </w:rPr>
            </w:pPr>
          </w:p>
        </w:tc>
        <w:tc>
          <w:tcPr>
            <w:tcW w:w="3360" w:type="dxa"/>
            <w:vAlign w:val="bottom"/>
            <w:tcBorders>
              <w:bottom w:val="single" w:sz="8" w:color="auto"/>
            </w:tcBorders>
            <w:gridSpan w:val="5"/>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4"/>
          </w:tcPr>
          <w:p>
            <w:pPr>
              <w:ind w:left="36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5"/>
              </w:rPr>
              <w:t>Security</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5"/>
              </w:rPr>
              <w:t>Fee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0"/>
              </w:rPr>
              <w:t>Type</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4"/>
              </w:rPr>
              <w:t>Paid</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0" w:type="dxa"/>
            <w:vAlign w:val="bottom"/>
          </w:tcPr>
          <w:p>
            <w:pPr>
              <w:spacing w:after="0"/>
              <w:rPr>
                <w:sz w:val="8"/>
                <w:szCs w:val="8"/>
                <w:color w:val="auto"/>
              </w:rPr>
            </w:pPr>
          </w:p>
        </w:tc>
        <w:tc>
          <w:tcPr>
            <w:tcW w:w="10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6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8"/>
                <w:szCs w:val="8"/>
                <w:color w:val="auto"/>
              </w:rPr>
            </w:pPr>
          </w:p>
        </w:tc>
        <w:tc>
          <w:tcPr>
            <w:tcW w:w="6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Amount</w:t>
            </w:r>
          </w:p>
        </w:tc>
        <w:tc>
          <w:tcPr>
            <w:tcW w:w="20" w:type="dxa"/>
            <w:vAlign w:val="bottom"/>
          </w:tcPr>
          <w:p>
            <w:pPr>
              <w:spacing w:after="0"/>
              <w:rPr>
                <w:sz w:val="8"/>
                <w:szCs w:val="8"/>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10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66"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9ADAF6"/>
          </w:tcPr>
          <w:p>
            <w:pPr>
              <w:jc w:val="center"/>
              <w:spacing w:after="0" w:line="166" w:lineRule="exact"/>
              <w:rPr>
                <w:sz w:val="20"/>
                <w:szCs w:val="20"/>
                <w:color w:val="auto"/>
              </w:rPr>
            </w:pPr>
            <w:r>
              <w:rPr>
                <w:rFonts w:ascii="Arial" w:cs="Arial" w:eastAsia="Arial" w:hAnsi="Arial"/>
                <w:sz w:val="17"/>
                <w:szCs w:val="17"/>
                <w:b w:val="1"/>
                <w:bCs w:val="1"/>
                <w:color w:val="auto"/>
                <w:w w:val="93"/>
              </w:rPr>
              <w:t>Offset</w:t>
            </w: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10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600" w:type="dxa"/>
            <w:vAlign w:val="bottom"/>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Name</w:t>
            </w:r>
          </w:p>
        </w:tc>
        <w:tc>
          <w:tcPr>
            <w:tcW w:w="20" w:type="dxa"/>
            <w:vAlign w:val="bottom"/>
          </w:tcPr>
          <w:p>
            <w:pPr>
              <w:spacing w:after="0"/>
              <w:rPr>
                <w:sz w:val="9"/>
                <w:szCs w:val="9"/>
                <w:color w:val="auto"/>
              </w:rPr>
            </w:pPr>
          </w:p>
        </w:tc>
        <w:tc>
          <w:tcPr>
            <w:tcW w:w="620" w:type="dxa"/>
            <w:vAlign w:val="bottom"/>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Filing</w:t>
            </w:r>
          </w:p>
        </w:tc>
        <w:tc>
          <w:tcPr>
            <w:tcW w:w="20" w:type="dxa"/>
            <w:vAlign w:val="bottom"/>
          </w:tcPr>
          <w:p>
            <w:pPr>
              <w:spacing w:after="0"/>
              <w:rPr>
                <w:sz w:val="9"/>
                <w:szCs w:val="9"/>
                <w:color w:val="auto"/>
              </w:rPr>
            </w:pPr>
          </w:p>
        </w:tc>
        <w:tc>
          <w:tcPr>
            <w:tcW w:w="760" w:type="dxa"/>
            <w:vAlign w:val="bottom"/>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Number</w:t>
            </w:r>
          </w:p>
        </w:tc>
        <w:tc>
          <w:tcPr>
            <w:tcW w:w="20" w:type="dxa"/>
            <w:vAlign w:val="bottom"/>
          </w:tcPr>
          <w:p>
            <w:pPr>
              <w:spacing w:after="0"/>
              <w:rPr>
                <w:sz w:val="9"/>
                <w:szCs w:val="9"/>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9"/>
                <w:szCs w:val="9"/>
                <w:color w:val="auto"/>
              </w:rPr>
            </w:pPr>
          </w:p>
        </w:tc>
        <w:tc>
          <w:tcPr>
            <w:tcW w:w="620" w:type="dxa"/>
            <w:vAlign w:val="bottom"/>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Date</w:t>
            </w:r>
          </w:p>
        </w:tc>
        <w:tc>
          <w:tcPr>
            <w:tcW w:w="20" w:type="dxa"/>
            <w:vAlign w:val="bottom"/>
          </w:tcPr>
          <w:p>
            <w:pPr>
              <w:spacing w:after="0"/>
              <w:rPr>
                <w:sz w:val="9"/>
                <w:szCs w:val="9"/>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9"/>
                <w:szCs w:val="9"/>
                <w:color w:val="auto"/>
              </w:rPr>
            </w:pPr>
          </w:p>
        </w:tc>
        <w:tc>
          <w:tcPr>
            <w:tcW w:w="920" w:type="dxa"/>
            <w:vAlign w:val="bottom"/>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9"/>
                <w:szCs w:val="9"/>
                <w:color w:val="auto"/>
              </w:rPr>
            </w:pPr>
          </w:p>
        </w:tc>
        <w:tc>
          <w:tcPr>
            <w:tcW w:w="900" w:type="dxa"/>
            <w:vAlign w:val="bottom"/>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9"/>
                <w:szCs w:val="9"/>
                <w:color w:val="auto"/>
              </w:rPr>
            </w:pPr>
          </w:p>
        </w:tc>
        <w:tc>
          <w:tcPr>
            <w:tcW w:w="920" w:type="dxa"/>
            <w:vAlign w:val="bottom"/>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9"/>
                <w:szCs w:val="9"/>
                <w:color w:val="auto"/>
              </w:rPr>
            </w:pPr>
          </w:p>
        </w:tc>
        <w:tc>
          <w:tcPr>
            <w:tcW w:w="980" w:type="dxa"/>
            <w:vAlign w:val="bottom"/>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Associated</w:t>
            </w:r>
          </w:p>
        </w:tc>
        <w:tc>
          <w:tcPr>
            <w:tcW w:w="20" w:type="dxa"/>
            <w:vAlign w:val="bottom"/>
          </w:tcPr>
          <w:p>
            <w:pPr>
              <w:spacing w:after="0"/>
              <w:rPr>
                <w:sz w:val="9"/>
                <w:szCs w:val="9"/>
                <w:color w:val="auto"/>
              </w:rPr>
            </w:pPr>
          </w:p>
        </w:tc>
        <w:tc>
          <w:tcPr>
            <w:tcW w:w="640" w:type="dxa"/>
            <w:vAlign w:val="bottom"/>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Fee</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restart"/>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restart"/>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1"/>
                <w:szCs w:val="11"/>
                <w:color w:val="auto"/>
              </w:rPr>
            </w:pPr>
          </w:p>
        </w:tc>
        <w:tc>
          <w:tcPr>
            <w:tcW w:w="900" w:type="dxa"/>
            <w:vAlign w:val="bottom"/>
            <w:vMerge w:val="restart"/>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1"/>
                <w:szCs w:val="11"/>
                <w:color w:val="auto"/>
              </w:rPr>
            </w:pPr>
          </w:p>
        </w:tc>
        <w:tc>
          <w:tcPr>
            <w:tcW w:w="920" w:type="dxa"/>
            <w:vAlign w:val="bottom"/>
            <w:vMerge w:val="restart"/>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1"/>
                <w:szCs w:val="11"/>
                <w:color w:val="auto"/>
              </w:rPr>
            </w:pPr>
          </w:p>
        </w:tc>
        <w:tc>
          <w:tcPr>
            <w:tcW w:w="980" w:type="dxa"/>
            <w:vAlign w:val="bottom"/>
            <w:vMerge w:val="restart"/>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1"/>
                <w:szCs w:val="11"/>
                <w:color w:val="auto"/>
              </w:rPr>
            </w:pPr>
          </w:p>
        </w:tc>
        <w:tc>
          <w:tcPr>
            <w:tcW w:w="640" w:type="dxa"/>
            <w:vAlign w:val="bottom"/>
            <w:vMerge w:val="restart"/>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Offset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1"/>
        </w:trPr>
        <w:tc>
          <w:tcPr>
            <w:tcW w:w="40" w:type="dxa"/>
            <w:vAlign w:val="bottom"/>
          </w:tcPr>
          <w:p>
            <w:pPr>
              <w:spacing w:after="0"/>
              <w:rPr>
                <w:sz w:val="4"/>
                <w:szCs w:val="4"/>
                <w:color w:val="auto"/>
              </w:rPr>
            </w:pPr>
          </w:p>
        </w:tc>
        <w:tc>
          <w:tcPr>
            <w:tcW w:w="10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6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vMerge w:val="continue"/>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vMerge w:val="continue"/>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vMerge w:val="continue"/>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vMerge w:val="continue"/>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80" w:type="dxa"/>
            <w:vAlign w:val="bottom"/>
            <w:vMerge w:val="continue"/>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vMerge w:val="continue"/>
            <w:shd w:val="clear" w:color="auto" w:fill="9ADAF6"/>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Source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10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7156450</wp:posOffset>
            </wp:positionH>
            <wp:positionV relativeFrom="paragraph">
              <wp:posOffset>-981075</wp:posOffset>
            </wp:positionV>
            <wp:extent cx="12700" cy="2165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12700" cy="2165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-981075</wp:posOffset>
            </wp:positionV>
            <wp:extent cx="12700" cy="2165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12700" cy="2165985"/>
                    </a:xfrm>
                    <a:prstGeom prst="rect">
                      <a:avLst/>
                    </a:prstGeom>
                    <a:noFill/>
                  </pic:spPr>
                </pic:pic>
              </a:graphicData>
            </a:graphic>
          </wp:anchor>
        </w:drawing>
      </w:r>
    </w:p>
    <w:p>
      <w:pPr>
        <w:jc w:val="center"/>
        <w:ind w:right="60"/>
        <w:spacing w:after="0"/>
        <w:rPr>
          <w:sz w:val="20"/>
          <w:szCs w:val="20"/>
          <w:color w:val="auto"/>
        </w:rPr>
      </w:pPr>
      <w:r>
        <w:rPr>
          <w:rFonts w:ascii="Arial" w:cs="Arial" w:eastAsia="Arial" w:hAnsi="Arial"/>
          <w:sz w:val="17"/>
          <w:szCs w:val="17"/>
          <w:b w:val="1"/>
          <w:bCs w:val="1"/>
          <w:color w:val="auto"/>
        </w:rPr>
        <w:t>Rules 457(b) and 0-11(a)(2)</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-116840</wp:posOffset>
            </wp:positionV>
            <wp:extent cx="7112000" cy="2495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7112000" cy="249555"/>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Claims</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-116840</wp:posOffset>
            </wp:positionV>
            <wp:extent cx="7112000" cy="2495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7112000" cy="249555"/>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Sources</w:t>
      </w:r>
    </w:p>
    <w:p>
      <w:pPr>
        <w:spacing w:after="0" w:line="16"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Rule 457(p)</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-116840</wp:posOffset>
            </wp:positionV>
            <wp:extent cx="7112000" cy="2495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7112000" cy="249555"/>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17145</wp:posOffset>
            </wp:positionV>
            <wp:extent cx="7112000" cy="939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7112000" cy="93980"/>
                    </a:xfrm>
                    <a:prstGeom prst="rect">
                      <a:avLst/>
                    </a:prstGeom>
                    <a:noFill/>
                  </pic:spPr>
                </pic:pic>
              </a:graphicData>
            </a:graphic>
          </wp:anchor>
        </w:drawing>
      </w:r>
    </w:p>
    <w:p>
      <w:pPr>
        <w:sectPr>
          <w:pgSz w:w="11900" w:h="16838" w:orient="portrait"/>
          <w:cols w:equalWidth="0" w:num="1">
            <w:col w:w="11360"/>
          </w:cols>
          <w:pgMar w:left="300" w:top="141" w:right="239" w:bottom="0" w:gutter="0" w:footer="0" w:header="0"/>
        </w:sectPr>
      </w:pPr>
    </w:p>
    <w:bookmarkStart w:id="41" w:name="page42"/>
    <w:bookmarkEnd w:id="41"/>
    <w:p>
      <w:pPr>
        <w:ind w:left="40"/>
        <w:spacing w:after="0"/>
        <w:rPr>
          <w:sz w:val="20"/>
          <w:szCs w:val="20"/>
          <w:color w:val="auto"/>
        </w:rPr>
      </w:pPr>
      <w:r>
        <w:rPr>
          <w:rFonts w:ascii="Arial" w:cs="Arial" w:eastAsia="Arial" w:hAnsi="Arial"/>
          <w:sz w:val="17"/>
          <w:szCs w:val="17"/>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-110490</wp:posOffset>
            </wp:positionV>
            <wp:extent cx="7170420" cy="265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7170420" cy="265430"/>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Sources</w:t>
      </w:r>
    </w:p>
    <w:p>
      <w:pPr>
        <w:spacing w:after="0" w:line="226" w:lineRule="exact"/>
        <w:rPr>
          <w:sz w:val="20"/>
          <w:szCs w:val="20"/>
          <w:color w:val="auto"/>
        </w:rPr>
      </w:pPr>
    </w:p>
    <w:tbl>
      <w:tblPr>
        <w:tblLayout w:type="fixed"/>
        <w:tblInd w:w="10" w:type="dxa"/>
        <w:tblCellMar>
          <w:top w:w="0" w:type="dxa"/>
          <w:left w:w="0" w:type="dxa"/>
          <w:bottom w:w="0" w:type="dxa"/>
          <w:right w:w="0" w:type="dxa"/>
        </w:tblCellMar>
      </w:tblPr>
      <w:tr>
        <w:trPr>
          <w:trHeight w:val="271"/>
        </w:trPr>
        <w:tc>
          <w:tcPr>
            <w:tcW w:w="40" w:type="dxa"/>
            <w:vAlign w:val="bottom"/>
            <w:tcBorders>
              <w:bottom w:val="single" w:sz="8" w:color="auto"/>
            </w:tcBorders>
          </w:tcPr>
          <w:p>
            <w:pPr>
              <w:spacing w:after="0"/>
              <w:rPr>
                <w:sz w:val="23"/>
                <w:szCs w:val="23"/>
                <w:color w:val="auto"/>
              </w:rPr>
            </w:pPr>
          </w:p>
        </w:tc>
        <w:tc>
          <w:tcPr>
            <w:tcW w:w="2640" w:type="dxa"/>
            <w:vAlign w:val="bottom"/>
            <w:tcBorders>
              <w:bottom w:val="single" w:sz="8" w:color="auto"/>
            </w:tcBorders>
            <w:gridSpan w:val="5"/>
          </w:tcPr>
          <w:p>
            <w:pPr>
              <w:spacing w:after="0"/>
              <w:rPr>
                <w:sz w:val="20"/>
                <w:szCs w:val="20"/>
                <w:color w:val="auto"/>
              </w:rPr>
            </w:pPr>
            <w:r>
              <w:rPr>
                <w:rFonts w:ascii="Arial" w:cs="Arial" w:eastAsia="Arial" w:hAnsi="Arial"/>
                <w:sz w:val="17"/>
                <w:szCs w:val="17"/>
                <w:b w:val="1"/>
                <w:bCs w:val="1"/>
                <w:color w:val="auto"/>
                <w:w w:val="97"/>
              </w:rPr>
              <w:t>Table 3: Combined Prospectuses</w:t>
            </w:r>
          </w:p>
        </w:tc>
        <w:tc>
          <w:tcPr>
            <w:tcW w:w="22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100" w:type="dxa"/>
            <w:vAlign w:val="bottom"/>
            <w:tcBorders>
              <w:bottom w:val="single" w:sz="8" w:color="auto"/>
            </w:tcBorders>
            <w:gridSpan w:val="4"/>
          </w:tcPr>
          <w:p>
            <w:pPr>
              <w:ind w:left="76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2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ind w:left="360"/>
              <w:spacing w:after="0" w:line="191" w:lineRule="exact"/>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6"/>
                <w:szCs w:val="16"/>
                <w:color w:val="auto"/>
              </w:rPr>
            </w:pPr>
          </w:p>
        </w:tc>
        <w:tc>
          <w:tcPr>
            <w:tcW w:w="20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6"/>
              </w:rPr>
              <w:t>Maximum Aggregate</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restart"/>
            <w:shd w:val="clear" w:color="auto" w:fill="9ADAF6"/>
          </w:tcPr>
          <w:p>
            <w:pPr>
              <w:ind w:left="380"/>
              <w:spacing w:after="0" w:line="186"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8"/>
                <w:szCs w:val="8"/>
                <w:color w:val="auto"/>
              </w:rPr>
            </w:pPr>
          </w:p>
        </w:tc>
        <w:tc>
          <w:tcPr>
            <w:tcW w:w="2020" w:type="dxa"/>
            <w:vAlign w:val="bottom"/>
            <w:vMerge w:val="restart"/>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Offering Price of</w:t>
            </w:r>
          </w:p>
        </w:tc>
        <w:tc>
          <w:tcPr>
            <w:tcW w:w="20" w:type="dxa"/>
            <w:vAlign w:val="bottom"/>
          </w:tcPr>
          <w:p>
            <w:pPr>
              <w:spacing w:after="0"/>
              <w:rPr>
                <w:sz w:val="8"/>
                <w:szCs w:val="8"/>
                <w:color w:val="auto"/>
              </w:rPr>
            </w:pPr>
          </w:p>
        </w:tc>
        <w:tc>
          <w:tcPr>
            <w:tcW w:w="660" w:type="dxa"/>
            <w:vAlign w:val="bottom"/>
            <w:vMerge w:val="restart"/>
            <w:shd w:val="clear" w:color="auto" w:fill="9ADAF6"/>
          </w:tcPr>
          <w:p>
            <w:pPr>
              <w:ind w:left="120"/>
              <w:spacing w:after="0" w:line="186"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1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continue"/>
            <w:shd w:val="clear" w:color="auto" w:fill="9ADAF6"/>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shd w:val="clear" w:color="auto" w:fill="9ADAF6"/>
          </w:tcPr>
          <w:p>
            <w:pPr>
              <w:ind w:left="260"/>
              <w:spacing w:after="0" w:line="186"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200" w:type="dxa"/>
            <w:vAlign w:val="bottom"/>
            <w:vMerge w:val="restart"/>
            <w:shd w:val="clear" w:color="auto" w:fill="9ADAF6"/>
          </w:tcPr>
          <w:p>
            <w:pPr>
              <w:ind w:left="40"/>
              <w:spacing w:after="0" w:line="186"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tcPr>
          <w:p>
            <w:pPr>
              <w:spacing w:after="0"/>
              <w:rPr>
                <w:sz w:val="8"/>
                <w:szCs w:val="8"/>
                <w:color w:val="auto"/>
              </w:rPr>
            </w:pPr>
          </w:p>
        </w:tc>
        <w:tc>
          <w:tcPr>
            <w:tcW w:w="1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vMerge w:val="restart"/>
            <w:shd w:val="clear" w:color="auto" w:fill="9ADAF6"/>
          </w:tcPr>
          <w:p>
            <w:pPr>
              <w:ind w:left="100"/>
              <w:spacing w:after="0" w:line="186"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00" w:type="dxa"/>
            <w:vAlign w:val="bottom"/>
            <w:vMerge w:val="restart"/>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5"/>
              </w:rPr>
              <w:t>Effective</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2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restart"/>
            <w:shd w:val="clear" w:color="auto" w:fill="9ADAF6"/>
          </w:tcPr>
          <w:p>
            <w:pPr>
              <w:ind w:left="360"/>
              <w:spacing w:after="0" w:line="186" w:lineRule="exact"/>
              <w:rPr>
                <w:sz w:val="20"/>
                <w:szCs w:val="20"/>
                <w:color w:val="auto"/>
              </w:rPr>
            </w:pPr>
            <w:r>
              <w:rPr>
                <w:rFonts w:ascii="Arial" w:cs="Arial" w:eastAsia="Arial" w:hAnsi="Arial"/>
                <w:sz w:val="17"/>
                <w:szCs w:val="17"/>
                <w:b w:val="1"/>
                <w:bCs w:val="1"/>
                <w:color w:val="auto"/>
              </w:rPr>
              <w:t>Previously</w:t>
            </w:r>
          </w:p>
        </w:tc>
        <w:tc>
          <w:tcPr>
            <w:tcW w:w="20" w:type="dxa"/>
            <w:vAlign w:val="bottom"/>
          </w:tcPr>
          <w:p>
            <w:pPr>
              <w:spacing w:after="0"/>
              <w:rPr>
                <w:sz w:val="8"/>
                <w:szCs w:val="8"/>
                <w:color w:val="auto"/>
              </w:rPr>
            </w:pPr>
          </w:p>
        </w:tc>
        <w:tc>
          <w:tcPr>
            <w:tcW w:w="2020" w:type="dxa"/>
            <w:vAlign w:val="bottom"/>
            <w:vMerge w:val="restart"/>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Securities Previously</w:t>
            </w:r>
          </w:p>
        </w:tc>
        <w:tc>
          <w:tcPr>
            <w:tcW w:w="20" w:type="dxa"/>
            <w:vAlign w:val="bottom"/>
          </w:tcPr>
          <w:p>
            <w:pPr>
              <w:spacing w:after="0"/>
              <w:rPr>
                <w:sz w:val="8"/>
                <w:szCs w:val="8"/>
                <w:color w:val="auto"/>
              </w:rPr>
            </w:pPr>
          </w:p>
        </w:tc>
        <w:tc>
          <w:tcPr>
            <w:tcW w:w="660" w:type="dxa"/>
            <w:vAlign w:val="bottom"/>
            <w:vMerge w:val="restart"/>
            <w:shd w:val="clear" w:color="auto" w:fill="9ADAF6"/>
          </w:tcPr>
          <w:p>
            <w:pPr>
              <w:ind w:left="140"/>
              <w:spacing w:after="0" w:line="186"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continue"/>
            <w:shd w:val="clear" w:color="auto" w:fill="9ADAF6"/>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4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shd w:val="clear" w:color="auto" w:fill="9ADAF6"/>
          </w:tcPr>
          <w:p>
            <w:pPr>
              <w:spacing w:after="0"/>
              <w:rPr>
                <w:sz w:val="11"/>
                <w:szCs w:val="11"/>
                <w:color w:val="auto"/>
              </w:rPr>
            </w:pPr>
          </w:p>
        </w:tc>
        <w:tc>
          <w:tcPr>
            <w:tcW w:w="22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vMerge w:val="restart"/>
            <w:shd w:val="clear" w:color="auto" w:fill="9ADAF6"/>
          </w:tcPr>
          <w:p>
            <w:pPr>
              <w:ind w:left="340"/>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20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1"/>
                <w:szCs w:val="11"/>
                <w:color w:val="auto"/>
              </w:rPr>
            </w:pPr>
          </w:p>
        </w:tc>
        <w:tc>
          <w:tcPr>
            <w:tcW w:w="6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vMerge w:val="continue"/>
            <w:shd w:val="clear" w:color="auto" w:fill="9ADAF6"/>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shd w:val="clear" w:color="auto" w:fill="9ADAF6"/>
          </w:tcPr>
          <w:p>
            <w:pPr>
              <w:spacing w:after="0"/>
              <w:rPr>
                <w:sz w:val="7"/>
                <w:szCs w:val="7"/>
                <w:color w:val="auto"/>
              </w:rPr>
            </w:pPr>
          </w:p>
        </w:tc>
        <w:tc>
          <w:tcPr>
            <w:tcW w:w="22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9ADAF6"/>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E7E7E2"/>
            </w:tcBorders>
          </w:tcPr>
          <w:p>
            <w:pPr>
              <w:spacing w:after="0" w:line="20" w:lineRule="exact"/>
              <w:rPr>
                <w:sz w:val="1"/>
                <w:szCs w:val="1"/>
                <w:color w:val="auto"/>
              </w:rPr>
            </w:pPr>
          </w:p>
        </w:tc>
        <w:tc>
          <w:tcPr>
            <w:tcW w:w="22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E7E7E2"/>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00"/>
          </w:cols>
          <w:pgMar w:left="300" w:top="120" w:right="29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4"/>
          <w:szCs w:val="14"/>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ACUMEN PHARMACEUTICALS, INC.,</w:t>
      </w:r>
    </w:p>
    <w:p>
      <w:pPr>
        <w:spacing w:after="0" w:line="17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ISSUER</w:t>
      </w:r>
    </w:p>
    <w:p>
      <w:pPr>
        <w:spacing w:after="0" w:line="16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AND</w:t>
      </w:r>
    </w:p>
    <w:p>
      <w:pPr>
        <w:spacing w:after="0" w:line="17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[TRUSTEE],</w:t>
      </w:r>
    </w:p>
    <w:p>
      <w:pPr>
        <w:spacing w:after="0" w:line="2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TRUSTEE</w:t>
      </w:r>
    </w:p>
    <w:p>
      <w:pPr>
        <w:spacing w:after="0" w:line="14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INDENTURE</w:t>
      </w:r>
    </w:p>
    <w:p>
      <w:pPr>
        <w:spacing w:after="0" w:line="16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DATED AS OF [•], 20__</w:t>
      </w:r>
    </w:p>
    <w:p>
      <w:pPr>
        <w:spacing w:after="0" w:line="16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DEBT SECURITIES</w:t>
      </w:r>
    </w:p>
    <w:p>
      <w:pPr>
        <w:sectPr>
          <w:pgSz w:w="11900" w:h="16838" w:orient="portrait"/>
          <w:cols w:equalWidth="0" w:num="1">
            <w:col w:w="10140"/>
          </w:cols>
          <w:pgMar w:left="1440" w:top="123" w:right="319" w:bottom="1440" w:gutter="0" w:footer="0" w:header="0"/>
        </w:sectPr>
      </w:pPr>
    </w:p>
    <w:bookmarkStart w:id="43" w:name="page44"/>
    <w:bookmarkEnd w:id="43"/>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ARTICLE 1 DEFINITIONS</w:t>
            </w:r>
          </w:p>
        </w:tc>
        <w:tc>
          <w:tcPr>
            <w:tcW w:w="69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331"/>
        </w:trPr>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Section 1.01</w:t>
            </w:r>
          </w:p>
        </w:tc>
        <w:tc>
          <w:tcPr>
            <w:tcW w:w="6940" w:type="dxa"/>
            <w:vAlign w:val="bottom"/>
          </w:tcPr>
          <w:p>
            <w:pPr>
              <w:ind w:left="1720"/>
              <w:spacing w:after="0"/>
              <w:rPr>
                <w:sz w:val="20"/>
                <w:szCs w:val="20"/>
                <w:color w:val="auto"/>
              </w:rPr>
            </w:pPr>
            <w:r>
              <w:rPr>
                <w:rFonts w:ascii="Times New Roman" w:cs="Times New Roman" w:eastAsia="Times New Roman" w:hAnsi="Times New Roman"/>
                <w:sz w:val="17"/>
                <w:szCs w:val="17"/>
                <w:color w:val="auto"/>
              </w:rPr>
              <w:t>Definitions of Terms</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372"/>
        </w:trPr>
        <w:tc>
          <w:tcPr>
            <w:tcW w:w="10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2 ISSUE, DESCRIPTION, TERMS, EXECUTION, REGISTRATION AND EXCHANGE OF SECURITIES</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322"/>
        </w:trPr>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Section 2.01</w:t>
            </w:r>
          </w:p>
        </w:tc>
        <w:tc>
          <w:tcPr>
            <w:tcW w:w="6940" w:type="dxa"/>
            <w:vAlign w:val="bottom"/>
          </w:tcPr>
          <w:p>
            <w:pPr>
              <w:ind w:left="1720"/>
              <w:spacing w:after="0"/>
              <w:rPr>
                <w:sz w:val="20"/>
                <w:szCs w:val="20"/>
                <w:color w:val="auto"/>
              </w:rPr>
            </w:pPr>
            <w:r>
              <w:rPr>
                <w:rFonts w:ascii="Times New Roman" w:cs="Times New Roman" w:eastAsia="Times New Roman" w:hAnsi="Times New Roman"/>
                <w:sz w:val="17"/>
                <w:szCs w:val="17"/>
                <w:color w:val="auto"/>
              </w:rPr>
              <w:t>Designation and Terms of Securities</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07"/>
        </w:trPr>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Section 2.02</w:t>
            </w:r>
          </w:p>
        </w:tc>
        <w:tc>
          <w:tcPr>
            <w:tcW w:w="6940" w:type="dxa"/>
            <w:vAlign w:val="bottom"/>
          </w:tcPr>
          <w:p>
            <w:pPr>
              <w:ind w:left="1720"/>
              <w:spacing w:after="0"/>
              <w:rPr>
                <w:sz w:val="20"/>
                <w:szCs w:val="20"/>
                <w:color w:val="auto"/>
              </w:rPr>
            </w:pPr>
            <w:r>
              <w:rPr>
                <w:rFonts w:ascii="Times New Roman" w:cs="Times New Roman" w:eastAsia="Times New Roman" w:hAnsi="Times New Roman"/>
                <w:sz w:val="17"/>
                <w:szCs w:val="17"/>
                <w:color w:val="auto"/>
              </w:rPr>
              <w:t>Form of Securities and Trustee’s Certificate</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07"/>
        </w:trPr>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Section 2.03</w:t>
            </w:r>
          </w:p>
        </w:tc>
        <w:tc>
          <w:tcPr>
            <w:tcW w:w="6940" w:type="dxa"/>
            <w:vAlign w:val="bottom"/>
          </w:tcPr>
          <w:p>
            <w:pPr>
              <w:ind w:left="1720"/>
              <w:spacing w:after="0"/>
              <w:rPr>
                <w:sz w:val="20"/>
                <w:szCs w:val="20"/>
                <w:color w:val="auto"/>
              </w:rPr>
            </w:pPr>
            <w:r>
              <w:rPr>
                <w:rFonts w:ascii="Times New Roman" w:cs="Times New Roman" w:eastAsia="Times New Roman" w:hAnsi="Times New Roman"/>
                <w:sz w:val="17"/>
                <w:szCs w:val="17"/>
                <w:color w:val="auto"/>
              </w:rPr>
              <w:t>Denominations: Provisions for Payment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07"/>
        </w:trPr>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Section 2.04</w:t>
            </w:r>
          </w:p>
        </w:tc>
        <w:tc>
          <w:tcPr>
            <w:tcW w:w="6940" w:type="dxa"/>
            <w:vAlign w:val="bottom"/>
          </w:tcPr>
          <w:p>
            <w:pPr>
              <w:ind w:left="1720"/>
              <w:spacing w:after="0"/>
              <w:rPr>
                <w:sz w:val="20"/>
                <w:szCs w:val="20"/>
                <w:color w:val="auto"/>
              </w:rPr>
            </w:pPr>
            <w:r>
              <w:rPr>
                <w:rFonts w:ascii="Times New Roman" w:cs="Times New Roman" w:eastAsia="Times New Roman" w:hAnsi="Times New Roman"/>
                <w:sz w:val="17"/>
                <w:szCs w:val="17"/>
                <w:color w:val="auto"/>
              </w:rPr>
              <w:t>Execution and Authentications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07"/>
        </w:trPr>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Section 2.05</w:t>
            </w:r>
          </w:p>
        </w:tc>
        <w:tc>
          <w:tcPr>
            <w:tcW w:w="6940" w:type="dxa"/>
            <w:vAlign w:val="bottom"/>
          </w:tcPr>
          <w:p>
            <w:pPr>
              <w:ind w:left="1720"/>
              <w:spacing w:after="0"/>
              <w:rPr>
                <w:sz w:val="20"/>
                <w:szCs w:val="20"/>
                <w:color w:val="auto"/>
              </w:rPr>
            </w:pPr>
            <w:r>
              <w:rPr>
                <w:rFonts w:ascii="Times New Roman" w:cs="Times New Roman" w:eastAsia="Times New Roman" w:hAnsi="Times New Roman"/>
                <w:sz w:val="17"/>
                <w:szCs w:val="17"/>
                <w:color w:val="auto"/>
              </w:rPr>
              <w:t>Registration of Transfer and Exchange</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07"/>
        </w:trPr>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Section 2.06</w:t>
            </w:r>
          </w:p>
        </w:tc>
        <w:tc>
          <w:tcPr>
            <w:tcW w:w="6940" w:type="dxa"/>
            <w:vAlign w:val="bottom"/>
          </w:tcPr>
          <w:p>
            <w:pPr>
              <w:ind w:left="1720"/>
              <w:spacing w:after="0"/>
              <w:rPr>
                <w:sz w:val="20"/>
                <w:szCs w:val="20"/>
                <w:color w:val="auto"/>
              </w:rPr>
            </w:pPr>
            <w:r>
              <w:rPr>
                <w:rFonts w:ascii="Times New Roman" w:cs="Times New Roman" w:eastAsia="Times New Roman" w:hAnsi="Times New Roman"/>
                <w:sz w:val="17"/>
                <w:szCs w:val="17"/>
                <w:color w:val="auto"/>
              </w:rPr>
              <w:t>Temporary Securities</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07"/>
        </w:trPr>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Section 2.07</w:t>
            </w:r>
          </w:p>
        </w:tc>
        <w:tc>
          <w:tcPr>
            <w:tcW w:w="6940" w:type="dxa"/>
            <w:vAlign w:val="bottom"/>
          </w:tcPr>
          <w:p>
            <w:pPr>
              <w:ind w:left="1720"/>
              <w:spacing w:after="0"/>
              <w:rPr>
                <w:sz w:val="20"/>
                <w:szCs w:val="20"/>
                <w:color w:val="auto"/>
              </w:rPr>
            </w:pPr>
            <w:r>
              <w:rPr>
                <w:rFonts w:ascii="Times New Roman" w:cs="Times New Roman" w:eastAsia="Times New Roman" w:hAnsi="Times New Roman"/>
                <w:sz w:val="17"/>
                <w:szCs w:val="17"/>
                <w:color w:val="auto"/>
              </w:rPr>
              <w:t>Mutilated, Destroyed, Lost or Stolen Securities</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07"/>
        </w:trPr>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Section 2.08</w:t>
            </w:r>
          </w:p>
        </w:tc>
        <w:tc>
          <w:tcPr>
            <w:tcW w:w="6940" w:type="dxa"/>
            <w:vAlign w:val="bottom"/>
          </w:tcPr>
          <w:p>
            <w:pPr>
              <w:ind w:left="1720"/>
              <w:spacing w:after="0"/>
              <w:rPr>
                <w:sz w:val="20"/>
                <w:szCs w:val="20"/>
                <w:color w:val="auto"/>
              </w:rPr>
            </w:pPr>
            <w:r>
              <w:rPr>
                <w:rFonts w:ascii="Times New Roman" w:cs="Times New Roman" w:eastAsia="Times New Roman" w:hAnsi="Times New Roman"/>
                <w:sz w:val="17"/>
                <w:szCs w:val="17"/>
                <w:color w:val="auto"/>
              </w:rPr>
              <w:t>Cancellation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07"/>
        </w:trPr>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Section 2.09</w:t>
            </w:r>
          </w:p>
        </w:tc>
        <w:tc>
          <w:tcPr>
            <w:tcW w:w="6940" w:type="dxa"/>
            <w:vAlign w:val="bottom"/>
          </w:tcPr>
          <w:p>
            <w:pPr>
              <w:ind w:left="1720"/>
              <w:spacing w:after="0"/>
              <w:rPr>
                <w:sz w:val="20"/>
                <w:szCs w:val="20"/>
                <w:color w:val="auto"/>
              </w:rPr>
            </w:pPr>
            <w:r>
              <w:rPr>
                <w:rFonts w:ascii="Times New Roman" w:cs="Times New Roman" w:eastAsia="Times New Roman" w:hAnsi="Times New Roman"/>
                <w:sz w:val="17"/>
                <w:szCs w:val="17"/>
                <w:color w:val="auto"/>
              </w:rPr>
              <w:t>Benefits of Indenture</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07"/>
        </w:trPr>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Section 2.10</w:t>
            </w:r>
          </w:p>
        </w:tc>
        <w:tc>
          <w:tcPr>
            <w:tcW w:w="6940" w:type="dxa"/>
            <w:vAlign w:val="bottom"/>
          </w:tcPr>
          <w:p>
            <w:pPr>
              <w:ind w:left="1720"/>
              <w:spacing w:after="0"/>
              <w:rPr>
                <w:sz w:val="20"/>
                <w:szCs w:val="20"/>
                <w:color w:val="auto"/>
              </w:rPr>
            </w:pPr>
            <w:r>
              <w:rPr>
                <w:rFonts w:ascii="Times New Roman" w:cs="Times New Roman" w:eastAsia="Times New Roman" w:hAnsi="Times New Roman"/>
                <w:sz w:val="17"/>
                <w:szCs w:val="17"/>
                <w:color w:val="auto"/>
              </w:rPr>
              <w:t>Authenticating Agent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07"/>
        </w:trPr>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Section 2.11</w:t>
            </w:r>
          </w:p>
        </w:tc>
        <w:tc>
          <w:tcPr>
            <w:tcW w:w="6940" w:type="dxa"/>
            <w:vAlign w:val="bottom"/>
          </w:tcPr>
          <w:p>
            <w:pPr>
              <w:ind w:left="1720"/>
              <w:spacing w:after="0"/>
              <w:rPr>
                <w:sz w:val="20"/>
                <w:szCs w:val="20"/>
                <w:color w:val="auto"/>
              </w:rPr>
            </w:pPr>
            <w:r>
              <w:rPr>
                <w:rFonts w:ascii="Times New Roman" w:cs="Times New Roman" w:eastAsia="Times New Roman" w:hAnsi="Times New Roman"/>
                <w:sz w:val="17"/>
                <w:szCs w:val="17"/>
                <w:color w:val="auto"/>
              </w:rPr>
              <w:t>Global Securities</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15"/>
        </w:trPr>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Section 2.12</w:t>
            </w:r>
          </w:p>
        </w:tc>
        <w:tc>
          <w:tcPr>
            <w:tcW w:w="6940" w:type="dxa"/>
            <w:vAlign w:val="bottom"/>
          </w:tcPr>
          <w:p>
            <w:pPr>
              <w:ind w:left="1720"/>
              <w:spacing w:after="0"/>
              <w:rPr>
                <w:sz w:val="20"/>
                <w:szCs w:val="20"/>
                <w:color w:val="auto"/>
              </w:rPr>
            </w:pPr>
            <w:r>
              <w:rPr>
                <w:rFonts w:ascii="Times New Roman" w:cs="Times New Roman" w:eastAsia="Times New Roman" w:hAnsi="Times New Roman"/>
                <w:sz w:val="17"/>
                <w:szCs w:val="17"/>
                <w:color w:val="auto"/>
              </w:rPr>
              <w:t>CUSIP Numbers</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331"/>
        </w:trPr>
        <w:tc>
          <w:tcPr>
            <w:tcW w:w="10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3 REDEMPTION OF SECURITIES AND SINKING FUND PROVISIONS</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322"/>
        </w:trPr>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Section 3.01</w:t>
            </w:r>
          </w:p>
        </w:tc>
        <w:tc>
          <w:tcPr>
            <w:tcW w:w="6940" w:type="dxa"/>
            <w:vAlign w:val="bottom"/>
          </w:tcPr>
          <w:p>
            <w:pPr>
              <w:ind w:left="1720"/>
              <w:spacing w:after="0"/>
              <w:rPr>
                <w:sz w:val="20"/>
                <w:szCs w:val="20"/>
                <w:color w:val="auto"/>
              </w:rPr>
            </w:pPr>
            <w:r>
              <w:rPr>
                <w:rFonts w:ascii="Times New Roman" w:cs="Times New Roman" w:eastAsia="Times New Roman" w:hAnsi="Times New Roman"/>
                <w:sz w:val="17"/>
                <w:szCs w:val="17"/>
                <w:color w:val="auto"/>
              </w:rPr>
              <w:t>Redemption</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07"/>
        </w:trPr>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Section 3.02</w:t>
            </w:r>
          </w:p>
        </w:tc>
        <w:tc>
          <w:tcPr>
            <w:tcW w:w="6940" w:type="dxa"/>
            <w:vAlign w:val="bottom"/>
          </w:tcPr>
          <w:p>
            <w:pPr>
              <w:ind w:left="1720"/>
              <w:spacing w:after="0"/>
              <w:rPr>
                <w:sz w:val="20"/>
                <w:szCs w:val="20"/>
                <w:color w:val="auto"/>
              </w:rPr>
            </w:pPr>
            <w:r>
              <w:rPr>
                <w:rFonts w:ascii="Times New Roman" w:cs="Times New Roman" w:eastAsia="Times New Roman" w:hAnsi="Times New Roman"/>
                <w:sz w:val="17"/>
                <w:szCs w:val="17"/>
                <w:color w:val="auto"/>
              </w:rPr>
              <w:t>Notice of Redemption</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07"/>
        </w:trPr>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Section 3.03</w:t>
            </w:r>
          </w:p>
        </w:tc>
        <w:tc>
          <w:tcPr>
            <w:tcW w:w="6940" w:type="dxa"/>
            <w:vAlign w:val="bottom"/>
          </w:tcPr>
          <w:p>
            <w:pPr>
              <w:ind w:left="1720"/>
              <w:spacing w:after="0"/>
              <w:rPr>
                <w:sz w:val="20"/>
                <w:szCs w:val="20"/>
                <w:color w:val="auto"/>
              </w:rPr>
            </w:pPr>
            <w:r>
              <w:rPr>
                <w:rFonts w:ascii="Times New Roman" w:cs="Times New Roman" w:eastAsia="Times New Roman" w:hAnsi="Times New Roman"/>
                <w:sz w:val="17"/>
                <w:szCs w:val="17"/>
                <w:color w:val="auto"/>
              </w:rPr>
              <w:t>Payment Upon Redemption</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07"/>
        </w:trPr>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Section 3.04</w:t>
            </w:r>
          </w:p>
        </w:tc>
        <w:tc>
          <w:tcPr>
            <w:tcW w:w="6940" w:type="dxa"/>
            <w:vAlign w:val="bottom"/>
          </w:tcPr>
          <w:p>
            <w:pPr>
              <w:ind w:left="1720"/>
              <w:spacing w:after="0"/>
              <w:rPr>
                <w:sz w:val="20"/>
                <w:szCs w:val="20"/>
                <w:color w:val="auto"/>
              </w:rPr>
            </w:pPr>
            <w:r>
              <w:rPr>
                <w:rFonts w:ascii="Times New Roman" w:cs="Times New Roman" w:eastAsia="Times New Roman" w:hAnsi="Times New Roman"/>
                <w:sz w:val="17"/>
                <w:szCs w:val="17"/>
                <w:color w:val="auto"/>
              </w:rPr>
              <w:t>Sinking Fund</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07"/>
        </w:trPr>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Section 3.05</w:t>
            </w:r>
          </w:p>
        </w:tc>
        <w:tc>
          <w:tcPr>
            <w:tcW w:w="6940" w:type="dxa"/>
            <w:vAlign w:val="bottom"/>
          </w:tcPr>
          <w:p>
            <w:pPr>
              <w:ind w:left="1720"/>
              <w:spacing w:after="0"/>
              <w:rPr>
                <w:sz w:val="20"/>
                <w:szCs w:val="20"/>
                <w:color w:val="auto"/>
              </w:rPr>
            </w:pPr>
            <w:r>
              <w:rPr>
                <w:rFonts w:ascii="Times New Roman" w:cs="Times New Roman" w:eastAsia="Times New Roman" w:hAnsi="Times New Roman"/>
                <w:sz w:val="17"/>
                <w:szCs w:val="17"/>
                <w:color w:val="auto"/>
              </w:rPr>
              <w:t>Satisfaction of Sinking Fund Payments with Securities</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15"/>
        </w:trPr>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Section 3.06</w:t>
            </w:r>
          </w:p>
        </w:tc>
        <w:tc>
          <w:tcPr>
            <w:tcW w:w="6940" w:type="dxa"/>
            <w:vAlign w:val="bottom"/>
          </w:tcPr>
          <w:p>
            <w:pPr>
              <w:ind w:left="1720"/>
              <w:spacing w:after="0"/>
              <w:rPr>
                <w:sz w:val="20"/>
                <w:szCs w:val="20"/>
                <w:color w:val="auto"/>
              </w:rPr>
            </w:pPr>
            <w:r>
              <w:rPr>
                <w:rFonts w:ascii="Times New Roman" w:cs="Times New Roman" w:eastAsia="Times New Roman" w:hAnsi="Times New Roman"/>
                <w:sz w:val="17"/>
                <w:szCs w:val="17"/>
                <w:color w:val="auto"/>
              </w:rPr>
              <w:t>Redemption of Securities for Sinking Fund</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331"/>
        </w:trPr>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ARTICLE 4 COVENANTS</w:t>
            </w:r>
          </w:p>
        </w:tc>
        <w:tc>
          <w:tcPr>
            <w:tcW w:w="69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364"/>
        </w:trPr>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Section 4.01</w:t>
            </w:r>
          </w:p>
        </w:tc>
        <w:tc>
          <w:tcPr>
            <w:tcW w:w="6940" w:type="dxa"/>
            <w:vAlign w:val="bottom"/>
          </w:tcPr>
          <w:p>
            <w:pPr>
              <w:ind w:left="1720"/>
              <w:spacing w:after="0"/>
              <w:rPr>
                <w:sz w:val="20"/>
                <w:szCs w:val="20"/>
                <w:color w:val="auto"/>
              </w:rPr>
            </w:pPr>
            <w:r>
              <w:rPr>
                <w:rFonts w:ascii="Times New Roman" w:cs="Times New Roman" w:eastAsia="Times New Roman" w:hAnsi="Times New Roman"/>
                <w:sz w:val="17"/>
                <w:szCs w:val="17"/>
                <w:color w:val="auto"/>
              </w:rPr>
              <w:t>Payment of Principal, Premium and Interest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07"/>
        </w:trPr>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Section 4.02</w:t>
            </w:r>
          </w:p>
        </w:tc>
        <w:tc>
          <w:tcPr>
            <w:tcW w:w="6940" w:type="dxa"/>
            <w:vAlign w:val="bottom"/>
          </w:tcPr>
          <w:p>
            <w:pPr>
              <w:ind w:left="1720"/>
              <w:spacing w:after="0"/>
              <w:rPr>
                <w:sz w:val="20"/>
                <w:szCs w:val="20"/>
                <w:color w:val="auto"/>
              </w:rPr>
            </w:pPr>
            <w:r>
              <w:rPr>
                <w:rFonts w:ascii="Times New Roman" w:cs="Times New Roman" w:eastAsia="Times New Roman" w:hAnsi="Times New Roman"/>
                <w:sz w:val="17"/>
                <w:szCs w:val="17"/>
                <w:color w:val="auto"/>
              </w:rPr>
              <w:t>Maintenance of Office or Agency</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07"/>
        </w:trPr>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Section 4.03</w:t>
            </w:r>
          </w:p>
        </w:tc>
        <w:tc>
          <w:tcPr>
            <w:tcW w:w="6940" w:type="dxa"/>
            <w:vAlign w:val="bottom"/>
          </w:tcPr>
          <w:p>
            <w:pPr>
              <w:ind w:left="1720"/>
              <w:spacing w:after="0"/>
              <w:rPr>
                <w:sz w:val="20"/>
                <w:szCs w:val="20"/>
                <w:color w:val="auto"/>
              </w:rPr>
            </w:pPr>
            <w:r>
              <w:rPr>
                <w:rFonts w:ascii="Times New Roman" w:cs="Times New Roman" w:eastAsia="Times New Roman" w:hAnsi="Times New Roman"/>
                <w:sz w:val="17"/>
                <w:szCs w:val="17"/>
                <w:color w:val="auto"/>
              </w:rPr>
              <w:t>Paying Agents</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15"/>
        </w:trPr>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Section 4.04</w:t>
            </w:r>
          </w:p>
        </w:tc>
        <w:tc>
          <w:tcPr>
            <w:tcW w:w="6940" w:type="dxa"/>
            <w:vAlign w:val="bottom"/>
          </w:tcPr>
          <w:p>
            <w:pPr>
              <w:ind w:left="1720"/>
              <w:spacing w:after="0"/>
              <w:rPr>
                <w:sz w:val="20"/>
                <w:szCs w:val="20"/>
                <w:color w:val="auto"/>
              </w:rPr>
            </w:pPr>
            <w:r>
              <w:rPr>
                <w:rFonts w:ascii="Times New Roman" w:cs="Times New Roman" w:eastAsia="Times New Roman" w:hAnsi="Times New Roman"/>
                <w:sz w:val="17"/>
                <w:szCs w:val="17"/>
                <w:color w:val="auto"/>
              </w:rPr>
              <w:t>Appointment to Fill Vacancy in Office of Trustee</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322"/>
        </w:trPr>
        <w:tc>
          <w:tcPr>
            <w:tcW w:w="10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5 SECURITYHOLDERS’ LISTS AND REPORTS BY THE COMPANY AND THE TRUSTEE</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07"/>
        </w:trPr>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Section 5.01</w:t>
            </w:r>
          </w:p>
        </w:tc>
        <w:tc>
          <w:tcPr>
            <w:tcW w:w="6940" w:type="dxa"/>
            <w:vAlign w:val="bottom"/>
          </w:tcPr>
          <w:p>
            <w:pPr>
              <w:ind w:left="1720"/>
              <w:spacing w:after="0"/>
              <w:rPr>
                <w:sz w:val="20"/>
                <w:szCs w:val="20"/>
                <w:color w:val="auto"/>
              </w:rPr>
            </w:pPr>
            <w:r>
              <w:rPr>
                <w:rFonts w:ascii="Times New Roman" w:cs="Times New Roman" w:eastAsia="Times New Roman" w:hAnsi="Times New Roman"/>
                <w:sz w:val="17"/>
                <w:szCs w:val="17"/>
                <w:color w:val="auto"/>
              </w:rPr>
              <w:t>Company to Furnish Trustee Names and Addresses of Securityholders</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07"/>
        </w:trPr>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Section 5.02</w:t>
            </w:r>
          </w:p>
        </w:tc>
        <w:tc>
          <w:tcPr>
            <w:tcW w:w="6940" w:type="dxa"/>
            <w:vAlign w:val="bottom"/>
          </w:tcPr>
          <w:p>
            <w:pPr>
              <w:ind w:left="1720"/>
              <w:spacing w:after="0"/>
              <w:rPr>
                <w:sz w:val="20"/>
                <w:szCs w:val="20"/>
                <w:color w:val="auto"/>
              </w:rPr>
            </w:pPr>
            <w:r>
              <w:rPr>
                <w:rFonts w:ascii="Times New Roman" w:cs="Times New Roman" w:eastAsia="Times New Roman" w:hAnsi="Times New Roman"/>
                <w:sz w:val="17"/>
                <w:szCs w:val="17"/>
                <w:color w:val="auto"/>
              </w:rPr>
              <w:t>Preservation Of Information; Communications With Securityholders</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07"/>
        </w:trPr>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Section 5.03</w:t>
            </w:r>
          </w:p>
        </w:tc>
        <w:tc>
          <w:tcPr>
            <w:tcW w:w="6940" w:type="dxa"/>
            <w:vAlign w:val="bottom"/>
          </w:tcPr>
          <w:p>
            <w:pPr>
              <w:ind w:left="1720"/>
              <w:spacing w:after="0"/>
              <w:rPr>
                <w:sz w:val="20"/>
                <w:szCs w:val="20"/>
                <w:color w:val="auto"/>
              </w:rPr>
            </w:pPr>
            <w:r>
              <w:rPr>
                <w:rFonts w:ascii="Times New Roman" w:cs="Times New Roman" w:eastAsia="Times New Roman" w:hAnsi="Times New Roman"/>
                <w:sz w:val="17"/>
                <w:szCs w:val="17"/>
                <w:color w:val="auto"/>
              </w:rPr>
              <w:t>Reports by the Company</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15"/>
        </w:trPr>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Section 5.04</w:t>
            </w:r>
          </w:p>
        </w:tc>
        <w:tc>
          <w:tcPr>
            <w:tcW w:w="6940" w:type="dxa"/>
            <w:vAlign w:val="bottom"/>
          </w:tcPr>
          <w:p>
            <w:pPr>
              <w:ind w:left="1720"/>
              <w:spacing w:after="0"/>
              <w:rPr>
                <w:sz w:val="20"/>
                <w:szCs w:val="20"/>
                <w:color w:val="auto"/>
              </w:rPr>
            </w:pPr>
            <w:r>
              <w:rPr>
                <w:rFonts w:ascii="Times New Roman" w:cs="Times New Roman" w:eastAsia="Times New Roman" w:hAnsi="Times New Roman"/>
                <w:sz w:val="17"/>
                <w:szCs w:val="17"/>
                <w:color w:val="auto"/>
              </w:rPr>
              <w:t>Reports by the Trustee</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i</w:t>
      </w:r>
    </w:p>
    <w:p>
      <w:pPr>
        <w:sectPr>
          <w:pgSz w:w="11900" w:h="16838" w:orient="portrait"/>
          <w:cols w:equalWidth="0" w:num="1">
            <w:col w:w="11260"/>
          </w:cols>
          <w:pgMar w:left="320" w:top="125" w:right="31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15"/>
        </w:trPr>
        <w:tc>
          <w:tcPr>
            <w:tcW w:w="9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6 REMEDIES OF THE TRUSTEE AND SECURITYHOLDERS ON EVENT OF DEFAULT</w:t>
            </w:r>
          </w:p>
        </w:tc>
        <w:tc>
          <w:tcPr>
            <w:tcW w:w="2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364"/>
        </w:trPr>
        <w:tc>
          <w:tcPr>
            <w:tcW w:w="1380" w:type="dxa"/>
            <w:vAlign w:val="bottom"/>
          </w:tcPr>
          <w:p>
            <w:pPr>
              <w:spacing w:after="0"/>
              <w:rPr>
                <w:sz w:val="20"/>
                <w:szCs w:val="20"/>
                <w:color w:val="auto"/>
              </w:rPr>
            </w:pPr>
            <w:r>
              <w:rPr>
                <w:rFonts w:ascii="Times New Roman" w:cs="Times New Roman" w:eastAsia="Times New Roman" w:hAnsi="Times New Roman"/>
                <w:sz w:val="17"/>
                <w:szCs w:val="17"/>
                <w:color w:val="auto"/>
              </w:rPr>
              <w:t>Section 6.01</w:t>
            </w:r>
          </w:p>
        </w:tc>
        <w:tc>
          <w:tcPr>
            <w:tcW w:w="76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Events of Default</w:t>
            </w:r>
          </w:p>
        </w:tc>
        <w:tc>
          <w:tcPr>
            <w:tcW w:w="2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07"/>
        </w:trPr>
        <w:tc>
          <w:tcPr>
            <w:tcW w:w="1380" w:type="dxa"/>
            <w:vAlign w:val="bottom"/>
          </w:tcPr>
          <w:p>
            <w:pPr>
              <w:spacing w:after="0"/>
              <w:rPr>
                <w:sz w:val="20"/>
                <w:szCs w:val="20"/>
                <w:color w:val="auto"/>
              </w:rPr>
            </w:pPr>
            <w:r>
              <w:rPr>
                <w:rFonts w:ascii="Times New Roman" w:cs="Times New Roman" w:eastAsia="Times New Roman" w:hAnsi="Times New Roman"/>
                <w:sz w:val="17"/>
                <w:szCs w:val="17"/>
                <w:color w:val="auto"/>
              </w:rPr>
              <w:t>Section 6.02</w:t>
            </w:r>
          </w:p>
        </w:tc>
        <w:tc>
          <w:tcPr>
            <w:tcW w:w="76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Collection of Indebtedness and Suits for Enforcement by Trustee</w:t>
            </w:r>
          </w:p>
        </w:tc>
        <w:tc>
          <w:tcPr>
            <w:tcW w:w="2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07"/>
        </w:trPr>
        <w:tc>
          <w:tcPr>
            <w:tcW w:w="1380" w:type="dxa"/>
            <w:vAlign w:val="bottom"/>
          </w:tcPr>
          <w:p>
            <w:pPr>
              <w:spacing w:after="0"/>
              <w:rPr>
                <w:sz w:val="20"/>
                <w:szCs w:val="20"/>
                <w:color w:val="auto"/>
              </w:rPr>
            </w:pPr>
            <w:r>
              <w:rPr>
                <w:rFonts w:ascii="Times New Roman" w:cs="Times New Roman" w:eastAsia="Times New Roman" w:hAnsi="Times New Roman"/>
                <w:sz w:val="17"/>
                <w:szCs w:val="17"/>
                <w:color w:val="auto"/>
              </w:rPr>
              <w:t>Section 6.03</w:t>
            </w:r>
          </w:p>
        </w:tc>
        <w:tc>
          <w:tcPr>
            <w:tcW w:w="76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Application of Moneys Collected</w:t>
            </w:r>
          </w:p>
        </w:tc>
        <w:tc>
          <w:tcPr>
            <w:tcW w:w="2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07"/>
        </w:trPr>
        <w:tc>
          <w:tcPr>
            <w:tcW w:w="1380" w:type="dxa"/>
            <w:vAlign w:val="bottom"/>
          </w:tcPr>
          <w:p>
            <w:pPr>
              <w:spacing w:after="0"/>
              <w:rPr>
                <w:sz w:val="20"/>
                <w:szCs w:val="20"/>
                <w:color w:val="auto"/>
              </w:rPr>
            </w:pPr>
            <w:r>
              <w:rPr>
                <w:rFonts w:ascii="Times New Roman" w:cs="Times New Roman" w:eastAsia="Times New Roman" w:hAnsi="Times New Roman"/>
                <w:sz w:val="17"/>
                <w:szCs w:val="17"/>
                <w:color w:val="auto"/>
              </w:rPr>
              <w:t>Section 6.04</w:t>
            </w:r>
          </w:p>
        </w:tc>
        <w:tc>
          <w:tcPr>
            <w:tcW w:w="76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Limitation on Suits</w:t>
            </w:r>
          </w:p>
        </w:tc>
        <w:tc>
          <w:tcPr>
            <w:tcW w:w="2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07"/>
        </w:trPr>
        <w:tc>
          <w:tcPr>
            <w:tcW w:w="1380" w:type="dxa"/>
            <w:vAlign w:val="bottom"/>
          </w:tcPr>
          <w:p>
            <w:pPr>
              <w:spacing w:after="0"/>
              <w:rPr>
                <w:sz w:val="20"/>
                <w:szCs w:val="20"/>
                <w:color w:val="auto"/>
              </w:rPr>
            </w:pPr>
            <w:r>
              <w:rPr>
                <w:rFonts w:ascii="Times New Roman" w:cs="Times New Roman" w:eastAsia="Times New Roman" w:hAnsi="Times New Roman"/>
                <w:sz w:val="17"/>
                <w:szCs w:val="17"/>
                <w:color w:val="auto"/>
              </w:rPr>
              <w:t>Section 6.05</w:t>
            </w:r>
          </w:p>
        </w:tc>
        <w:tc>
          <w:tcPr>
            <w:tcW w:w="76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Rights and Remedies Cumulative; Delay or Omission Not Waiver</w:t>
            </w:r>
          </w:p>
        </w:tc>
        <w:tc>
          <w:tcPr>
            <w:tcW w:w="2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07"/>
        </w:trPr>
        <w:tc>
          <w:tcPr>
            <w:tcW w:w="1380" w:type="dxa"/>
            <w:vAlign w:val="bottom"/>
          </w:tcPr>
          <w:p>
            <w:pPr>
              <w:spacing w:after="0"/>
              <w:rPr>
                <w:sz w:val="20"/>
                <w:szCs w:val="20"/>
                <w:color w:val="auto"/>
              </w:rPr>
            </w:pPr>
            <w:r>
              <w:rPr>
                <w:rFonts w:ascii="Times New Roman" w:cs="Times New Roman" w:eastAsia="Times New Roman" w:hAnsi="Times New Roman"/>
                <w:sz w:val="17"/>
                <w:szCs w:val="17"/>
                <w:color w:val="auto"/>
              </w:rPr>
              <w:t>Section 6.06</w:t>
            </w:r>
          </w:p>
        </w:tc>
        <w:tc>
          <w:tcPr>
            <w:tcW w:w="76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Control by Securityholders</w:t>
            </w:r>
          </w:p>
        </w:tc>
        <w:tc>
          <w:tcPr>
            <w:tcW w:w="2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15"/>
        </w:trPr>
        <w:tc>
          <w:tcPr>
            <w:tcW w:w="1380" w:type="dxa"/>
            <w:vAlign w:val="bottom"/>
          </w:tcPr>
          <w:p>
            <w:pPr>
              <w:spacing w:after="0"/>
              <w:rPr>
                <w:sz w:val="20"/>
                <w:szCs w:val="20"/>
                <w:color w:val="auto"/>
              </w:rPr>
            </w:pPr>
            <w:r>
              <w:rPr>
                <w:rFonts w:ascii="Times New Roman" w:cs="Times New Roman" w:eastAsia="Times New Roman" w:hAnsi="Times New Roman"/>
                <w:sz w:val="17"/>
                <w:szCs w:val="17"/>
                <w:color w:val="auto"/>
              </w:rPr>
              <w:t>Section 6.07</w:t>
            </w:r>
          </w:p>
        </w:tc>
        <w:tc>
          <w:tcPr>
            <w:tcW w:w="76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Undertaking to Pay Costs</w:t>
            </w:r>
          </w:p>
        </w:tc>
        <w:tc>
          <w:tcPr>
            <w:tcW w:w="2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372"/>
        </w:trPr>
        <w:tc>
          <w:tcPr>
            <w:tcW w:w="9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7 CONCERNING THE TRUSTEE</w:t>
            </w:r>
          </w:p>
        </w:tc>
        <w:tc>
          <w:tcPr>
            <w:tcW w:w="2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364"/>
        </w:trPr>
        <w:tc>
          <w:tcPr>
            <w:tcW w:w="1380" w:type="dxa"/>
            <w:vAlign w:val="bottom"/>
          </w:tcPr>
          <w:p>
            <w:pPr>
              <w:spacing w:after="0"/>
              <w:rPr>
                <w:sz w:val="20"/>
                <w:szCs w:val="20"/>
                <w:color w:val="auto"/>
              </w:rPr>
            </w:pPr>
            <w:r>
              <w:rPr>
                <w:rFonts w:ascii="Times New Roman" w:cs="Times New Roman" w:eastAsia="Times New Roman" w:hAnsi="Times New Roman"/>
                <w:sz w:val="17"/>
                <w:szCs w:val="17"/>
                <w:color w:val="auto"/>
              </w:rPr>
              <w:t>Section 7.01</w:t>
            </w:r>
          </w:p>
        </w:tc>
        <w:tc>
          <w:tcPr>
            <w:tcW w:w="76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Certain Duties and Responsibilities of Trustee</w:t>
            </w:r>
          </w:p>
        </w:tc>
        <w:tc>
          <w:tcPr>
            <w:tcW w:w="2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07"/>
        </w:trPr>
        <w:tc>
          <w:tcPr>
            <w:tcW w:w="1380" w:type="dxa"/>
            <w:vAlign w:val="bottom"/>
          </w:tcPr>
          <w:p>
            <w:pPr>
              <w:spacing w:after="0"/>
              <w:rPr>
                <w:sz w:val="20"/>
                <w:szCs w:val="20"/>
                <w:color w:val="auto"/>
              </w:rPr>
            </w:pPr>
            <w:r>
              <w:rPr>
                <w:rFonts w:ascii="Times New Roman" w:cs="Times New Roman" w:eastAsia="Times New Roman" w:hAnsi="Times New Roman"/>
                <w:sz w:val="17"/>
                <w:szCs w:val="17"/>
                <w:color w:val="auto"/>
              </w:rPr>
              <w:t>Section 7.02</w:t>
            </w:r>
          </w:p>
        </w:tc>
        <w:tc>
          <w:tcPr>
            <w:tcW w:w="76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Certain Rights of Trustee</w:t>
            </w:r>
          </w:p>
        </w:tc>
        <w:tc>
          <w:tcPr>
            <w:tcW w:w="2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07"/>
        </w:trPr>
        <w:tc>
          <w:tcPr>
            <w:tcW w:w="1380" w:type="dxa"/>
            <w:vAlign w:val="bottom"/>
          </w:tcPr>
          <w:p>
            <w:pPr>
              <w:spacing w:after="0"/>
              <w:rPr>
                <w:sz w:val="20"/>
                <w:szCs w:val="20"/>
                <w:color w:val="auto"/>
              </w:rPr>
            </w:pPr>
            <w:r>
              <w:rPr>
                <w:rFonts w:ascii="Times New Roman" w:cs="Times New Roman" w:eastAsia="Times New Roman" w:hAnsi="Times New Roman"/>
                <w:sz w:val="17"/>
                <w:szCs w:val="17"/>
                <w:color w:val="auto"/>
              </w:rPr>
              <w:t>Section 7.03</w:t>
            </w:r>
          </w:p>
        </w:tc>
        <w:tc>
          <w:tcPr>
            <w:tcW w:w="76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Trustee Not Responsible for Recitals or Issuance or Securities</w:t>
            </w:r>
          </w:p>
        </w:tc>
        <w:tc>
          <w:tcPr>
            <w:tcW w:w="2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07"/>
        </w:trPr>
        <w:tc>
          <w:tcPr>
            <w:tcW w:w="1380" w:type="dxa"/>
            <w:vAlign w:val="bottom"/>
          </w:tcPr>
          <w:p>
            <w:pPr>
              <w:spacing w:after="0"/>
              <w:rPr>
                <w:sz w:val="20"/>
                <w:szCs w:val="20"/>
                <w:color w:val="auto"/>
              </w:rPr>
            </w:pPr>
            <w:r>
              <w:rPr>
                <w:rFonts w:ascii="Times New Roman" w:cs="Times New Roman" w:eastAsia="Times New Roman" w:hAnsi="Times New Roman"/>
                <w:sz w:val="17"/>
                <w:szCs w:val="17"/>
                <w:color w:val="auto"/>
              </w:rPr>
              <w:t>Section 7.04</w:t>
            </w:r>
          </w:p>
        </w:tc>
        <w:tc>
          <w:tcPr>
            <w:tcW w:w="76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May Hold Securities</w:t>
            </w:r>
          </w:p>
        </w:tc>
        <w:tc>
          <w:tcPr>
            <w:tcW w:w="2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07"/>
        </w:trPr>
        <w:tc>
          <w:tcPr>
            <w:tcW w:w="1380" w:type="dxa"/>
            <w:vAlign w:val="bottom"/>
          </w:tcPr>
          <w:p>
            <w:pPr>
              <w:spacing w:after="0"/>
              <w:rPr>
                <w:sz w:val="20"/>
                <w:szCs w:val="20"/>
                <w:color w:val="auto"/>
              </w:rPr>
            </w:pPr>
            <w:r>
              <w:rPr>
                <w:rFonts w:ascii="Times New Roman" w:cs="Times New Roman" w:eastAsia="Times New Roman" w:hAnsi="Times New Roman"/>
                <w:sz w:val="17"/>
                <w:szCs w:val="17"/>
                <w:color w:val="auto"/>
              </w:rPr>
              <w:t>Section 7.05</w:t>
            </w:r>
          </w:p>
        </w:tc>
        <w:tc>
          <w:tcPr>
            <w:tcW w:w="76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Moneys Held in Trust</w:t>
            </w:r>
          </w:p>
        </w:tc>
        <w:tc>
          <w:tcPr>
            <w:tcW w:w="2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07"/>
        </w:trPr>
        <w:tc>
          <w:tcPr>
            <w:tcW w:w="1380" w:type="dxa"/>
            <w:vAlign w:val="bottom"/>
          </w:tcPr>
          <w:p>
            <w:pPr>
              <w:spacing w:after="0"/>
              <w:rPr>
                <w:sz w:val="20"/>
                <w:szCs w:val="20"/>
                <w:color w:val="auto"/>
              </w:rPr>
            </w:pPr>
            <w:r>
              <w:rPr>
                <w:rFonts w:ascii="Times New Roman" w:cs="Times New Roman" w:eastAsia="Times New Roman" w:hAnsi="Times New Roman"/>
                <w:sz w:val="17"/>
                <w:szCs w:val="17"/>
                <w:color w:val="auto"/>
              </w:rPr>
              <w:t>Section 7.06</w:t>
            </w:r>
          </w:p>
        </w:tc>
        <w:tc>
          <w:tcPr>
            <w:tcW w:w="76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Compensation and Reimbursement</w:t>
            </w:r>
          </w:p>
        </w:tc>
        <w:tc>
          <w:tcPr>
            <w:tcW w:w="2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07"/>
        </w:trPr>
        <w:tc>
          <w:tcPr>
            <w:tcW w:w="1380" w:type="dxa"/>
            <w:vAlign w:val="bottom"/>
          </w:tcPr>
          <w:p>
            <w:pPr>
              <w:spacing w:after="0"/>
              <w:rPr>
                <w:sz w:val="20"/>
                <w:szCs w:val="20"/>
                <w:color w:val="auto"/>
              </w:rPr>
            </w:pPr>
            <w:r>
              <w:rPr>
                <w:rFonts w:ascii="Times New Roman" w:cs="Times New Roman" w:eastAsia="Times New Roman" w:hAnsi="Times New Roman"/>
                <w:sz w:val="17"/>
                <w:szCs w:val="17"/>
                <w:color w:val="auto"/>
              </w:rPr>
              <w:t>Section 7.07</w:t>
            </w:r>
          </w:p>
        </w:tc>
        <w:tc>
          <w:tcPr>
            <w:tcW w:w="76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Reliance on Officer’s Certificate</w:t>
            </w:r>
          </w:p>
        </w:tc>
        <w:tc>
          <w:tcPr>
            <w:tcW w:w="2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07"/>
        </w:trPr>
        <w:tc>
          <w:tcPr>
            <w:tcW w:w="1380" w:type="dxa"/>
            <w:vAlign w:val="bottom"/>
          </w:tcPr>
          <w:p>
            <w:pPr>
              <w:spacing w:after="0"/>
              <w:rPr>
                <w:sz w:val="20"/>
                <w:szCs w:val="20"/>
                <w:color w:val="auto"/>
              </w:rPr>
            </w:pPr>
            <w:r>
              <w:rPr>
                <w:rFonts w:ascii="Times New Roman" w:cs="Times New Roman" w:eastAsia="Times New Roman" w:hAnsi="Times New Roman"/>
                <w:sz w:val="17"/>
                <w:szCs w:val="17"/>
                <w:color w:val="auto"/>
              </w:rPr>
              <w:t>Section 7.08</w:t>
            </w:r>
          </w:p>
        </w:tc>
        <w:tc>
          <w:tcPr>
            <w:tcW w:w="76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Disqualification; Conflicting Interests</w:t>
            </w:r>
          </w:p>
        </w:tc>
        <w:tc>
          <w:tcPr>
            <w:tcW w:w="2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07"/>
        </w:trPr>
        <w:tc>
          <w:tcPr>
            <w:tcW w:w="1380" w:type="dxa"/>
            <w:vAlign w:val="bottom"/>
          </w:tcPr>
          <w:p>
            <w:pPr>
              <w:spacing w:after="0"/>
              <w:rPr>
                <w:sz w:val="20"/>
                <w:szCs w:val="20"/>
                <w:color w:val="auto"/>
              </w:rPr>
            </w:pPr>
            <w:r>
              <w:rPr>
                <w:rFonts w:ascii="Times New Roman" w:cs="Times New Roman" w:eastAsia="Times New Roman" w:hAnsi="Times New Roman"/>
                <w:sz w:val="17"/>
                <w:szCs w:val="17"/>
                <w:color w:val="auto"/>
              </w:rPr>
              <w:t>Section 7.09</w:t>
            </w:r>
          </w:p>
        </w:tc>
        <w:tc>
          <w:tcPr>
            <w:tcW w:w="76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Corporate Trustee Required; Eligibility</w:t>
            </w:r>
          </w:p>
        </w:tc>
        <w:tc>
          <w:tcPr>
            <w:tcW w:w="2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07"/>
        </w:trPr>
        <w:tc>
          <w:tcPr>
            <w:tcW w:w="1380" w:type="dxa"/>
            <w:vAlign w:val="bottom"/>
          </w:tcPr>
          <w:p>
            <w:pPr>
              <w:spacing w:after="0"/>
              <w:rPr>
                <w:sz w:val="20"/>
                <w:szCs w:val="20"/>
                <w:color w:val="auto"/>
              </w:rPr>
            </w:pPr>
            <w:r>
              <w:rPr>
                <w:rFonts w:ascii="Times New Roman" w:cs="Times New Roman" w:eastAsia="Times New Roman" w:hAnsi="Times New Roman"/>
                <w:sz w:val="17"/>
                <w:szCs w:val="17"/>
                <w:color w:val="auto"/>
              </w:rPr>
              <w:t>Section 7.10</w:t>
            </w:r>
          </w:p>
        </w:tc>
        <w:tc>
          <w:tcPr>
            <w:tcW w:w="76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Resignation and Removal; Appointment of Successor</w:t>
            </w:r>
          </w:p>
        </w:tc>
        <w:tc>
          <w:tcPr>
            <w:tcW w:w="2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07"/>
        </w:trPr>
        <w:tc>
          <w:tcPr>
            <w:tcW w:w="1380" w:type="dxa"/>
            <w:vAlign w:val="bottom"/>
          </w:tcPr>
          <w:p>
            <w:pPr>
              <w:spacing w:after="0"/>
              <w:rPr>
                <w:sz w:val="20"/>
                <w:szCs w:val="20"/>
                <w:color w:val="auto"/>
              </w:rPr>
            </w:pPr>
            <w:r>
              <w:rPr>
                <w:rFonts w:ascii="Times New Roman" w:cs="Times New Roman" w:eastAsia="Times New Roman" w:hAnsi="Times New Roman"/>
                <w:sz w:val="17"/>
                <w:szCs w:val="17"/>
                <w:color w:val="auto"/>
              </w:rPr>
              <w:t>Section 7.11</w:t>
            </w:r>
          </w:p>
        </w:tc>
        <w:tc>
          <w:tcPr>
            <w:tcW w:w="76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Acceptance of Appointment By Successor</w:t>
            </w:r>
          </w:p>
        </w:tc>
        <w:tc>
          <w:tcPr>
            <w:tcW w:w="2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07"/>
        </w:trPr>
        <w:tc>
          <w:tcPr>
            <w:tcW w:w="1380" w:type="dxa"/>
            <w:vAlign w:val="bottom"/>
          </w:tcPr>
          <w:p>
            <w:pPr>
              <w:spacing w:after="0"/>
              <w:rPr>
                <w:sz w:val="20"/>
                <w:szCs w:val="20"/>
                <w:color w:val="auto"/>
              </w:rPr>
            </w:pPr>
            <w:r>
              <w:rPr>
                <w:rFonts w:ascii="Times New Roman" w:cs="Times New Roman" w:eastAsia="Times New Roman" w:hAnsi="Times New Roman"/>
                <w:sz w:val="17"/>
                <w:szCs w:val="17"/>
                <w:color w:val="auto"/>
              </w:rPr>
              <w:t>Section 7.12</w:t>
            </w:r>
          </w:p>
        </w:tc>
        <w:tc>
          <w:tcPr>
            <w:tcW w:w="76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Merger, Conversion, Consolidation or Succession to Business</w:t>
            </w:r>
          </w:p>
        </w:tc>
        <w:tc>
          <w:tcPr>
            <w:tcW w:w="2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07"/>
        </w:trPr>
        <w:tc>
          <w:tcPr>
            <w:tcW w:w="1380" w:type="dxa"/>
            <w:vAlign w:val="bottom"/>
          </w:tcPr>
          <w:p>
            <w:pPr>
              <w:spacing w:after="0"/>
              <w:rPr>
                <w:sz w:val="20"/>
                <w:szCs w:val="20"/>
                <w:color w:val="auto"/>
              </w:rPr>
            </w:pPr>
            <w:r>
              <w:rPr>
                <w:rFonts w:ascii="Times New Roman" w:cs="Times New Roman" w:eastAsia="Times New Roman" w:hAnsi="Times New Roman"/>
                <w:sz w:val="17"/>
                <w:szCs w:val="17"/>
                <w:color w:val="auto"/>
              </w:rPr>
              <w:t>Section 7.13</w:t>
            </w:r>
          </w:p>
        </w:tc>
        <w:tc>
          <w:tcPr>
            <w:tcW w:w="76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Preferential Collection of Claims Against the Company</w:t>
            </w:r>
          </w:p>
        </w:tc>
        <w:tc>
          <w:tcPr>
            <w:tcW w:w="2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15"/>
        </w:trPr>
        <w:tc>
          <w:tcPr>
            <w:tcW w:w="1380" w:type="dxa"/>
            <w:vAlign w:val="bottom"/>
          </w:tcPr>
          <w:p>
            <w:pPr>
              <w:spacing w:after="0"/>
              <w:rPr>
                <w:sz w:val="20"/>
                <w:szCs w:val="20"/>
                <w:color w:val="auto"/>
              </w:rPr>
            </w:pPr>
            <w:r>
              <w:rPr>
                <w:rFonts w:ascii="Times New Roman" w:cs="Times New Roman" w:eastAsia="Times New Roman" w:hAnsi="Times New Roman"/>
                <w:sz w:val="17"/>
                <w:szCs w:val="17"/>
                <w:color w:val="auto"/>
              </w:rPr>
              <w:t>Section 7.14</w:t>
            </w:r>
          </w:p>
        </w:tc>
        <w:tc>
          <w:tcPr>
            <w:tcW w:w="76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Notice of Default</w:t>
            </w:r>
          </w:p>
        </w:tc>
        <w:tc>
          <w:tcPr>
            <w:tcW w:w="2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372"/>
        </w:trPr>
        <w:tc>
          <w:tcPr>
            <w:tcW w:w="9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8 CONCERNING THE SECURITYHOLDERS</w:t>
            </w:r>
          </w:p>
        </w:tc>
        <w:tc>
          <w:tcPr>
            <w:tcW w:w="2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364"/>
        </w:trPr>
        <w:tc>
          <w:tcPr>
            <w:tcW w:w="1380" w:type="dxa"/>
            <w:vAlign w:val="bottom"/>
          </w:tcPr>
          <w:p>
            <w:pPr>
              <w:spacing w:after="0"/>
              <w:rPr>
                <w:sz w:val="20"/>
                <w:szCs w:val="20"/>
                <w:color w:val="auto"/>
              </w:rPr>
            </w:pPr>
            <w:r>
              <w:rPr>
                <w:rFonts w:ascii="Times New Roman" w:cs="Times New Roman" w:eastAsia="Times New Roman" w:hAnsi="Times New Roman"/>
                <w:sz w:val="17"/>
                <w:szCs w:val="17"/>
                <w:color w:val="auto"/>
              </w:rPr>
              <w:t>Section 8.01</w:t>
            </w:r>
          </w:p>
        </w:tc>
        <w:tc>
          <w:tcPr>
            <w:tcW w:w="76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Evidence of Action by Securityholders</w:t>
            </w:r>
          </w:p>
        </w:tc>
        <w:tc>
          <w:tcPr>
            <w:tcW w:w="2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07"/>
        </w:trPr>
        <w:tc>
          <w:tcPr>
            <w:tcW w:w="1380" w:type="dxa"/>
            <w:vAlign w:val="bottom"/>
          </w:tcPr>
          <w:p>
            <w:pPr>
              <w:spacing w:after="0"/>
              <w:rPr>
                <w:sz w:val="20"/>
                <w:szCs w:val="20"/>
                <w:color w:val="auto"/>
              </w:rPr>
            </w:pPr>
            <w:r>
              <w:rPr>
                <w:rFonts w:ascii="Times New Roman" w:cs="Times New Roman" w:eastAsia="Times New Roman" w:hAnsi="Times New Roman"/>
                <w:sz w:val="17"/>
                <w:szCs w:val="17"/>
                <w:color w:val="auto"/>
              </w:rPr>
              <w:t>Section 8.02</w:t>
            </w:r>
          </w:p>
        </w:tc>
        <w:tc>
          <w:tcPr>
            <w:tcW w:w="76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Proof of Execution by Securityholders</w:t>
            </w:r>
          </w:p>
        </w:tc>
        <w:tc>
          <w:tcPr>
            <w:tcW w:w="2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07"/>
        </w:trPr>
        <w:tc>
          <w:tcPr>
            <w:tcW w:w="1380" w:type="dxa"/>
            <w:vAlign w:val="bottom"/>
          </w:tcPr>
          <w:p>
            <w:pPr>
              <w:spacing w:after="0"/>
              <w:rPr>
                <w:sz w:val="20"/>
                <w:szCs w:val="20"/>
                <w:color w:val="auto"/>
              </w:rPr>
            </w:pPr>
            <w:r>
              <w:rPr>
                <w:rFonts w:ascii="Times New Roman" w:cs="Times New Roman" w:eastAsia="Times New Roman" w:hAnsi="Times New Roman"/>
                <w:sz w:val="17"/>
                <w:szCs w:val="17"/>
                <w:color w:val="auto"/>
              </w:rPr>
              <w:t>Section 8.03</w:t>
            </w:r>
          </w:p>
        </w:tc>
        <w:tc>
          <w:tcPr>
            <w:tcW w:w="76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Who May be Deemed Owners</w:t>
            </w:r>
          </w:p>
        </w:tc>
        <w:tc>
          <w:tcPr>
            <w:tcW w:w="2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07"/>
        </w:trPr>
        <w:tc>
          <w:tcPr>
            <w:tcW w:w="1380" w:type="dxa"/>
            <w:vAlign w:val="bottom"/>
          </w:tcPr>
          <w:p>
            <w:pPr>
              <w:spacing w:after="0"/>
              <w:rPr>
                <w:sz w:val="20"/>
                <w:szCs w:val="20"/>
                <w:color w:val="auto"/>
              </w:rPr>
            </w:pPr>
            <w:r>
              <w:rPr>
                <w:rFonts w:ascii="Times New Roman" w:cs="Times New Roman" w:eastAsia="Times New Roman" w:hAnsi="Times New Roman"/>
                <w:sz w:val="17"/>
                <w:szCs w:val="17"/>
                <w:color w:val="auto"/>
              </w:rPr>
              <w:t>Section 8.04</w:t>
            </w:r>
          </w:p>
        </w:tc>
        <w:tc>
          <w:tcPr>
            <w:tcW w:w="76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Certain Securities Owned by Company Disregarded</w:t>
            </w:r>
          </w:p>
        </w:tc>
        <w:tc>
          <w:tcPr>
            <w:tcW w:w="2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15"/>
        </w:trPr>
        <w:tc>
          <w:tcPr>
            <w:tcW w:w="1380" w:type="dxa"/>
            <w:vAlign w:val="bottom"/>
          </w:tcPr>
          <w:p>
            <w:pPr>
              <w:spacing w:after="0"/>
              <w:rPr>
                <w:sz w:val="20"/>
                <w:szCs w:val="20"/>
                <w:color w:val="auto"/>
              </w:rPr>
            </w:pPr>
            <w:r>
              <w:rPr>
                <w:rFonts w:ascii="Times New Roman" w:cs="Times New Roman" w:eastAsia="Times New Roman" w:hAnsi="Times New Roman"/>
                <w:sz w:val="17"/>
                <w:szCs w:val="17"/>
                <w:color w:val="auto"/>
              </w:rPr>
              <w:t>Section 8.05</w:t>
            </w:r>
          </w:p>
        </w:tc>
        <w:tc>
          <w:tcPr>
            <w:tcW w:w="76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Actions Binding on Future Securityholders</w:t>
            </w:r>
          </w:p>
        </w:tc>
        <w:tc>
          <w:tcPr>
            <w:tcW w:w="2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372"/>
        </w:trPr>
        <w:tc>
          <w:tcPr>
            <w:tcW w:w="9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9 SUPPLEMENTAL INDENTURES</w:t>
            </w:r>
          </w:p>
        </w:tc>
        <w:tc>
          <w:tcPr>
            <w:tcW w:w="2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364"/>
        </w:trPr>
        <w:tc>
          <w:tcPr>
            <w:tcW w:w="1380" w:type="dxa"/>
            <w:vAlign w:val="bottom"/>
          </w:tcPr>
          <w:p>
            <w:pPr>
              <w:spacing w:after="0"/>
              <w:rPr>
                <w:sz w:val="20"/>
                <w:szCs w:val="20"/>
                <w:color w:val="auto"/>
              </w:rPr>
            </w:pPr>
            <w:r>
              <w:rPr>
                <w:rFonts w:ascii="Times New Roman" w:cs="Times New Roman" w:eastAsia="Times New Roman" w:hAnsi="Times New Roman"/>
                <w:sz w:val="17"/>
                <w:szCs w:val="17"/>
                <w:color w:val="auto"/>
              </w:rPr>
              <w:t>Section 9.01</w:t>
            </w:r>
          </w:p>
        </w:tc>
        <w:tc>
          <w:tcPr>
            <w:tcW w:w="76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Supplemental Indentures Without the Consent of Securityholders</w:t>
            </w:r>
          </w:p>
        </w:tc>
        <w:tc>
          <w:tcPr>
            <w:tcW w:w="2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07"/>
        </w:trPr>
        <w:tc>
          <w:tcPr>
            <w:tcW w:w="1380" w:type="dxa"/>
            <w:vAlign w:val="bottom"/>
          </w:tcPr>
          <w:p>
            <w:pPr>
              <w:spacing w:after="0"/>
              <w:rPr>
                <w:sz w:val="20"/>
                <w:szCs w:val="20"/>
                <w:color w:val="auto"/>
              </w:rPr>
            </w:pPr>
            <w:r>
              <w:rPr>
                <w:rFonts w:ascii="Times New Roman" w:cs="Times New Roman" w:eastAsia="Times New Roman" w:hAnsi="Times New Roman"/>
                <w:sz w:val="17"/>
                <w:szCs w:val="17"/>
                <w:color w:val="auto"/>
              </w:rPr>
              <w:t>Section 9.02</w:t>
            </w:r>
          </w:p>
        </w:tc>
        <w:tc>
          <w:tcPr>
            <w:tcW w:w="76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Supplemental Indentures With Consent of Securityholders</w:t>
            </w:r>
          </w:p>
        </w:tc>
        <w:tc>
          <w:tcPr>
            <w:tcW w:w="2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07"/>
        </w:trPr>
        <w:tc>
          <w:tcPr>
            <w:tcW w:w="1380" w:type="dxa"/>
            <w:vAlign w:val="bottom"/>
          </w:tcPr>
          <w:p>
            <w:pPr>
              <w:spacing w:after="0"/>
              <w:rPr>
                <w:sz w:val="20"/>
                <w:szCs w:val="20"/>
                <w:color w:val="auto"/>
              </w:rPr>
            </w:pPr>
            <w:r>
              <w:rPr>
                <w:rFonts w:ascii="Times New Roman" w:cs="Times New Roman" w:eastAsia="Times New Roman" w:hAnsi="Times New Roman"/>
                <w:sz w:val="17"/>
                <w:szCs w:val="17"/>
                <w:color w:val="auto"/>
              </w:rPr>
              <w:t>Section 9.03</w:t>
            </w:r>
          </w:p>
        </w:tc>
        <w:tc>
          <w:tcPr>
            <w:tcW w:w="76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Effect of Supplemental Indentures</w:t>
            </w:r>
          </w:p>
        </w:tc>
        <w:tc>
          <w:tcPr>
            <w:tcW w:w="2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07"/>
        </w:trPr>
        <w:tc>
          <w:tcPr>
            <w:tcW w:w="1380" w:type="dxa"/>
            <w:vAlign w:val="bottom"/>
          </w:tcPr>
          <w:p>
            <w:pPr>
              <w:spacing w:after="0"/>
              <w:rPr>
                <w:sz w:val="20"/>
                <w:szCs w:val="20"/>
                <w:color w:val="auto"/>
              </w:rPr>
            </w:pPr>
            <w:r>
              <w:rPr>
                <w:rFonts w:ascii="Times New Roman" w:cs="Times New Roman" w:eastAsia="Times New Roman" w:hAnsi="Times New Roman"/>
                <w:sz w:val="17"/>
                <w:szCs w:val="17"/>
                <w:color w:val="auto"/>
              </w:rPr>
              <w:t>Section 9.04</w:t>
            </w:r>
          </w:p>
        </w:tc>
        <w:tc>
          <w:tcPr>
            <w:tcW w:w="76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Securities Affected by Supplemental Indentures</w:t>
            </w:r>
          </w:p>
        </w:tc>
        <w:tc>
          <w:tcPr>
            <w:tcW w:w="2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15"/>
        </w:trPr>
        <w:tc>
          <w:tcPr>
            <w:tcW w:w="1380" w:type="dxa"/>
            <w:vAlign w:val="bottom"/>
          </w:tcPr>
          <w:p>
            <w:pPr>
              <w:spacing w:after="0"/>
              <w:rPr>
                <w:sz w:val="20"/>
                <w:szCs w:val="20"/>
                <w:color w:val="auto"/>
              </w:rPr>
            </w:pPr>
            <w:r>
              <w:rPr>
                <w:rFonts w:ascii="Times New Roman" w:cs="Times New Roman" w:eastAsia="Times New Roman" w:hAnsi="Times New Roman"/>
                <w:sz w:val="17"/>
                <w:szCs w:val="17"/>
                <w:color w:val="auto"/>
              </w:rPr>
              <w:t>Section 9.05</w:t>
            </w:r>
          </w:p>
        </w:tc>
        <w:tc>
          <w:tcPr>
            <w:tcW w:w="76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Execution of Supplemental Indentures</w:t>
            </w:r>
          </w:p>
        </w:tc>
        <w:tc>
          <w:tcPr>
            <w:tcW w:w="2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ii</w:t>
      </w:r>
    </w:p>
    <w:p>
      <w:pPr>
        <w:sectPr>
          <w:pgSz w:w="11900" w:h="16838" w:orient="portrait"/>
          <w:cols w:equalWidth="0" w:num="1">
            <w:col w:w="11260"/>
          </w:cols>
          <w:pgMar w:left="320" w:top="1308" w:right="31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15"/>
        </w:trPr>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ARTICLE 10 SUCCESSOR ENTITY</w:t>
            </w:r>
          </w:p>
        </w:tc>
        <w:tc>
          <w:tcPr>
            <w:tcW w:w="614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364"/>
        </w:trPr>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Section 10.01</w:t>
            </w:r>
          </w:p>
        </w:tc>
        <w:tc>
          <w:tcPr>
            <w:tcW w:w="61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Company May Consolidate, Etc</w:t>
            </w:r>
          </w:p>
        </w:tc>
        <w:tc>
          <w:tcPr>
            <w:tcW w:w="2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15"/>
        </w:trPr>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Section 10.02</w:t>
            </w:r>
          </w:p>
        </w:tc>
        <w:tc>
          <w:tcPr>
            <w:tcW w:w="61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Successor Entity Substituted</w:t>
            </w:r>
          </w:p>
        </w:tc>
        <w:tc>
          <w:tcPr>
            <w:tcW w:w="2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372"/>
        </w:trPr>
        <w:tc>
          <w:tcPr>
            <w:tcW w:w="9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11 SATISFACTION AND DISCHARGE</w:t>
            </w:r>
          </w:p>
        </w:tc>
        <w:tc>
          <w:tcPr>
            <w:tcW w:w="2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364"/>
        </w:trPr>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Section 11.01</w:t>
            </w:r>
          </w:p>
        </w:tc>
        <w:tc>
          <w:tcPr>
            <w:tcW w:w="61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Satisfaction and Discharge of Indenture</w:t>
            </w:r>
          </w:p>
        </w:tc>
        <w:tc>
          <w:tcPr>
            <w:tcW w:w="2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07"/>
        </w:trPr>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Section 11.02</w:t>
            </w:r>
          </w:p>
        </w:tc>
        <w:tc>
          <w:tcPr>
            <w:tcW w:w="61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Discharge of Obligations</w:t>
            </w:r>
          </w:p>
        </w:tc>
        <w:tc>
          <w:tcPr>
            <w:tcW w:w="2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07"/>
        </w:trPr>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Section 11.03</w:t>
            </w:r>
          </w:p>
        </w:tc>
        <w:tc>
          <w:tcPr>
            <w:tcW w:w="61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Deposited Moneys to be Held in Trust</w:t>
            </w:r>
          </w:p>
        </w:tc>
        <w:tc>
          <w:tcPr>
            <w:tcW w:w="2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07"/>
        </w:trPr>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Section 11.04</w:t>
            </w:r>
          </w:p>
        </w:tc>
        <w:tc>
          <w:tcPr>
            <w:tcW w:w="61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Payment of Moneys Held by Paying Agents</w:t>
            </w:r>
          </w:p>
        </w:tc>
        <w:tc>
          <w:tcPr>
            <w:tcW w:w="2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15"/>
        </w:trPr>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Section 11.05</w:t>
            </w:r>
          </w:p>
        </w:tc>
        <w:tc>
          <w:tcPr>
            <w:tcW w:w="61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Repayment to Company</w:t>
            </w:r>
          </w:p>
        </w:tc>
        <w:tc>
          <w:tcPr>
            <w:tcW w:w="2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372"/>
        </w:trPr>
        <w:tc>
          <w:tcPr>
            <w:tcW w:w="9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12 IMMUNITY OF INCORPORATORS, STOCKHOLDERS, OFFICERS AND DIRECTORS</w:t>
            </w:r>
          </w:p>
        </w:tc>
        <w:tc>
          <w:tcPr>
            <w:tcW w:w="2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372"/>
        </w:trPr>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Section 12.01</w:t>
            </w:r>
          </w:p>
        </w:tc>
        <w:tc>
          <w:tcPr>
            <w:tcW w:w="61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No Recourse</w:t>
            </w:r>
          </w:p>
        </w:tc>
        <w:tc>
          <w:tcPr>
            <w:tcW w:w="2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372"/>
        </w:trPr>
        <w:tc>
          <w:tcPr>
            <w:tcW w:w="9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ARTICLE 13 MISCELLANEOUS PROVISIONS</w:t>
            </w:r>
          </w:p>
        </w:tc>
        <w:tc>
          <w:tcPr>
            <w:tcW w:w="2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364"/>
        </w:trPr>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Section 13.01</w:t>
            </w:r>
          </w:p>
        </w:tc>
        <w:tc>
          <w:tcPr>
            <w:tcW w:w="61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Effect on Successors and Assigns</w:t>
            </w:r>
          </w:p>
        </w:tc>
        <w:tc>
          <w:tcPr>
            <w:tcW w:w="2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07"/>
        </w:trPr>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Section 13.02</w:t>
            </w:r>
          </w:p>
        </w:tc>
        <w:tc>
          <w:tcPr>
            <w:tcW w:w="61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Actions by Successor</w:t>
            </w:r>
          </w:p>
        </w:tc>
        <w:tc>
          <w:tcPr>
            <w:tcW w:w="2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07"/>
        </w:trPr>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Section 13.03</w:t>
            </w:r>
          </w:p>
        </w:tc>
        <w:tc>
          <w:tcPr>
            <w:tcW w:w="61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Surrender of Company Powers</w:t>
            </w:r>
          </w:p>
        </w:tc>
        <w:tc>
          <w:tcPr>
            <w:tcW w:w="2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07"/>
        </w:trPr>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Section 13.04</w:t>
            </w:r>
          </w:p>
        </w:tc>
        <w:tc>
          <w:tcPr>
            <w:tcW w:w="61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Notices</w:t>
            </w:r>
          </w:p>
        </w:tc>
        <w:tc>
          <w:tcPr>
            <w:tcW w:w="2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07"/>
        </w:trPr>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Section 13.05</w:t>
            </w:r>
          </w:p>
        </w:tc>
        <w:tc>
          <w:tcPr>
            <w:tcW w:w="61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Governing Law; Jury Trial Waiver</w:t>
            </w:r>
          </w:p>
        </w:tc>
        <w:tc>
          <w:tcPr>
            <w:tcW w:w="2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07"/>
        </w:trPr>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Section 13.06</w:t>
            </w:r>
          </w:p>
        </w:tc>
        <w:tc>
          <w:tcPr>
            <w:tcW w:w="61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Treatment of Securities as Debt</w:t>
            </w:r>
          </w:p>
        </w:tc>
        <w:tc>
          <w:tcPr>
            <w:tcW w:w="2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07"/>
        </w:trPr>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Section 13.07</w:t>
            </w:r>
          </w:p>
        </w:tc>
        <w:tc>
          <w:tcPr>
            <w:tcW w:w="61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Certificates and Opinions as to Conditions Precedent</w:t>
            </w:r>
          </w:p>
        </w:tc>
        <w:tc>
          <w:tcPr>
            <w:tcW w:w="2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07"/>
        </w:trPr>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Section 13.08</w:t>
            </w:r>
          </w:p>
        </w:tc>
        <w:tc>
          <w:tcPr>
            <w:tcW w:w="61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Payments on Business Days</w:t>
            </w:r>
          </w:p>
        </w:tc>
        <w:tc>
          <w:tcPr>
            <w:tcW w:w="2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207"/>
        </w:trPr>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Section 13.09</w:t>
            </w:r>
          </w:p>
        </w:tc>
        <w:tc>
          <w:tcPr>
            <w:tcW w:w="61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Conflict with Trust Indenture Act</w:t>
            </w:r>
          </w:p>
        </w:tc>
        <w:tc>
          <w:tcPr>
            <w:tcW w:w="2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207"/>
        </w:trPr>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Section 13.10</w:t>
            </w:r>
          </w:p>
        </w:tc>
        <w:tc>
          <w:tcPr>
            <w:tcW w:w="61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Counterparts</w:t>
            </w:r>
          </w:p>
        </w:tc>
        <w:tc>
          <w:tcPr>
            <w:tcW w:w="2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207"/>
        </w:trPr>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Section 13.11</w:t>
            </w:r>
          </w:p>
        </w:tc>
        <w:tc>
          <w:tcPr>
            <w:tcW w:w="61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Separability</w:t>
            </w:r>
          </w:p>
        </w:tc>
        <w:tc>
          <w:tcPr>
            <w:tcW w:w="2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207"/>
        </w:trPr>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Section 13.12</w:t>
            </w:r>
          </w:p>
        </w:tc>
        <w:tc>
          <w:tcPr>
            <w:tcW w:w="61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Compliance Certificates</w:t>
            </w:r>
          </w:p>
        </w:tc>
        <w:tc>
          <w:tcPr>
            <w:tcW w:w="2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207"/>
        </w:trPr>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Section 13.13</w:t>
            </w:r>
          </w:p>
        </w:tc>
        <w:tc>
          <w:tcPr>
            <w:tcW w:w="61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USA Patriot Act</w:t>
            </w:r>
          </w:p>
        </w:tc>
        <w:tc>
          <w:tcPr>
            <w:tcW w:w="2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07"/>
        </w:trPr>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Section 13.14</w:t>
            </w:r>
          </w:p>
        </w:tc>
        <w:tc>
          <w:tcPr>
            <w:tcW w:w="61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Force Majeure</w:t>
            </w:r>
          </w:p>
        </w:tc>
        <w:tc>
          <w:tcPr>
            <w:tcW w:w="2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15"/>
        </w:trPr>
        <w:tc>
          <w:tcPr>
            <w:tcW w:w="2920" w:type="dxa"/>
            <w:vAlign w:val="bottom"/>
          </w:tcPr>
          <w:p>
            <w:pPr>
              <w:spacing w:after="0"/>
              <w:rPr>
                <w:sz w:val="20"/>
                <w:szCs w:val="20"/>
                <w:color w:val="auto"/>
              </w:rPr>
            </w:pPr>
            <w:r>
              <w:rPr>
                <w:rFonts w:ascii="Times New Roman" w:cs="Times New Roman" w:eastAsia="Times New Roman" w:hAnsi="Times New Roman"/>
                <w:sz w:val="17"/>
                <w:szCs w:val="17"/>
                <w:color w:val="auto"/>
              </w:rPr>
              <w:t>Section 13.15</w:t>
            </w:r>
          </w:p>
        </w:tc>
        <w:tc>
          <w:tcPr>
            <w:tcW w:w="61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Table of Contents; Headings</w:t>
            </w:r>
          </w:p>
        </w:tc>
        <w:tc>
          <w:tcPr>
            <w:tcW w:w="2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iii</w:t>
      </w:r>
    </w:p>
    <w:p>
      <w:pPr>
        <w:sectPr>
          <w:pgSz w:w="11900" w:h="16838" w:orient="portrait"/>
          <w:cols w:equalWidth="0" w:num="1">
            <w:col w:w="11260"/>
          </w:cols>
          <w:pgMar w:left="320" w:top="1308" w:right="31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7"/>
          <w:szCs w:val="17"/>
          <w:b w:val="1"/>
          <w:bCs w:val="1"/>
          <w:color w:val="auto"/>
        </w:rPr>
        <w:t>INDENTURE</w:t>
      </w:r>
    </w:p>
    <w:p>
      <w:pPr>
        <w:spacing w:after="0" w:line="166" w:lineRule="exact"/>
        <w:rPr>
          <w:sz w:val="20"/>
          <w:szCs w:val="20"/>
          <w:color w:val="auto"/>
        </w:rPr>
      </w:pPr>
    </w:p>
    <w:p>
      <w:pPr>
        <w:jc w:val="both"/>
        <w:ind w:firstLine="496"/>
        <w:spacing w:after="0" w:line="270" w:lineRule="auto"/>
        <w:rPr>
          <w:sz w:val="20"/>
          <w:szCs w:val="20"/>
          <w:color w:val="auto"/>
        </w:rPr>
      </w:pPr>
      <w:r>
        <w:rPr>
          <w:rFonts w:ascii="Times New Roman" w:cs="Times New Roman" w:eastAsia="Times New Roman" w:hAnsi="Times New Roman"/>
          <w:sz w:val="17"/>
          <w:szCs w:val="17"/>
          <w:b w:val="1"/>
          <w:bCs w:val="1"/>
          <w:color w:val="auto"/>
        </w:rPr>
        <w:t>INDENTURE</w:t>
      </w:r>
      <w:r>
        <w:rPr>
          <w:rFonts w:ascii="Times New Roman" w:cs="Times New Roman" w:eastAsia="Times New Roman" w:hAnsi="Times New Roman"/>
          <w:sz w:val="17"/>
          <w:szCs w:val="17"/>
          <w:color w:val="auto"/>
        </w:rPr>
        <w:t>, dated as of [•], 20__, among</w:t>
      </w:r>
      <w:r>
        <w:rPr>
          <w:rFonts w:ascii="Times New Roman" w:cs="Times New Roman" w:eastAsia="Times New Roman" w:hAnsi="Times New Roman"/>
          <w:sz w:val="17"/>
          <w:szCs w:val="17"/>
          <w:b w:val="1"/>
          <w:bCs w:val="1"/>
          <w:color w:val="auto"/>
        </w:rPr>
        <w:t xml:space="preserve"> ACUMEN PHARMACEUTICALS, INC.</w:t>
      </w:r>
      <w:r>
        <w:rPr>
          <w:rFonts w:ascii="Times New Roman" w:cs="Times New Roman" w:eastAsia="Times New Roman" w:hAnsi="Times New Roman"/>
          <w:sz w:val="17"/>
          <w:szCs w:val="17"/>
          <w:color w:val="auto"/>
        </w:rPr>
        <w:t>, a Delaware corporation (the “Company”), and [</w:t>
      </w:r>
      <w:r>
        <w:rPr>
          <w:rFonts w:ascii="Times New Roman" w:cs="Times New Roman" w:eastAsia="Times New Roman" w:hAnsi="Times New Roman"/>
          <w:sz w:val="17"/>
          <w:szCs w:val="17"/>
          <w:b w:val="1"/>
          <w:bCs w:val="1"/>
          <w:color w:val="auto"/>
        </w:rPr>
        <w:t>TRUSTEE</w:t>
      </w:r>
      <w:r>
        <w:rPr>
          <w:rFonts w:ascii="Times New Roman" w:cs="Times New Roman" w:eastAsia="Times New Roman" w:hAnsi="Times New Roman"/>
          <w:sz w:val="17"/>
          <w:szCs w:val="17"/>
          <w:color w:val="auto"/>
        </w:rPr>
        <w:t>], as trustee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“Trustee”):</w:t>
      </w:r>
    </w:p>
    <w:p>
      <w:pPr>
        <w:spacing w:after="0" w:line="129"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for its lawful corporate purposes, the Company has duly authorized the execution and delivery of this Indenture to provide for the issuance of debt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securities (hereinafter referred to as the “Securities”), in an unlimited aggregate principal amount to be issued from time to time in one or more series as in this Indenture provided, as registered Securities without coupons, to be authenticated by the certificate of the Trustee;</w:t>
      </w:r>
    </w:p>
    <w:p>
      <w:pPr>
        <w:spacing w:after="0" w:line="132" w:lineRule="exact"/>
        <w:rPr>
          <w:sz w:val="20"/>
          <w:szCs w:val="20"/>
          <w:color w:val="auto"/>
        </w:rPr>
      </w:pPr>
    </w:p>
    <w:p>
      <w:pPr>
        <w:jc w:val="both"/>
        <w:ind w:firstLine="496"/>
        <w:spacing w:after="0" w:line="270"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to provide the terms and conditions upon which the Securities are to be authenticated, issued and delivered, the Company has duly authorized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execution of this Indenture; and</w:t>
      </w:r>
    </w:p>
    <w:p>
      <w:pPr>
        <w:spacing w:after="0" w:line="1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all things necessary to make this Indenture a valid agreement of the Company, in accordance with its terms, have been done.</w:t>
      </w:r>
    </w:p>
    <w:p>
      <w:pPr>
        <w:spacing w:after="0" w:line="166" w:lineRule="exact"/>
        <w:rPr>
          <w:sz w:val="20"/>
          <w:szCs w:val="20"/>
          <w:color w:val="auto"/>
        </w:rPr>
      </w:pPr>
    </w:p>
    <w:p>
      <w:pPr>
        <w:jc w:val="both"/>
        <w:ind w:firstLine="496"/>
        <w:spacing w:after="0" w:line="270" w:lineRule="auto"/>
        <w:rPr>
          <w:sz w:val="20"/>
          <w:szCs w:val="20"/>
          <w:color w:val="auto"/>
        </w:rPr>
      </w:pPr>
      <w:r>
        <w:rPr>
          <w:rFonts w:ascii="Times New Roman" w:cs="Times New Roman" w:eastAsia="Times New Roman" w:hAnsi="Times New Roman"/>
          <w:sz w:val="17"/>
          <w:szCs w:val="17"/>
          <w:b w:val="1"/>
          <w:bCs w:val="1"/>
          <w:color w:val="auto"/>
        </w:rPr>
        <w:t>NOW, THEREFORE</w:t>
      </w:r>
      <w:r>
        <w:rPr>
          <w:rFonts w:ascii="Times New Roman" w:cs="Times New Roman" w:eastAsia="Times New Roman" w:hAnsi="Times New Roman"/>
          <w:sz w:val="17"/>
          <w:szCs w:val="17"/>
          <w:color w:val="auto"/>
        </w:rPr>
        <w:t>, in consideration of the premises and the purchase of the Securities by the holders thereof, it is mutually covenanted and agreed as follows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 the equal and ratable benefit of the holders of Securities: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1</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DEFINITIONS</w:t>
      </w:r>
    </w:p>
    <w:p>
      <w:pPr>
        <w:spacing w:after="0" w:line="166" w:lineRule="exact"/>
        <w:rPr>
          <w:sz w:val="20"/>
          <w:szCs w:val="20"/>
          <w:color w:val="auto"/>
        </w:rPr>
      </w:pPr>
    </w:p>
    <w:p>
      <w:pPr>
        <w:jc w:val="both"/>
        <w:ind w:firstLine="496"/>
        <w:spacing w:after="0" w:line="249" w:lineRule="auto"/>
        <w:rPr>
          <w:sz w:val="20"/>
          <w:szCs w:val="20"/>
          <w:color w:val="auto"/>
        </w:rPr>
      </w:pPr>
      <w:r>
        <w:rPr>
          <w:rFonts w:ascii="Times New Roman" w:cs="Times New Roman" w:eastAsia="Times New Roman" w:hAnsi="Times New Roman"/>
          <w:sz w:val="17"/>
          <w:szCs w:val="17"/>
          <w:b w:val="1"/>
          <w:bCs w:val="1"/>
          <w:color w:val="auto"/>
        </w:rPr>
        <w:t>Section 1.01 Definitions of Terms</w:t>
      </w:r>
      <w:r>
        <w:rPr>
          <w:rFonts w:ascii="Times New Roman" w:cs="Times New Roman" w:eastAsia="Times New Roman" w:hAnsi="Times New Roman"/>
          <w:sz w:val="17"/>
          <w:szCs w:val="17"/>
          <w:color w:val="auto"/>
        </w:rPr>
        <w:t>. The terms defined in this Section (except as in this Indenture or any indenture supplemental hereto otherwise expressly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spacing w:after="0" w:line="148" w:lineRule="exact"/>
        <w:rPr>
          <w:sz w:val="20"/>
          <w:szCs w:val="20"/>
          <w:color w:val="auto"/>
        </w:rPr>
      </w:pPr>
    </w:p>
    <w:p>
      <w:pPr>
        <w:jc w:val="both"/>
        <w:ind w:firstLine="496"/>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Authenticating Agent</w:t>
      </w:r>
      <w:r>
        <w:rPr>
          <w:rFonts w:ascii="Times New Roman" w:cs="Times New Roman" w:eastAsia="Times New Roman" w:hAnsi="Times New Roman"/>
          <w:sz w:val="17"/>
          <w:szCs w:val="17"/>
          <w:color w:val="auto"/>
        </w:rPr>
        <w:t>” means the Trustee or an authenticating agent with respect to all or any of the series of Securities appointed by the Trustee pursuant to Section 2.10.</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Bankruptcy Law</w:t>
      </w:r>
      <w:r>
        <w:rPr>
          <w:rFonts w:ascii="Times New Roman" w:cs="Times New Roman" w:eastAsia="Times New Roman" w:hAnsi="Times New Roman"/>
          <w:sz w:val="17"/>
          <w:szCs w:val="17"/>
          <w:color w:val="auto"/>
        </w:rPr>
        <w:t>” means Title 11, U.S. Code, or any similar federal or state law for the relief of debtors.</w:t>
      </w:r>
    </w:p>
    <w:p>
      <w:pPr>
        <w:spacing w:after="0" w:line="1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Board of Directors</w:t>
      </w:r>
      <w:r>
        <w:rPr>
          <w:rFonts w:ascii="Times New Roman" w:cs="Times New Roman" w:eastAsia="Times New Roman" w:hAnsi="Times New Roman"/>
          <w:sz w:val="17"/>
          <w:szCs w:val="17"/>
          <w:color w:val="auto"/>
        </w:rPr>
        <w:t>” means the Board of Directors (or the functional equivalent thereof) of the Company or any duly authorized committee of such Board.</w:t>
      </w:r>
    </w:p>
    <w:p>
      <w:pPr>
        <w:sectPr>
          <w:pgSz w:w="11900" w:h="16838" w:orient="portrait"/>
          <w:cols w:equalWidth="0" w:num="1">
            <w:col w:w="11280"/>
          </w:cols>
          <w:pgMar w:left="300" w:top="1283" w:right="319" w:bottom="1440" w:gutter="0" w:footer="0" w:header="0"/>
        </w:sectPr>
      </w:pPr>
    </w:p>
    <w:bookmarkStart w:id="47" w:name="page48"/>
    <w:bookmarkEnd w:id="47"/>
    <w:p>
      <w:pPr>
        <w:jc w:val="both"/>
        <w:ind w:firstLine="496"/>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Board Resolution</w:t>
      </w:r>
      <w:r>
        <w:rPr>
          <w:rFonts w:ascii="Times New Roman" w:cs="Times New Roman" w:eastAsia="Times New Roman" w:hAnsi="Times New Roman"/>
          <w:sz w:val="17"/>
          <w:szCs w:val="17"/>
          <w:color w:val="auto"/>
        </w:rPr>
        <w:t>” means a copy of a resolution certified by the Secretary or an Assistant Secretary of the Company to have been duly adopted by the Board of Directors (or duly authorized committee thereof) and to be in full force and effect on the date of such certification.</w:t>
      </w:r>
    </w:p>
    <w:p>
      <w:pPr>
        <w:spacing w:after="0" w:line="119" w:lineRule="exact"/>
        <w:rPr>
          <w:sz w:val="20"/>
          <w:szCs w:val="20"/>
          <w:color w:val="auto"/>
        </w:rPr>
      </w:pPr>
    </w:p>
    <w:p>
      <w:pPr>
        <w:jc w:val="both"/>
        <w:ind w:firstLine="496"/>
        <w:spacing w:after="0" w:line="31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Business Day</w:t>
      </w:r>
      <w:r>
        <w:rPr>
          <w:rFonts w:ascii="Times New Roman" w:cs="Times New Roman" w:eastAsia="Times New Roman" w:hAnsi="Times New Roman"/>
          <w:sz w:val="16"/>
          <w:szCs w:val="16"/>
          <w:color w:val="auto"/>
        </w:rPr>
        <w:t>” means, with respect to any series of Securities, any day other than a day on which federal or state banking institutions in the Borough of Manhattan, the City of New York, or in the city of the Corporate Trust Office of the Trustee, are authorized or obligated by law, executive order or regulation to close.</w:t>
      </w:r>
    </w:p>
    <w:p>
      <w:pPr>
        <w:spacing w:after="0" w:line="84"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Commission</w:t>
      </w:r>
      <w:r>
        <w:rPr>
          <w:rFonts w:ascii="Times New Roman" w:cs="Times New Roman" w:eastAsia="Times New Roman" w:hAnsi="Times New Roman"/>
          <w:sz w:val="17"/>
          <w:szCs w:val="17"/>
          <w:color w:val="auto"/>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32" w:lineRule="exact"/>
        <w:rPr>
          <w:sz w:val="20"/>
          <w:szCs w:val="20"/>
          <w:color w:val="auto"/>
        </w:rPr>
      </w:pPr>
    </w:p>
    <w:p>
      <w:pPr>
        <w:jc w:val="both"/>
        <w:ind w:firstLine="496"/>
        <w:spacing w:after="0" w:line="28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xml:space="preserve">” means </w:t>
      </w:r>
      <w:r>
        <w:rPr>
          <w:rFonts w:ascii="Times New Roman" w:cs="Times New Roman" w:eastAsia="Times New Roman" w:hAnsi="Times New Roman"/>
          <w:sz w:val="17"/>
          <w:szCs w:val="17"/>
          <w:b w:val="1"/>
          <w:bCs w:val="1"/>
          <w:color w:val="auto"/>
        </w:rPr>
        <w:t>ACUMEN PHARMACEUTICALS, INC.</w:t>
      </w:r>
      <w:r>
        <w:rPr>
          <w:rFonts w:ascii="Times New Roman" w:cs="Times New Roman" w:eastAsia="Times New Roman" w:hAnsi="Times New Roman"/>
          <w:sz w:val="17"/>
          <w:szCs w:val="17"/>
          <w:color w:val="auto"/>
        </w:rPr>
        <w:t>, a corporation duly organized and existing under the laws of the State of Delaware, and, subject to the provisions of Article Ten, shall also include its successors and assigns.</w:t>
      </w:r>
    </w:p>
    <w:p>
      <w:pPr>
        <w:spacing w:after="0" w:line="108" w:lineRule="exact"/>
        <w:rPr>
          <w:sz w:val="20"/>
          <w:szCs w:val="20"/>
          <w:color w:val="auto"/>
        </w:rPr>
      </w:pPr>
    </w:p>
    <w:p>
      <w:pPr>
        <w:jc w:val="both"/>
        <w:ind w:firstLine="496"/>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Corporate Trust Office</w:t>
      </w:r>
      <w:r>
        <w:rPr>
          <w:rFonts w:ascii="Times New Roman" w:cs="Times New Roman" w:eastAsia="Times New Roman" w:hAnsi="Times New Roman"/>
          <w:sz w:val="17"/>
          <w:szCs w:val="17"/>
          <w:color w:val="auto"/>
        </w:rPr>
        <w:t xml:space="preserve">” means the office of the Trustee at which, at any particular time, its corporate trust business shall be principally administered, which office at the date hereof is located at </w:t>
      </w:r>
      <w:r>
        <w:rPr>
          <w:rFonts w:ascii="Times New Roman" w:cs="Times New Roman" w:eastAsia="Times New Roman" w:hAnsi="Times New Roman"/>
          <w:sz w:val="17"/>
          <w:szCs w:val="17"/>
          <w:color w:val="auto"/>
          <w:highlight w:val="whit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1525270</wp:posOffset>
            </wp:positionH>
            <wp:positionV relativeFrom="paragraph">
              <wp:posOffset>-40005</wp:posOffset>
            </wp:positionV>
            <wp:extent cx="26035"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26035" cy="6350"/>
                    </a:xfrm>
                    <a:prstGeom prst="rect">
                      <a:avLst/>
                    </a:prstGeom>
                    <a:noFill/>
                  </pic:spPr>
                </pic:pic>
              </a:graphicData>
            </a:graphic>
          </wp:anchor>
        </w:drawing>
      </w:r>
    </w:p>
    <w:p>
      <w:pPr>
        <w:spacing w:after="0" w:line="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Custodian</w:t>
      </w:r>
      <w:r>
        <w:rPr>
          <w:rFonts w:ascii="Times New Roman" w:cs="Times New Roman" w:eastAsia="Times New Roman" w:hAnsi="Times New Roman"/>
          <w:sz w:val="17"/>
          <w:szCs w:val="17"/>
          <w:color w:val="auto"/>
        </w:rPr>
        <w:t>” means any receiver, trustee, assignee, liquidator or similar official under any Bankruptcy Law.</w:t>
      </w:r>
    </w:p>
    <w:p>
      <w:pPr>
        <w:spacing w:after="0" w:line="1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Defaulted Interest</w:t>
      </w:r>
      <w:r>
        <w:rPr>
          <w:rFonts w:ascii="Times New Roman" w:cs="Times New Roman" w:eastAsia="Times New Roman" w:hAnsi="Times New Roman"/>
          <w:sz w:val="17"/>
          <w:szCs w:val="17"/>
          <w:color w:val="auto"/>
        </w:rPr>
        <w:t>” has the meaning set forth in Section 2.03.</w:t>
      </w:r>
    </w:p>
    <w:p>
      <w:pPr>
        <w:spacing w:after="0" w:line="166" w:lineRule="exact"/>
        <w:rPr>
          <w:sz w:val="20"/>
          <w:szCs w:val="20"/>
          <w:color w:val="auto"/>
        </w:rPr>
      </w:pPr>
    </w:p>
    <w:p>
      <w:pPr>
        <w:jc w:val="both"/>
        <w:ind w:firstLine="496"/>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Depositary</w:t>
      </w:r>
      <w:r>
        <w:rPr>
          <w:rFonts w:ascii="Times New Roman" w:cs="Times New Roman" w:eastAsia="Times New Roman" w:hAnsi="Times New Roman"/>
          <w:sz w:val="17"/>
          <w:szCs w:val="17"/>
          <w:color w:val="auto"/>
        </w:rPr>
        <w:t>” 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Section 2.01 or 2.11.</w:t>
      </w:r>
    </w:p>
    <w:p>
      <w:pPr>
        <w:spacing w:after="0" w:line="125" w:lineRule="exact"/>
        <w:rPr>
          <w:sz w:val="20"/>
          <w:szCs w:val="20"/>
          <w:color w:val="auto"/>
        </w:rPr>
      </w:pPr>
    </w:p>
    <w:p>
      <w:pPr>
        <w:jc w:val="both"/>
        <w:ind w:firstLine="496"/>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Event of Default</w:t>
      </w:r>
      <w:r>
        <w:rPr>
          <w:rFonts w:ascii="Times New Roman" w:cs="Times New Roman" w:eastAsia="Times New Roman" w:hAnsi="Times New Roman"/>
          <w:sz w:val="17"/>
          <w:szCs w:val="17"/>
          <w:color w:val="auto"/>
        </w:rPr>
        <w:t>” means, with respect to Securities of a particular series, any event specified in Section 6.01, continued for the period of time, if any, therein designated.</w:t>
      </w:r>
    </w:p>
    <w:p>
      <w:pPr>
        <w:spacing w:after="0" w:line="119" w:lineRule="exact"/>
        <w:rPr>
          <w:sz w:val="20"/>
          <w:szCs w:val="20"/>
          <w:color w:val="auto"/>
        </w:rPr>
      </w:pPr>
    </w:p>
    <w:p>
      <w:pPr>
        <w:jc w:val="both"/>
        <w:ind w:firstLine="496"/>
        <w:spacing w:after="0" w:line="28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Exchange Act</w:t>
      </w:r>
      <w:r>
        <w:rPr>
          <w:rFonts w:ascii="Times New Roman" w:cs="Times New Roman" w:eastAsia="Times New Roman" w:hAnsi="Times New Roman"/>
          <w:sz w:val="17"/>
          <w:szCs w:val="17"/>
          <w:color w:val="auto"/>
        </w:rPr>
        <w:t>” means the United States Securities and Exchange Act of 1934, as amended, and the rules and regulations promulgated by the Commission thereunder.</w:t>
      </w:r>
    </w:p>
    <w:p>
      <w:pPr>
        <w:spacing w:after="0" w:line="108"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7"/>
          <w:szCs w:val="17"/>
          <w:color w:val="auto"/>
        </w:rPr>
        <w:t>The term “</w:t>
      </w:r>
      <w:r>
        <w:rPr>
          <w:rFonts w:ascii="Times New Roman" w:cs="Times New Roman" w:eastAsia="Times New Roman" w:hAnsi="Times New Roman"/>
          <w:sz w:val="17"/>
          <w:szCs w:val="17"/>
          <w:b w:val="1"/>
          <w:bCs w:val="1"/>
          <w:i w:val="1"/>
          <w:iCs w:val="1"/>
          <w:color w:val="auto"/>
        </w:rPr>
        <w:t>given</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mailed</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notify</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i w:val="1"/>
          <w:iCs w:val="1"/>
          <w:color w:val="auto"/>
        </w:rPr>
        <w:t>sent</w:t>
      </w:r>
      <w:r>
        <w:rPr>
          <w:rFonts w:ascii="Times New Roman" w:cs="Times New Roman" w:eastAsia="Times New Roman" w:hAnsi="Times New Roman"/>
          <w:sz w:val="17"/>
          <w:szCs w:val="17"/>
          <w:color w:val="auto"/>
        </w:rPr>
        <w:t>” with respect to any notice to be given to a Securityholder pursuant to this Indenture, shall mean notice (x) given to the Depositary (or its designee) pursuant to the standing instructions from the Depositary or its designee, including by electronic mail in accordance with accepted practices or procedures at the Depositary (in the case of a Global Security) or (y) mailed to such Securityholder by first class mail, postage prepaid, at its address as it appears on the Security Register (in the case of a definitive Security). Notice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80"/>
          </w:cols>
          <w:pgMar w:left="300" w:top="1283"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color w:val="auto"/>
        </w:rPr>
        <w:t>“given” shall be deemed to include any notice to be “mailed” or “delivered,” as applicable, under this Indenture.</w:t>
      </w:r>
    </w:p>
    <w:p>
      <w:pPr>
        <w:spacing w:after="0" w:line="162" w:lineRule="exact"/>
        <w:rPr>
          <w:sz w:val="20"/>
          <w:szCs w:val="20"/>
          <w:color w:val="auto"/>
        </w:rPr>
      </w:pPr>
    </w:p>
    <w:p>
      <w:pPr>
        <w:jc w:val="both"/>
        <w:ind w:firstLine="496"/>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Global Security</w:t>
      </w:r>
      <w:r>
        <w:rPr>
          <w:rFonts w:ascii="Times New Roman" w:cs="Times New Roman" w:eastAsia="Times New Roman" w:hAnsi="Times New Roman"/>
          <w:sz w:val="17"/>
          <w:szCs w:val="17"/>
          <w:color w:val="auto"/>
        </w:rPr>
        <w:t>” 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w:t>
      </w:r>
    </w:p>
    <w:p>
      <w:pPr>
        <w:spacing w:after="0" w:line="125" w:lineRule="exact"/>
        <w:rPr>
          <w:sz w:val="20"/>
          <w:szCs w:val="20"/>
          <w:color w:val="auto"/>
        </w:rPr>
      </w:pPr>
    </w:p>
    <w:p>
      <w:pPr>
        <w:jc w:val="both"/>
        <w:ind w:firstLine="496"/>
        <w:spacing w:after="0" w:line="24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Governmental Obligations</w:t>
      </w:r>
      <w:r>
        <w:rPr>
          <w:rFonts w:ascii="Times New Roman" w:cs="Times New Roman" w:eastAsia="Times New Roman" w:hAnsi="Times New Roman"/>
          <w:sz w:val="17"/>
          <w:szCs w:val="17"/>
          <w:color w:val="auto"/>
        </w:rPr>
        <w:t>”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38" w:lineRule="exact"/>
        <w:rPr>
          <w:sz w:val="20"/>
          <w:szCs w:val="20"/>
          <w:color w:val="auto"/>
        </w:rPr>
      </w:pPr>
    </w:p>
    <w:p>
      <w:pPr>
        <w:jc w:val="both"/>
        <w:ind w:firstLine="496"/>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herein</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hereof</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i w:val="1"/>
          <w:iCs w:val="1"/>
          <w:color w:val="auto"/>
        </w:rPr>
        <w:t>hereunder</w:t>
      </w:r>
      <w:r>
        <w:rPr>
          <w:rFonts w:ascii="Times New Roman" w:cs="Times New Roman" w:eastAsia="Times New Roman" w:hAnsi="Times New Roman"/>
          <w:sz w:val="17"/>
          <w:szCs w:val="17"/>
          <w:color w:val="auto"/>
        </w:rPr>
        <w:t>”, and other words of similar import, refer to this Indenture as a whole and not to any particular Article, Section or other subdivision.</w:t>
      </w:r>
    </w:p>
    <w:p>
      <w:pPr>
        <w:spacing w:after="0" w:line="129" w:lineRule="exact"/>
        <w:rPr>
          <w:sz w:val="20"/>
          <w:szCs w:val="20"/>
          <w:color w:val="auto"/>
        </w:rPr>
      </w:pPr>
    </w:p>
    <w:p>
      <w:pPr>
        <w:jc w:val="both"/>
        <w:ind w:firstLine="496"/>
        <w:spacing w:after="0" w:line="30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Indenture</w:t>
      </w:r>
      <w:r>
        <w:rPr>
          <w:rFonts w:ascii="Times New Roman" w:cs="Times New Roman" w:eastAsia="Times New Roman" w:hAnsi="Times New Roman"/>
          <w:sz w:val="16"/>
          <w:szCs w:val="16"/>
          <w:color w:val="auto"/>
        </w:rPr>
        <w:t xml:space="preserve"> ” 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Section 2.01.</w:t>
      </w:r>
    </w:p>
    <w:p>
      <w:pPr>
        <w:spacing w:after="0" w:line="95"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Interest Payment Date</w:t>
      </w:r>
      <w:r>
        <w:rPr>
          <w:rFonts w:ascii="Times New Roman" w:cs="Times New Roman" w:eastAsia="Times New Roman" w:hAnsi="Times New Roman"/>
          <w:sz w:val="17"/>
          <w:szCs w:val="17"/>
          <w:color w:val="auto"/>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142"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Officer</w:t>
      </w:r>
      <w:r>
        <w:rPr>
          <w:rFonts w:ascii="Times New Roman" w:cs="Times New Roman" w:eastAsia="Times New Roman" w:hAnsi="Times New Roman"/>
          <w:sz w:val="17"/>
          <w:szCs w:val="17"/>
          <w:color w:val="auto"/>
        </w:rPr>
        <w:t>” 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w:t>
      </w:r>
    </w:p>
    <w:p>
      <w:pPr>
        <w:spacing w:after="0" w:line="132" w:lineRule="exact"/>
        <w:rPr>
          <w:sz w:val="20"/>
          <w:szCs w:val="20"/>
          <w:color w:val="auto"/>
        </w:rPr>
      </w:pPr>
    </w:p>
    <w:p>
      <w:pPr>
        <w:jc w:val="both"/>
        <w:ind w:firstLine="496"/>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Officer’s Certificate</w:t>
      </w:r>
      <w:r>
        <w:rPr>
          <w:rFonts w:ascii="Times New Roman" w:cs="Times New Roman" w:eastAsia="Times New Roman" w:hAnsi="Times New Roman"/>
          <w:sz w:val="17"/>
          <w:szCs w:val="17"/>
          <w:color w:val="auto"/>
        </w:rPr>
        <w:t>” means a certificate signed by any Officer. Each such certificate shall include the statements provided for in Section 13.07, if and to the extent required by the provisions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80"/>
          </w:cols>
          <w:pgMar w:left="300" w:top="1287" w:right="319" w:bottom="1440" w:gutter="0" w:footer="0" w:header="0"/>
        </w:sectPr>
      </w:pPr>
    </w:p>
    <w:bookmarkStart w:id="49" w:name="page50"/>
    <w:bookmarkEnd w:id="49"/>
    <w:p>
      <w:pPr>
        <w:jc w:val="both"/>
        <w:ind w:firstLine="496"/>
        <w:spacing w:after="0" w:line="25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Opinion of Counsel</w:t>
      </w:r>
      <w:r>
        <w:rPr>
          <w:rFonts w:ascii="Times New Roman" w:cs="Times New Roman" w:eastAsia="Times New Roman" w:hAnsi="Times New Roman"/>
          <w:sz w:val="17"/>
          <w:szCs w:val="17"/>
          <w:color w:val="auto"/>
        </w:rPr>
        <w:t>” means an opinion in writing subject to customary exceptions of legal counsel, who may be an employee of or counsel for the Company, that is delivered to the Trustee in accordance with the terms hereof. Each such opinion shall include the statements provided for in Section 13.07, if and to the extent required by the provisions thereof.</w:t>
      </w:r>
    </w:p>
    <w:p>
      <w:pPr>
        <w:spacing w:after="0" w:line="142" w:lineRule="exact"/>
        <w:rPr>
          <w:sz w:val="20"/>
          <w:szCs w:val="20"/>
          <w:color w:val="auto"/>
        </w:rPr>
      </w:pPr>
    </w:p>
    <w:p>
      <w:pPr>
        <w:jc w:val="both"/>
        <w:ind w:firstLine="496"/>
        <w:spacing w:after="0" w:line="24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Outstanding</w:t>
      </w:r>
      <w:r>
        <w:rPr>
          <w:rFonts w:ascii="Times New Roman" w:cs="Times New Roman" w:eastAsia="Times New Roman" w:hAnsi="Times New Roman"/>
          <w:sz w:val="17"/>
          <w:szCs w:val="17"/>
          <w:color w:val="auto"/>
        </w:rPr>
        <w:t>”,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provided in Article Three, or provision satisfactory to the Trustee shall have been made for giving such notice; and (c) Securities in lieu of or in substitution for which other Securities shall have been authenticated and delivered pursuant to the terms of Section 2.07.</w:t>
      </w:r>
    </w:p>
    <w:p>
      <w:pPr>
        <w:spacing w:after="0" w:line="138" w:lineRule="exact"/>
        <w:rPr>
          <w:sz w:val="20"/>
          <w:szCs w:val="20"/>
          <w:color w:val="auto"/>
        </w:rPr>
      </w:pPr>
    </w:p>
    <w:p>
      <w:pPr>
        <w:jc w:val="both"/>
        <w:ind w:firstLine="496"/>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Person</w:t>
      </w:r>
      <w:r>
        <w:rPr>
          <w:rFonts w:ascii="Times New Roman" w:cs="Times New Roman" w:eastAsia="Times New Roman" w:hAnsi="Times New Roman"/>
          <w:sz w:val="17"/>
          <w:szCs w:val="17"/>
          <w:color w:val="auto"/>
        </w:rPr>
        <w:t>” means any individual, corporation, partnership, joint venture, joint-stock company, limited liability company, association, trust, unincorporated organization, any other entity or organization, including a government or political subdivision or an agency or instrumentality thereof.</w:t>
      </w:r>
    </w:p>
    <w:p>
      <w:pPr>
        <w:spacing w:after="0" w:line="119" w:lineRule="exact"/>
        <w:rPr>
          <w:sz w:val="20"/>
          <w:szCs w:val="20"/>
          <w:color w:val="auto"/>
        </w:rPr>
      </w:pPr>
    </w:p>
    <w:p>
      <w:pPr>
        <w:jc w:val="both"/>
        <w:ind w:firstLine="496"/>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Predecessor Security</w:t>
      </w:r>
      <w:r>
        <w:rPr>
          <w:rFonts w:ascii="Times New Roman" w:cs="Times New Roman" w:eastAsia="Times New Roman" w:hAnsi="Times New Roman"/>
          <w:sz w:val="17"/>
          <w:szCs w:val="17"/>
          <w:color w:val="auto"/>
        </w:rPr>
        <w:t>” of any particular Security means every previous Security evidencing all or a portion of the same debt as that evidenced by such particular Security; and, for the purposes of this definition, any Security authenticated and delivered under Section 2.07 in lieu of a lost, destroyed or stolen Security shall be deemed to evidence the same debt as the lost, destroyed or stolen Security.</w:t>
      </w:r>
    </w:p>
    <w:p>
      <w:pPr>
        <w:spacing w:after="0" w:line="125"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Responsible Officer</w:t>
      </w:r>
      <w:r>
        <w:rPr>
          <w:rFonts w:ascii="Times New Roman" w:cs="Times New Roman" w:eastAsia="Times New Roman" w:hAnsi="Times New Roman"/>
          <w:sz w:val="17"/>
          <w:szCs w:val="17"/>
          <w:color w:val="auto"/>
        </w:rPr>
        <w:t>” when used with respect to the Trustee means any officer within the Corporate Trust Office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or her knowledge of and familiarity with the particular subject and in each case who shall have direct responsibility for the administration of this Indenture.</w:t>
      </w:r>
    </w:p>
    <w:p>
      <w:pPr>
        <w:spacing w:after="0" w:line="131" w:lineRule="exact"/>
        <w:rPr>
          <w:sz w:val="20"/>
          <w:szCs w:val="20"/>
          <w:color w:val="auto"/>
        </w:rPr>
      </w:pPr>
    </w:p>
    <w:p>
      <w:pPr>
        <w:jc w:val="both"/>
        <w:ind w:firstLine="496"/>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Securities</w:t>
      </w:r>
      <w:r>
        <w:rPr>
          <w:rFonts w:ascii="Times New Roman" w:cs="Times New Roman" w:eastAsia="Times New Roman" w:hAnsi="Times New Roman"/>
          <w:sz w:val="17"/>
          <w:szCs w:val="17"/>
          <w:color w:val="auto"/>
        </w:rPr>
        <w:t>” has the meaning stated in the first recital of this Indenture and more particularly means any Securities authenticated and delivered under this Indenture.</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Securities Act</w:t>
      </w:r>
      <w:r>
        <w:rPr>
          <w:rFonts w:ascii="Times New Roman" w:cs="Times New Roman" w:eastAsia="Times New Roman" w:hAnsi="Times New Roman"/>
          <w:sz w:val="17"/>
          <w:szCs w:val="17"/>
          <w:color w:val="auto"/>
        </w:rPr>
        <w:t>” means the Securities Act of 1933, as amended.</w:t>
      </w:r>
    </w:p>
    <w:p>
      <w:pPr>
        <w:spacing w:after="0" w:line="166" w:lineRule="exact"/>
        <w:rPr>
          <w:sz w:val="20"/>
          <w:szCs w:val="20"/>
          <w:color w:val="auto"/>
        </w:rPr>
      </w:pPr>
    </w:p>
    <w:p>
      <w:pPr>
        <w:jc w:val="both"/>
        <w:ind w:firstLine="496"/>
        <w:spacing w:after="0" w:line="28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Securityholder</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holder of Securities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registered holder</w:t>
      </w:r>
      <w:r>
        <w:rPr>
          <w:rFonts w:ascii="Times New Roman" w:cs="Times New Roman" w:eastAsia="Times New Roman" w:hAnsi="Times New Roman"/>
          <w:sz w:val="17"/>
          <w:szCs w:val="17"/>
          <w:color w:val="auto"/>
        </w:rPr>
        <w:t>”, or other similar term, means the Person or Persons in whose name or names a particular Security is registered on the Security Register kept for that purpose in accordance with the terms of this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80"/>
          </w:cols>
          <w:pgMar w:left="300" w:top="1283" w:right="319" w:bottom="1440" w:gutter="0" w:footer="0" w:header="0"/>
        </w:sectPr>
      </w:pPr>
    </w:p>
    <w:bookmarkStart w:id="50" w:name="page51"/>
    <w:bookmarkEnd w:id="50"/>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Security Register</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i w:val="1"/>
          <w:iCs w:val="1"/>
          <w:color w:val="auto"/>
        </w:rPr>
        <w:t>Security Registrar</w:t>
      </w:r>
      <w:r>
        <w:rPr>
          <w:rFonts w:ascii="Times New Roman" w:cs="Times New Roman" w:eastAsia="Times New Roman" w:hAnsi="Times New Roman"/>
          <w:sz w:val="17"/>
          <w:szCs w:val="17"/>
          <w:color w:val="auto"/>
        </w:rPr>
        <w:t>” shall have the meanings as set forth in Section 2.05.</w:t>
      </w:r>
    </w:p>
    <w:p>
      <w:pPr>
        <w:spacing w:after="0" w:line="166"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Subsidiary</w:t>
      </w:r>
      <w:r>
        <w:rPr>
          <w:rFonts w:ascii="Times New Roman" w:cs="Times New Roman" w:eastAsia="Times New Roman" w:hAnsi="Times New Roman"/>
          <w:sz w:val="17"/>
          <w:szCs w:val="17"/>
          <w:color w:val="auto"/>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Trustee</w:t>
      </w:r>
      <w:r>
        <w:rPr>
          <w:rFonts w:ascii="Times New Roman" w:cs="Times New Roman" w:eastAsia="Times New Roman" w:hAnsi="Times New Roman"/>
          <w:sz w:val="16"/>
          <w:szCs w:val="16"/>
          <w:color w:val="auto"/>
        </w:rPr>
        <w:t>” means _________________________, and, subject to the provisions of Article Seven, shall also include its successors and assigns, and, if at any time</w:t>
      </w:r>
    </w:p>
    <w:p>
      <w:pPr>
        <w:spacing w:after="0" w:line="3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there is more than one Person acting in such capacity hereunder, “Trustee” shall mean each such Person. The term “Trustee” as used with respect to a particular series of the Securities shall mean the trustee with respect to that series.</w:t>
      </w:r>
    </w:p>
    <w:p>
      <w:pPr>
        <w:spacing w:after="0" w:line="1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Trust Indenture Act</w:t>
      </w:r>
      <w:r>
        <w:rPr>
          <w:rFonts w:ascii="Times New Roman" w:cs="Times New Roman" w:eastAsia="Times New Roman" w:hAnsi="Times New Roman"/>
          <w:sz w:val="17"/>
          <w:szCs w:val="17"/>
          <w:color w:val="auto"/>
        </w:rPr>
        <w:t>” means the Trust Indenture Act of 1939, as amended.</w:t>
      </w:r>
    </w:p>
    <w:p>
      <w:pPr>
        <w:spacing w:after="0" w:line="166" w:lineRule="exact"/>
        <w:rPr>
          <w:sz w:val="20"/>
          <w:szCs w:val="20"/>
          <w:color w:val="auto"/>
        </w:rPr>
      </w:pPr>
    </w:p>
    <w:p>
      <w:pPr>
        <w:jc w:val="both"/>
        <w:ind w:firstLine="496"/>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“U.S.A. Patriot Act” </w:t>
      </w:r>
      <w:r>
        <w:rPr>
          <w:rFonts w:ascii="Times New Roman" w:cs="Times New Roman" w:eastAsia="Times New Roman" w:hAnsi="Times New Roman"/>
          <w:sz w:val="17"/>
          <w:szCs w:val="17"/>
          <w:color w:val="auto"/>
        </w:rPr>
        <w:t>means the Uniting and Strengthening America by Providing Appropriate Tools Required to Intercept and Obstruct Terrorism Act of 2001,</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Pub. L. 107-56, as amended and signed into law October 26, 2001.</w:t>
      </w:r>
    </w:p>
    <w:p>
      <w:pPr>
        <w:spacing w:after="0" w:line="11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b w:val="1"/>
          <w:bCs w:val="1"/>
          <w:color w:val="auto"/>
        </w:rPr>
        <w:t>ARTICLE 2</w:t>
      </w:r>
    </w:p>
    <w:p>
      <w:pPr>
        <w:spacing w:after="0" w:line="16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7"/>
          <w:szCs w:val="17"/>
          <w:b w:val="1"/>
          <w:bCs w:val="1"/>
          <w:color w:val="auto"/>
        </w:rPr>
        <w:t>ISSUE, DESCRIPTION, TERMS, EXECUTION, REGISTRATION AND EXCHANGE OF SECURITIES</w:t>
      </w:r>
    </w:p>
    <w:p>
      <w:pPr>
        <w:spacing w:after="0" w:line="166" w:lineRule="exact"/>
        <w:rPr>
          <w:sz w:val="20"/>
          <w:szCs w:val="20"/>
          <w:color w:val="auto"/>
        </w:rPr>
      </w:pPr>
    </w:p>
    <w:p>
      <w:pPr>
        <w:ind w:left="500"/>
        <w:spacing w:after="0"/>
        <w:tabs>
          <w:tab w:leader="none" w:pos="1500" w:val="left"/>
        </w:tabs>
        <w:rPr>
          <w:sz w:val="20"/>
          <w:szCs w:val="20"/>
          <w:color w:val="auto"/>
        </w:rPr>
      </w:pPr>
      <w:r>
        <w:rPr>
          <w:rFonts w:ascii="Times New Roman" w:cs="Times New Roman" w:eastAsia="Times New Roman" w:hAnsi="Times New Roman"/>
          <w:sz w:val="17"/>
          <w:szCs w:val="17"/>
          <w:b w:val="1"/>
          <w:bCs w:val="1"/>
          <w:color w:val="auto"/>
        </w:rPr>
        <w:t>Section 2.01</w:t>
      </w:r>
      <w:r>
        <w:rPr>
          <w:sz w:val="20"/>
          <w:szCs w:val="20"/>
          <w:color w:val="auto"/>
        </w:rPr>
        <w:tab/>
      </w:r>
      <w:r>
        <w:rPr>
          <w:rFonts w:ascii="Times New Roman" w:cs="Times New Roman" w:eastAsia="Times New Roman" w:hAnsi="Times New Roman"/>
          <w:sz w:val="16"/>
          <w:szCs w:val="16"/>
          <w:b w:val="1"/>
          <w:bCs w:val="1"/>
          <w:color w:val="auto"/>
        </w:rPr>
        <w:t>Designation and Terms of Securities</w:t>
      </w:r>
      <w:r>
        <w:rPr>
          <w:rFonts w:ascii="Times New Roman" w:cs="Times New Roman" w:eastAsia="Times New Roman" w:hAnsi="Times New Roman"/>
          <w:sz w:val="16"/>
          <w:szCs w:val="16"/>
          <w:color w:val="auto"/>
        </w:rPr>
        <w:t>.</w:t>
      </w:r>
    </w:p>
    <w:p>
      <w:pPr>
        <w:spacing w:after="0" w:line="181" w:lineRule="exact"/>
        <w:rPr>
          <w:sz w:val="20"/>
          <w:szCs w:val="20"/>
          <w:color w:val="auto"/>
        </w:rPr>
      </w:pPr>
    </w:p>
    <w:p>
      <w:pPr>
        <w:jc w:val="both"/>
        <w:ind w:firstLine="996"/>
        <w:spacing w:after="0" w:line="249" w:lineRule="auto"/>
        <w:tabs>
          <w:tab w:leader="none" w:pos="1351" w:val="left"/>
        </w:tabs>
        <w:numPr>
          <w:ilvl w:val="0"/>
          <w:numId w:val="4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w:t>
      </w:r>
    </w:p>
    <w:p>
      <w:pPr>
        <w:spacing w:after="0" w:line="140" w:lineRule="exact"/>
        <w:rPr>
          <w:sz w:val="20"/>
          <w:szCs w:val="20"/>
          <w:color w:val="auto"/>
        </w:rPr>
      </w:pPr>
    </w:p>
    <w:p>
      <w:pPr>
        <w:ind w:left="1360" w:hanging="364"/>
        <w:spacing w:after="0"/>
        <w:tabs>
          <w:tab w:leader="none" w:pos="1360" w:val="left"/>
        </w:tabs>
        <w:numPr>
          <w:ilvl w:val="0"/>
          <w:numId w:val="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title of the Securities of the series (which shall distinguish the Securities of that series from all other Securities);</w:t>
      </w:r>
    </w:p>
    <w:p>
      <w:pPr>
        <w:spacing w:after="0" w:line="176" w:lineRule="exact"/>
        <w:rPr>
          <w:rFonts w:ascii="Times New Roman" w:cs="Times New Roman" w:eastAsia="Times New Roman" w:hAnsi="Times New Roman"/>
          <w:sz w:val="17"/>
          <w:szCs w:val="17"/>
          <w:b w:val="1"/>
          <w:bCs w:val="1"/>
          <w:color w:val="auto"/>
        </w:rPr>
      </w:pPr>
    </w:p>
    <w:p>
      <w:pPr>
        <w:ind w:firstLine="996"/>
        <w:spacing w:after="0" w:line="265" w:lineRule="auto"/>
        <w:tabs>
          <w:tab w:leader="none" w:pos="1351" w:val="left"/>
        </w:tabs>
        <w:numPr>
          <w:ilvl w:val="0"/>
          <w:numId w:val="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80"/>
          </w:cols>
          <w:pgMar w:left="300" w:top="1283" w:right="319" w:bottom="1440" w:gutter="0" w:footer="0" w:header="0"/>
        </w:sectPr>
      </w:pPr>
    </w:p>
    <w:bookmarkStart w:id="51" w:name="page52"/>
    <w:bookmarkEnd w:id="51"/>
    <w:p>
      <w:pPr>
        <w:ind w:left="1360" w:hanging="364"/>
        <w:spacing w:after="0"/>
        <w:tabs>
          <w:tab w:leader="none" w:pos="1360" w:val="left"/>
        </w:tabs>
        <w:numPr>
          <w:ilvl w:val="0"/>
          <w:numId w:val="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maturity date or dates on which the principal of the Securities of the series is payable;</w:t>
      </w:r>
    </w:p>
    <w:p>
      <w:pPr>
        <w:spacing w:after="0" w:line="166" w:lineRule="exact"/>
        <w:rPr>
          <w:rFonts w:ascii="Times New Roman" w:cs="Times New Roman" w:eastAsia="Times New Roman" w:hAnsi="Times New Roman"/>
          <w:sz w:val="17"/>
          <w:szCs w:val="17"/>
          <w:b w:val="1"/>
          <w:bCs w:val="1"/>
          <w:color w:val="auto"/>
        </w:rPr>
      </w:pPr>
    </w:p>
    <w:p>
      <w:pPr>
        <w:ind w:left="1360" w:hanging="364"/>
        <w:spacing w:after="0"/>
        <w:tabs>
          <w:tab w:leader="none" w:pos="1360" w:val="left"/>
        </w:tabs>
        <w:numPr>
          <w:ilvl w:val="0"/>
          <w:numId w:val="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form of the Securities of the series including the form of the certificate of authentication for such series;</w:t>
      </w:r>
    </w:p>
    <w:p>
      <w:pPr>
        <w:spacing w:after="0" w:line="166" w:lineRule="exact"/>
        <w:rPr>
          <w:rFonts w:ascii="Times New Roman" w:cs="Times New Roman" w:eastAsia="Times New Roman" w:hAnsi="Times New Roman"/>
          <w:sz w:val="17"/>
          <w:szCs w:val="17"/>
          <w:b w:val="1"/>
          <w:bCs w:val="1"/>
          <w:color w:val="auto"/>
        </w:rPr>
      </w:pPr>
    </w:p>
    <w:p>
      <w:pPr>
        <w:ind w:left="1360" w:hanging="364"/>
        <w:spacing w:after="0"/>
        <w:tabs>
          <w:tab w:leader="none" w:pos="1360" w:val="left"/>
        </w:tabs>
        <w:numPr>
          <w:ilvl w:val="0"/>
          <w:numId w:val="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applicability of any guarantees;</w:t>
      </w:r>
    </w:p>
    <w:p>
      <w:pPr>
        <w:spacing w:after="0" w:line="176" w:lineRule="exact"/>
        <w:rPr>
          <w:rFonts w:ascii="Times New Roman" w:cs="Times New Roman" w:eastAsia="Times New Roman" w:hAnsi="Times New Roman"/>
          <w:sz w:val="17"/>
          <w:szCs w:val="17"/>
          <w:b w:val="1"/>
          <w:bCs w:val="1"/>
          <w:color w:val="auto"/>
        </w:rPr>
      </w:pPr>
    </w:p>
    <w:p>
      <w:pPr>
        <w:ind w:left="1360" w:hanging="364"/>
        <w:spacing w:after="0"/>
        <w:tabs>
          <w:tab w:leader="none" w:pos="1360" w:val="left"/>
        </w:tabs>
        <w:numPr>
          <w:ilvl w:val="0"/>
          <w:numId w:val="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whether or not the Securities will be secured or unsecured, and the terms of any secured debt;</w:t>
      </w:r>
    </w:p>
    <w:p>
      <w:pPr>
        <w:spacing w:after="0" w:line="166" w:lineRule="exact"/>
        <w:rPr>
          <w:rFonts w:ascii="Times New Roman" w:cs="Times New Roman" w:eastAsia="Times New Roman" w:hAnsi="Times New Roman"/>
          <w:sz w:val="17"/>
          <w:szCs w:val="17"/>
          <w:b w:val="1"/>
          <w:bCs w:val="1"/>
          <w:color w:val="auto"/>
        </w:rPr>
      </w:pPr>
    </w:p>
    <w:p>
      <w:pPr>
        <w:ind w:left="1500" w:hanging="504"/>
        <w:spacing w:after="0"/>
        <w:tabs>
          <w:tab w:leader="none" w:pos="1500" w:val="left"/>
        </w:tabs>
        <w:numPr>
          <w:ilvl w:val="0"/>
          <w:numId w:val="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whether the Securities rank as senior debt, senior subordinated debt, subordinated debt or any combination thereof, and the terms of any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subordination;</w:t>
      </w:r>
    </w:p>
    <w:p>
      <w:pPr>
        <w:spacing w:after="0" w:line="148" w:lineRule="exact"/>
        <w:rPr>
          <w:sz w:val="20"/>
          <w:szCs w:val="20"/>
          <w:color w:val="auto"/>
        </w:rPr>
      </w:pPr>
    </w:p>
    <w:p>
      <w:pPr>
        <w:jc w:val="both"/>
        <w:ind w:firstLine="996"/>
        <w:spacing w:after="0" w:line="259" w:lineRule="auto"/>
        <w:tabs>
          <w:tab w:leader="none" w:pos="1403" w:val="left"/>
        </w:tabs>
        <w:numPr>
          <w:ilvl w:val="0"/>
          <w:numId w:val="4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the price (expressed as a percentage of the aggregate principal amount thereof) at which such Securities will be 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w:t>
      </w:r>
    </w:p>
    <w:p>
      <w:pPr>
        <w:spacing w:after="0" w:line="132" w:lineRule="exact"/>
        <w:rPr>
          <w:rFonts w:ascii="Times New Roman" w:cs="Times New Roman" w:eastAsia="Times New Roman" w:hAnsi="Times New Roman"/>
          <w:sz w:val="17"/>
          <w:szCs w:val="17"/>
          <w:b w:val="1"/>
          <w:bCs w:val="1"/>
          <w:color w:val="auto"/>
        </w:rPr>
      </w:pPr>
    </w:p>
    <w:p>
      <w:pPr>
        <w:ind w:firstLine="996"/>
        <w:spacing w:after="0" w:line="265" w:lineRule="auto"/>
        <w:tabs>
          <w:tab w:leader="none" w:pos="1372" w:val="left"/>
        </w:tabs>
        <w:numPr>
          <w:ilvl w:val="0"/>
          <w:numId w:val="4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126" w:lineRule="exact"/>
        <w:rPr>
          <w:rFonts w:ascii="Times New Roman" w:cs="Times New Roman" w:eastAsia="Times New Roman" w:hAnsi="Times New Roman"/>
          <w:sz w:val="17"/>
          <w:szCs w:val="17"/>
          <w:b w:val="1"/>
          <w:bCs w:val="1"/>
          <w:color w:val="auto"/>
        </w:rPr>
      </w:pPr>
    </w:p>
    <w:p>
      <w:pPr>
        <w:ind w:left="1440" w:hanging="444"/>
        <w:spacing w:after="0"/>
        <w:tabs>
          <w:tab w:leader="none" w:pos="1440" w:val="left"/>
        </w:tabs>
        <w:numPr>
          <w:ilvl w:val="0"/>
          <w:numId w:val="4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Company’s right, if any, to defer the payment of interest and the maximum length of any such deferral period;</w:t>
      </w:r>
    </w:p>
    <w:p>
      <w:pPr>
        <w:spacing w:after="0" w:line="166" w:lineRule="exact"/>
        <w:rPr>
          <w:rFonts w:ascii="Times New Roman" w:cs="Times New Roman" w:eastAsia="Times New Roman" w:hAnsi="Times New Roman"/>
          <w:sz w:val="17"/>
          <w:szCs w:val="17"/>
          <w:b w:val="1"/>
          <w:bCs w:val="1"/>
          <w:color w:val="auto"/>
        </w:rPr>
      </w:pPr>
    </w:p>
    <w:p>
      <w:pPr>
        <w:ind w:firstLine="996"/>
        <w:spacing w:after="0" w:line="265" w:lineRule="auto"/>
        <w:tabs>
          <w:tab w:leader="none" w:pos="1445" w:val="left"/>
        </w:tabs>
        <w:numPr>
          <w:ilvl w:val="0"/>
          <w:numId w:val="4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applicable, the date or dates after which, or the period or periods during which, and the price or prices at which, the Company may at its option, redeem the series of Securities pursuant to any optional or provisional redemption provisions and the terms of those redemption provisions;</w:t>
      </w:r>
    </w:p>
    <w:p>
      <w:pPr>
        <w:spacing w:after="0" w:line="137" w:lineRule="exact"/>
        <w:rPr>
          <w:rFonts w:ascii="Times New Roman" w:cs="Times New Roman" w:eastAsia="Times New Roman" w:hAnsi="Times New Roman"/>
          <w:sz w:val="17"/>
          <w:szCs w:val="17"/>
          <w:b w:val="1"/>
          <w:bCs w:val="1"/>
          <w:color w:val="auto"/>
        </w:rPr>
      </w:pPr>
    </w:p>
    <w:p>
      <w:pPr>
        <w:jc w:val="both"/>
        <w:ind w:firstLine="996"/>
        <w:spacing w:after="0" w:line="253" w:lineRule="auto"/>
        <w:tabs>
          <w:tab w:leader="none" w:pos="1444" w:val="left"/>
        </w:tabs>
        <w:numPr>
          <w:ilvl w:val="0"/>
          <w:numId w:val="4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date or dates, if any, on which, and the price or prices at which the Company is obligated, pursuant to any mandatory sinking fund or analogous fund provisions or otherwise, to redeem, or at the Securityholder’s option to purchase, the series of Securities and the currency or currency unit in which the Securities are payable;</w:t>
      </w:r>
    </w:p>
    <w:p>
      <w:pPr>
        <w:spacing w:after="0" w:line="136" w:lineRule="exact"/>
        <w:rPr>
          <w:rFonts w:ascii="Times New Roman" w:cs="Times New Roman" w:eastAsia="Times New Roman" w:hAnsi="Times New Roman"/>
          <w:sz w:val="17"/>
          <w:szCs w:val="17"/>
          <w:b w:val="1"/>
          <w:bCs w:val="1"/>
          <w:color w:val="auto"/>
        </w:rPr>
      </w:pPr>
    </w:p>
    <w:p>
      <w:pPr>
        <w:ind w:firstLine="996"/>
        <w:spacing w:after="0" w:line="265" w:lineRule="auto"/>
        <w:tabs>
          <w:tab w:leader="none" w:pos="1465" w:val="left"/>
        </w:tabs>
        <w:numPr>
          <w:ilvl w:val="0"/>
          <w:numId w:val="4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denominations in which the Securities of the series shall be issuable, if other than denominations of one thousand U.S. dollars ($1,000) or any integral multiple thereof;</w:t>
      </w:r>
    </w:p>
    <w:p>
      <w:pPr>
        <w:spacing w:after="0" w:line="137" w:lineRule="exact"/>
        <w:rPr>
          <w:rFonts w:ascii="Times New Roman" w:cs="Times New Roman" w:eastAsia="Times New Roman" w:hAnsi="Times New Roman"/>
          <w:sz w:val="17"/>
          <w:szCs w:val="17"/>
          <w:b w:val="1"/>
          <w:bCs w:val="1"/>
          <w:color w:val="auto"/>
        </w:rPr>
      </w:pPr>
    </w:p>
    <w:p>
      <w:pPr>
        <w:ind w:firstLine="996"/>
        <w:spacing w:after="0" w:line="265" w:lineRule="auto"/>
        <w:tabs>
          <w:tab w:leader="none" w:pos="1486" w:val="left"/>
        </w:tabs>
        <w:numPr>
          <w:ilvl w:val="0"/>
          <w:numId w:val="4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and all terms, if applicable, relating to any auction or remarketing of the Securities of that series and any security for the obligations of the Company with respect to such Securities and any other terms which may be advisable in connection with the marketing of Securities of that series;</w:t>
      </w:r>
    </w:p>
    <w:p>
      <w:pPr>
        <w:spacing w:after="0" w:line="126" w:lineRule="exact"/>
        <w:rPr>
          <w:rFonts w:ascii="Times New Roman" w:cs="Times New Roman" w:eastAsia="Times New Roman" w:hAnsi="Times New Roman"/>
          <w:sz w:val="17"/>
          <w:szCs w:val="17"/>
          <w:b w:val="1"/>
          <w:bCs w:val="1"/>
          <w:color w:val="auto"/>
        </w:rPr>
      </w:pPr>
    </w:p>
    <w:p>
      <w:pPr>
        <w:ind w:firstLine="996"/>
        <w:spacing w:after="0" w:line="265" w:lineRule="auto"/>
        <w:tabs>
          <w:tab w:leader="none" w:pos="1434" w:val="left"/>
        </w:tabs>
        <w:numPr>
          <w:ilvl w:val="0"/>
          <w:numId w:val="4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whether the Securities of the series shall be issued in whole or in part in the form of a Global Security or Securities; the terms and conditions, if any, upon which such Global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80"/>
          </w:cols>
          <w:pgMar w:left="300" w:top="1287"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color w:val="auto"/>
        </w:rPr>
        <w:t>Security or Securities may be exchanged in whole or in part for other individual Securities; and the Depositary for such Global Security or Securities;</w:t>
      </w:r>
    </w:p>
    <w:p>
      <w:pPr>
        <w:spacing w:after="0" w:line="166" w:lineRule="exact"/>
        <w:rPr>
          <w:sz w:val="20"/>
          <w:szCs w:val="20"/>
          <w:color w:val="auto"/>
        </w:rPr>
      </w:pPr>
    </w:p>
    <w:p>
      <w:pPr>
        <w:jc w:val="both"/>
        <w:ind w:firstLine="996"/>
        <w:spacing w:after="0" w:line="253" w:lineRule="auto"/>
        <w:tabs>
          <w:tab w:leader="none" w:pos="1517" w:val="left"/>
        </w:tabs>
        <w:numPr>
          <w:ilvl w:val="0"/>
          <w:numId w:val="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applicable, the provisions relating to conversion or exchange of any Securities of the series and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the applicable conversion or exchange period and the manner of settlement for any conversion or exchange, which may, without limitation, include the payment of cash as well as the delivery of securities;</w:t>
      </w:r>
    </w:p>
    <w:p>
      <w:pPr>
        <w:spacing w:after="0" w:line="137" w:lineRule="exact"/>
        <w:rPr>
          <w:rFonts w:ascii="Times New Roman" w:cs="Times New Roman" w:eastAsia="Times New Roman" w:hAnsi="Times New Roman"/>
          <w:sz w:val="17"/>
          <w:szCs w:val="17"/>
          <w:b w:val="1"/>
          <w:bCs w:val="1"/>
          <w:color w:val="auto"/>
        </w:rPr>
      </w:pPr>
    </w:p>
    <w:p>
      <w:pPr>
        <w:ind w:firstLine="996"/>
        <w:spacing w:after="0" w:line="265" w:lineRule="auto"/>
        <w:tabs>
          <w:tab w:leader="none" w:pos="1434" w:val="left"/>
        </w:tabs>
        <w:numPr>
          <w:ilvl w:val="0"/>
          <w:numId w:val="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other than the full principal amount thereof, the portion of the principal amount of Securities of the series which shall be payable upon declaration of acceleration of the maturity thereof pursuant to Section 6.01;</w:t>
      </w:r>
    </w:p>
    <w:p>
      <w:pPr>
        <w:spacing w:after="0" w:line="126" w:lineRule="exact"/>
        <w:rPr>
          <w:rFonts w:ascii="Times New Roman" w:cs="Times New Roman" w:eastAsia="Times New Roman" w:hAnsi="Times New Roman"/>
          <w:sz w:val="17"/>
          <w:szCs w:val="17"/>
          <w:b w:val="1"/>
          <w:bCs w:val="1"/>
          <w:color w:val="auto"/>
        </w:rPr>
      </w:pPr>
    </w:p>
    <w:p>
      <w:pPr>
        <w:ind w:left="1480" w:hanging="484"/>
        <w:spacing w:after="0"/>
        <w:tabs>
          <w:tab w:leader="none" w:pos="1480" w:val="left"/>
        </w:tabs>
        <w:numPr>
          <w:ilvl w:val="0"/>
          <w:numId w:val="4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additions to or changes in the covenants applicable to the series of Securities being issued, including, among others, the consolidation, merger or</w:t>
      </w:r>
    </w:p>
    <w:p>
      <w:pPr>
        <w:spacing w:after="0" w:line="31" w:lineRule="exact"/>
        <w:rPr>
          <w:rFonts w:ascii="Times New Roman" w:cs="Times New Roman" w:eastAsia="Times New Roman" w:hAnsi="Times New Roman"/>
          <w:sz w:val="16"/>
          <w:szCs w:val="16"/>
          <w:b w:val="1"/>
          <w:bCs w:val="1"/>
          <w:color w:val="auto"/>
        </w:rPr>
      </w:pPr>
    </w:p>
    <w:p>
      <w:pPr>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color w:val="auto"/>
        </w:rPr>
        <w:t>sale covenant;</w:t>
      </w:r>
    </w:p>
    <w:p>
      <w:pPr>
        <w:spacing w:after="0" w:line="157" w:lineRule="exact"/>
        <w:rPr>
          <w:rFonts w:ascii="Times New Roman" w:cs="Times New Roman" w:eastAsia="Times New Roman" w:hAnsi="Times New Roman"/>
          <w:sz w:val="16"/>
          <w:szCs w:val="16"/>
          <w:b w:val="1"/>
          <w:bCs w:val="1"/>
          <w:color w:val="auto"/>
        </w:rPr>
      </w:pPr>
    </w:p>
    <w:p>
      <w:pPr>
        <w:ind w:firstLine="996"/>
        <w:spacing w:after="0" w:line="265" w:lineRule="auto"/>
        <w:tabs>
          <w:tab w:leader="none" w:pos="1465" w:val="left"/>
        </w:tabs>
        <w:numPr>
          <w:ilvl w:val="0"/>
          <w:numId w:val="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additions to or changes in the Events of Default with respect to the Securities and any change in the right of the Trustee or the Securityholders to declare the principal, premium, if any, and interest, if any, with respect to such Securities to be due and payable;</w:t>
      </w:r>
    </w:p>
    <w:p>
      <w:pPr>
        <w:spacing w:after="0" w:line="126" w:lineRule="exact"/>
        <w:rPr>
          <w:rFonts w:ascii="Times New Roman" w:cs="Times New Roman" w:eastAsia="Times New Roman" w:hAnsi="Times New Roman"/>
          <w:sz w:val="17"/>
          <w:szCs w:val="17"/>
          <w:b w:val="1"/>
          <w:bCs w:val="1"/>
          <w:color w:val="auto"/>
        </w:rPr>
      </w:pPr>
    </w:p>
    <w:p>
      <w:pPr>
        <w:ind w:left="1440" w:hanging="444"/>
        <w:spacing w:after="0"/>
        <w:tabs>
          <w:tab w:leader="none" w:pos="1440" w:val="left"/>
        </w:tabs>
        <w:numPr>
          <w:ilvl w:val="0"/>
          <w:numId w:val="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additions to or changes in or deletions of the provisions relating to covenant defeasance and legal defeasance;</w:t>
      </w:r>
    </w:p>
    <w:p>
      <w:pPr>
        <w:spacing w:after="0" w:line="166" w:lineRule="exact"/>
        <w:rPr>
          <w:rFonts w:ascii="Times New Roman" w:cs="Times New Roman" w:eastAsia="Times New Roman" w:hAnsi="Times New Roman"/>
          <w:sz w:val="17"/>
          <w:szCs w:val="17"/>
          <w:b w:val="1"/>
          <w:bCs w:val="1"/>
          <w:color w:val="auto"/>
        </w:rPr>
      </w:pPr>
    </w:p>
    <w:p>
      <w:pPr>
        <w:ind w:left="1440" w:hanging="444"/>
        <w:spacing w:after="0"/>
        <w:tabs>
          <w:tab w:leader="none" w:pos="1440" w:val="left"/>
        </w:tabs>
        <w:numPr>
          <w:ilvl w:val="0"/>
          <w:numId w:val="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additions to or changes in the provisions relating to satisfaction and discharge of this Indenture;</w:t>
      </w:r>
    </w:p>
    <w:p>
      <w:pPr>
        <w:spacing w:after="0" w:line="166" w:lineRule="exact"/>
        <w:rPr>
          <w:rFonts w:ascii="Times New Roman" w:cs="Times New Roman" w:eastAsia="Times New Roman" w:hAnsi="Times New Roman"/>
          <w:sz w:val="17"/>
          <w:szCs w:val="17"/>
          <w:b w:val="1"/>
          <w:bCs w:val="1"/>
          <w:color w:val="auto"/>
        </w:rPr>
      </w:pPr>
    </w:p>
    <w:p>
      <w:pPr>
        <w:ind w:firstLine="996"/>
        <w:spacing w:after="0" w:line="278" w:lineRule="auto"/>
        <w:tabs>
          <w:tab w:leader="none" w:pos="1496" w:val="left"/>
        </w:tabs>
        <w:numPr>
          <w:ilvl w:val="0"/>
          <w:numId w:val="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additions to or changes in the provisions relating to the modification of this Indenture both with and without the consent of Securityholders of Securities issued under this Indenture;</w:t>
      </w:r>
    </w:p>
    <w:p>
      <w:pPr>
        <w:spacing w:after="0" w:line="115" w:lineRule="exact"/>
        <w:rPr>
          <w:rFonts w:ascii="Times New Roman" w:cs="Times New Roman" w:eastAsia="Times New Roman" w:hAnsi="Times New Roman"/>
          <w:sz w:val="17"/>
          <w:szCs w:val="17"/>
          <w:b w:val="1"/>
          <w:bCs w:val="1"/>
          <w:color w:val="auto"/>
        </w:rPr>
      </w:pPr>
    </w:p>
    <w:p>
      <w:pPr>
        <w:ind w:left="1440" w:hanging="444"/>
        <w:spacing w:after="0"/>
        <w:tabs>
          <w:tab w:leader="none" w:pos="1440" w:val="left"/>
        </w:tabs>
        <w:numPr>
          <w:ilvl w:val="0"/>
          <w:numId w:val="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currency of payment of Securities if other than U.S. dollars and the manner of determining the equivalent amount in U.S. dollars;</w:t>
      </w:r>
    </w:p>
    <w:p>
      <w:pPr>
        <w:spacing w:after="0" w:line="166" w:lineRule="exact"/>
        <w:rPr>
          <w:rFonts w:ascii="Times New Roman" w:cs="Times New Roman" w:eastAsia="Times New Roman" w:hAnsi="Times New Roman"/>
          <w:sz w:val="17"/>
          <w:szCs w:val="17"/>
          <w:b w:val="1"/>
          <w:bCs w:val="1"/>
          <w:color w:val="auto"/>
        </w:rPr>
      </w:pPr>
    </w:p>
    <w:p>
      <w:pPr>
        <w:ind w:firstLine="996"/>
        <w:spacing w:after="0" w:line="265" w:lineRule="auto"/>
        <w:tabs>
          <w:tab w:leader="none" w:pos="1444" w:val="left"/>
        </w:tabs>
        <w:numPr>
          <w:ilvl w:val="0"/>
          <w:numId w:val="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whether interest will be payable in cash or additional Securities at the Company’s or the Securityholders’ option and the terms and conditions upon which the election may be made;</w:t>
      </w:r>
    </w:p>
    <w:p>
      <w:pPr>
        <w:spacing w:after="0" w:line="126" w:lineRule="exact"/>
        <w:rPr>
          <w:rFonts w:ascii="Times New Roman" w:cs="Times New Roman" w:eastAsia="Times New Roman" w:hAnsi="Times New Roman"/>
          <w:sz w:val="17"/>
          <w:szCs w:val="17"/>
          <w:b w:val="1"/>
          <w:bCs w:val="1"/>
          <w:color w:val="auto"/>
        </w:rPr>
      </w:pPr>
    </w:p>
    <w:p>
      <w:pPr>
        <w:ind w:firstLine="996"/>
        <w:spacing w:after="0" w:line="278" w:lineRule="auto"/>
        <w:tabs>
          <w:tab w:leader="none" w:pos="1517" w:val="left"/>
        </w:tabs>
        <w:numPr>
          <w:ilvl w:val="0"/>
          <w:numId w:val="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terms and conditions, if any, upon which the Company shall pay amounts in addition to the stated interest, premium, if any and principal amounts of the Securities of the series to any Securityholder that is not a “United States person” for federal tax purposes;</w:t>
      </w:r>
    </w:p>
    <w:p>
      <w:pPr>
        <w:spacing w:after="0" w:line="115" w:lineRule="exact"/>
        <w:rPr>
          <w:rFonts w:ascii="Times New Roman" w:cs="Times New Roman" w:eastAsia="Times New Roman" w:hAnsi="Times New Roman"/>
          <w:sz w:val="17"/>
          <w:szCs w:val="17"/>
          <w:b w:val="1"/>
          <w:bCs w:val="1"/>
          <w:color w:val="auto"/>
        </w:rPr>
      </w:pPr>
    </w:p>
    <w:p>
      <w:pPr>
        <w:ind w:left="1440" w:hanging="444"/>
        <w:spacing w:after="0"/>
        <w:tabs>
          <w:tab w:leader="none" w:pos="1440" w:val="left"/>
        </w:tabs>
        <w:numPr>
          <w:ilvl w:val="0"/>
          <w:numId w:val="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restrictions on transfer, sale or assignment of the Securities of the series;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80"/>
          </w:cols>
          <w:pgMar w:left="300" w:top="1287" w:right="319" w:bottom="1440" w:gutter="0" w:footer="0" w:header="0"/>
        </w:sectPr>
      </w:pPr>
    </w:p>
    <w:bookmarkStart w:id="53" w:name="page54"/>
    <w:bookmarkEnd w:id="53"/>
    <w:p>
      <w:pPr>
        <w:ind w:firstLine="996"/>
        <w:spacing w:after="0" w:line="265" w:lineRule="auto"/>
        <w:tabs>
          <w:tab w:leader="none" w:pos="1465" w:val="left"/>
        </w:tabs>
        <w:numPr>
          <w:ilvl w:val="0"/>
          <w:numId w:val="4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other specific terms, preferences, rights or limitations of, or restrictions on, the Securities, any other additions or changes in the provisions of this Indenture, and any terms that may be required by us or advisable under applicable laws or regulations.</w:t>
      </w:r>
    </w:p>
    <w:p>
      <w:pPr>
        <w:spacing w:after="0" w:line="127" w:lineRule="exact"/>
        <w:rPr>
          <w:sz w:val="20"/>
          <w:szCs w:val="20"/>
          <w:color w:val="auto"/>
        </w:rPr>
      </w:pPr>
    </w:p>
    <w:p>
      <w:pPr>
        <w:jc w:val="both"/>
        <w:ind w:firstLine="496"/>
        <w:spacing w:after="0" w:line="278" w:lineRule="auto"/>
        <w:rPr>
          <w:sz w:val="20"/>
          <w:szCs w:val="20"/>
          <w:color w:val="auto"/>
        </w:rPr>
      </w:pPr>
      <w:r>
        <w:rPr>
          <w:rFonts w:ascii="Times New Roman" w:cs="Times New Roman" w:eastAsia="Times New Roman" w:hAnsi="Times New Roman"/>
          <w:sz w:val="17"/>
          <w:szCs w:val="17"/>
          <w:color w:val="auto"/>
        </w:rPr>
        <w:t>All Securities of any one series shall be substantially identical except as may otherwise be provided in or pursuant to any such Board Resolution or in any indentures supplemental hereto.</w:t>
      </w:r>
    </w:p>
    <w:p>
      <w:pPr>
        <w:spacing w:after="0" w:line="116"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7"/>
          <w:szCs w:val="17"/>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37"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7"/>
          <w:szCs w:val="17"/>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pacing w:after="0" w:line="128" w:lineRule="exact"/>
        <w:rPr>
          <w:sz w:val="20"/>
          <w:szCs w:val="20"/>
          <w:color w:val="auto"/>
        </w:rPr>
      </w:pPr>
    </w:p>
    <w:p>
      <w:pPr>
        <w:jc w:val="both"/>
        <w:ind w:firstLine="496"/>
        <w:spacing w:after="0" w:line="249" w:lineRule="auto"/>
        <w:rPr>
          <w:sz w:val="20"/>
          <w:szCs w:val="20"/>
          <w:color w:val="auto"/>
        </w:rPr>
      </w:pPr>
      <w:r>
        <w:rPr>
          <w:rFonts w:ascii="Times New Roman" w:cs="Times New Roman" w:eastAsia="Times New Roman" w:hAnsi="Times New Roman"/>
          <w:sz w:val="17"/>
          <w:szCs w:val="17"/>
          <w:b w:val="1"/>
          <w:bCs w:val="1"/>
          <w:color w:val="auto"/>
        </w:rPr>
        <w:t>Section 2.02 Form of Securities and Trustee’s Certificate</w:t>
      </w:r>
      <w:r>
        <w:rPr>
          <w:rFonts w:ascii="Times New Roman" w:cs="Times New Roman" w:eastAsia="Times New Roman" w:hAnsi="Times New Roman"/>
          <w:sz w:val="17"/>
          <w:szCs w:val="17"/>
          <w:color w:val="auto"/>
        </w:rPr>
        <w:t>. The Securities of any series and the Trustee’s certificate of authentication to be borne by such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spacing w:after="0" w:line="138" w:lineRule="exact"/>
        <w:rPr>
          <w:sz w:val="20"/>
          <w:szCs w:val="20"/>
          <w:color w:val="auto"/>
        </w:rPr>
      </w:pPr>
    </w:p>
    <w:p>
      <w:pPr>
        <w:jc w:val="both"/>
        <w:ind w:firstLine="496"/>
        <w:spacing w:after="0" w:line="268" w:lineRule="auto"/>
        <w:rPr>
          <w:sz w:val="20"/>
          <w:szCs w:val="20"/>
          <w:color w:val="auto"/>
        </w:rPr>
      </w:pPr>
      <w:r>
        <w:rPr>
          <w:rFonts w:ascii="Times New Roman" w:cs="Times New Roman" w:eastAsia="Times New Roman" w:hAnsi="Times New Roman"/>
          <w:sz w:val="16"/>
          <w:szCs w:val="16"/>
          <w:b w:val="1"/>
          <w:bCs w:val="1"/>
          <w:color w:val="auto"/>
        </w:rPr>
        <w:t>Section 2.03 Denominations: Provisions for Payment</w:t>
      </w:r>
      <w:r>
        <w:rPr>
          <w:rFonts w:ascii="Times New Roman" w:cs="Times New Roman" w:eastAsia="Times New Roman" w:hAnsi="Times New Roman"/>
          <w:sz w:val="16"/>
          <w:szCs w:val="16"/>
          <w:color w:val="auto"/>
        </w:rPr>
        <w:t>. The Securities shall be issuable as registered Securities and in the denominations of one thousand U.S.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dollars ($1,000) or any integral multiple thereof, subject to Section 2.01(a)(13). The Securities of a particular series shall bear interest payable on the dates and at the rate specified with respect to that series. Subject to Section 2.01(a)(23), the principal of and the interest on the Securities of any series, as well as any premium thereon in case of redemption or repurchase thereof prior to maturity, and any cash amount due upon conversion or exchange thereof, shall be payable in the coin or currency of the United States of America that at the time is legal tender for public and private debt, at the office or agency of the Company maintained for that purpose. Each Security shall be dated the date of its authentication. Interest on the Securities shall be computed on the basis of a 360-day year composed of twelve 30-day months.</w:t>
      </w:r>
    </w:p>
    <w:p>
      <w:pPr>
        <w:spacing w:after="0" w:line="126"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7"/>
          <w:szCs w:val="17"/>
          <w:color w:val="auto"/>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80"/>
          </w:cols>
          <w:pgMar w:left="300" w:top="1287" w:right="319" w:bottom="1440" w:gutter="0" w:footer="0" w:header="0"/>
        </w:sectPr>
      </w:pPr>
    </w:p>
    <w:bookmarkStart w:id="54" w:name="page55"/>
    <w:bookmarkEnd w:id="54"/>
    <w:p>
      <w:pPr>
        <w:jc w:val="both"/>
        <w:spacing w:after="0" w:line="265" w:lineRule="auto"/>
        <w:rPr>
          <w:sz w:val="20"/>
          <w:szCs w:val="20"/>
          <w:color w:val="auto"/>
        </w:rPr>
      </w:pPr>
      <w:r>
        <w:rPr>
          <w:rFonts w:ascii="Times New Roman" w:cs="Times New Roman" w:eastAsia="Times New Roman" w:hAnsi="Times New Roman"/>
          <w:sz w:val="17"/>
          <w:szCs w:val="17"/>
          <w:color w:val="auto"/>
        </w:rPr>
        <w:t>is subsequent to a regular record date with respect to any Interest Payment Date and prior to such Interest Payment Date, interest on such Security will be paid upon presentation and surrender of such Security as provided in Section 3.03.</w:t>
      </w:r>
    </w:p>
    <w:p>
      <w:pPr>
        <w:spacing w:after="0" w:line="127"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7"/>
          <w:szCs w:val="17"/>
          <w:color w:val="auto"/>
        </w:rPr>
        <w:t>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132" w:lineRule="exact"/>
        <w:rPr>
          <w:sz w:val="20"/>
          <w:szCs w:val="20"/>
          <w:color w:val="auto"/>
        </w:rPr>
      </w:pPr>
    </w:p>
    <w:p>
      <w:pPr>
        <w:jc w:val="both"/>
        <w:ind w:firstLine="996"/>
        <w:spacing w:after="0" w:line="245" w:lineRule="auto"/>
        <w:tabs>
          <w:tab w:leader="none" w:pos="1455" w:val="left"/>
        </w:tabs>
        <w:numPr>
          <w:ilvl w:val="0"/>
          <w:numId w:val="5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may make payment of any Defaulted Interest on Securities to the Persons in whose names such Securities (or their respective Predecessor Securities) are registered in the Security Register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sent, to each Securityholder not less than 10 days prior to such special record date. Notice of the proposed payment of such Defaulted Interest and the special record date therefor having been sent as aforesaid, such Defaulted Interest shall be paid to the Persons in whose names such Securities (or their respective Predecessor Securities) are registered in the Security Register on such special record date.</w:t>
      </w:r>
    </w:p>
    <w:p>
      <w:pPr>
        <w:spacing w:after="0" w:line="149" w:lineRule="exact"/>
        <w:rPr>
          <w:rFonts w:ascii="Times New Roman" w:cs="Times New Roman" w:eastAsia="Times New Roman" w:hAnsi="Times New Roman"/>
          <w:sz w:val="17"/>
          <w:szCs w:val="17"/>
          <w:b w:val="1"/>
          <w:bCs w:val="1"/>
          <w:color w:val="auto"/>
        </w:rPr>
      </w:pPr>
    </w:p>
    <w:p>
      <w:pPr>
        <w:jc w:val="both"/>
        <w:ind w:firstLine="996"/>
        <w:spacing w:after="0" w:line="259" w:lineRule="auto"/>
        <w:tabs>
          <w:tab w:leader="none" w:pos="1372" w:val="left"/>
        </w:tabs>
        <w:numPr>
          <w:ilvl w:val="0"/>
          <w:numId w:val="5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32" w:lineRule="exact"/>
        <w:rPr>
          <w:sz w:val="20"/>
          <w:szCs w:val="20"/>
          <w:color w:val="auto"/>
        </w:rPr>
      </w:pPr>
    </w:p>
    <w:p>
      <w:pPr>
        <w:jc w:val="both"/>
        <w:ind w:firstLine="496"/>
        <w:spacing w:after="0" w:line="269" w:lineRule="auto"/>
        <w:rPr>
          <w:sz w:val="20"/>
          <w:szCs w:val="20"/>
          <w:color w:val="auto"/>
        </w:rPr>
      </w:pPr>
      <w:r>
        <w:rPr>
          <w:rFonts w:ascii="Times New Roman" w:cs="Times New Roman" w:eastAsia="Times New Roman" w:hAnsi="Times New Roman"/>
          <w:sz w:val="16"/>
          <w:szCs w:val="16"/>
          <w:color w:val="auto"/>
        </w:rPr>
        <w:t>Unless otherwise set forth in a Board Resolution or one or more indentures supplemental hereto establishing the terms of any series of Securities pursuant to Section 2.01 hereof, the term “regular record date” as used in this Section with respect to a series of Securities and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first day of the month in which an Interest Payment Date established for such series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280"/>
          </w:cols>
          <w:pgMar w:left="300" w:top="1287"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color w:val="auto"/>
        </w:rPr>
        <w:t>Section 2.01 hereof shall occur, if such Interest Payment Date is the fifteenth day of a month, whether or not such date is a Business Day.</w:t>
      </w:r>
    </w:p>
    <w:p>
      <w:pPr>
        <w:spacing w:after="0" w:line="166" w:lineRule="exact"/>
        <w:rPr>
          <w:sz w:val="20"/>
          <w:szCs w:val="20"/>
          <w:color w:val="auto"/>
        </w:rPr>
      </w:pPr>
    </w:p>
    <w:p>
      <w:pPr>
        <w:jc w:val="both"/>
        <w:ind w:firstLine="496"/>
        <w:spacing w:after="0" w:line="265" w:lineRule="auto"/>
        <w:rPr>
          <w:sz w:val="20"/>
          <w:szCs w:val="20"/>
          <w:color w:val="auto"/>
        </w:rPr>
      </w:pPr>
      <w:r>
        <w:rPr>
          <w:rFonts w:ascii="Times New Roman" w:cs="Times New Roman" w:eastAsia="Times New Roman" w:hAnsi="Times New Roman"/>
          <w:sz w:val="17"/>
          <w:szCs w:val="17"/>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133" w:lineRule="exact"/>
        <w:rPr>
          <w:sz w:val="20"/>
          <w:szCs w:val="20"/>
          <w:color w:val="auto"/>
        </w:rPr>
      </w:pPr>
    </w:p>
    <w:p>
      <w:pPr>
        <w:jc w:val="both"/>
        <w:ind w:firstLine="496"/>
        <w:spacing w:after="0" w:line="270" w:lineRule="auto"/>
        <w:rPr>
          <w:sz w:val="20"/>
          <w:szCs w:val="20"/>
          <w:color w:val="auto"/>
        </w:rPr>
      </w:pPr>
      <w:r>
        <w:rPr>
          <w:rFonts w:ascii="Times New Roman" w:cs="Times New Roman" w:eastAsia="Times New Roman" w:hAnsi="Times New Roman"/>
          <w:sz w:val="17"/>
          <w:szCs w:val="17"/>
          <w:b w:val="1"/>
          <w:bCs w:val="1"/>
          <w:color w:val="auto"/>
        </w:rPr>
        <w:t>Section 2.04 Execution and Authentications</w:t>
      </w:r>
      <w:r>
        <w:rPr>
          <w:rFonts w:ascii="Times New Roman" w:cs="Times New Roman" w:eastAsia="Times New Roman" w:hAnsi="Times New Roman"/>
          <w:sz w:val="17"/>
          <w:szCs w:val="17"/>
          <w:color w:val="auto"/>
        </w:rPr>
        <w:t>. The Securities shall be signed on behalf of the Company by one of its Officers. Signatures may be in the form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 manual or facsimile signature.</w:t>
      </w:r>
    </w:p>
    <w:p>
      <w:pPr>
        <w:spacing w:after="0" w:line="123" w:lineRule="exact"/>
        <w:rPr>
          <w:sz w:val="20"/>
          <w:szCs w:val="20"/>
          <w:color w:val="auto"/>
        </w:rPr>
      </w:pPr>
    </w:p>
    <w:p>
      <w:pPr>
        <w:jc w:val="both"/>
        <w:ind w:firstLine="496"/>
        <w:spacing w:after="0" w:line="276" w:lineRule="auto"/>
        <w:rPr>
          <w:sz w:val="20"/>
          <w:szCs w:val="20"/>
          <w:color w:val="auto"/>
        </w:rPr>
      </w:pPr>
      <w:r>
        <w:rPr>
          <w:rFonts w:ascii="Times New Roman" w:cs="Times New Roman" w:eastAsia="Times New Roman" w:hAnsi="Times New Roman"/>
          <w:sz w:val="16"/>
          <w:szCs w:val="16"/>
          <w:color w:val="auto"/>
        </w:rPr>
        <w:t>The Company may use the facsimile signature of any Person who shall have been an Officer (at the time of execution),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w:t>
      </w:r>
    </w:p>
    <w:p>
      <w:pPr>
        <w:spacing w:after="0" w:line="131" w:lineRule="exact"/>
        <w:rPr>
          <w:sz w:val="20"/>
          <w:szCs w:val="20"/>
          <w:color w:val="auto"/>
        </w:rPr>
      </w:pPr>
    </w:p>
    <w:p>
      <w:pPr>
        <w:jc w:val="both"/>
        <w:ind w:firstLine="496"/>
        <w:spacing w:after="0" w:line="247" w:lineRule="auto"/>
        <w:rPr>
          <w:sz w:val="20"/>
          <w:szCs w:val="20"/>
          <w:color w:val="auto"/>
        </w:rPr>
      </w:pPr>
      <w:r>
        <w:rPr>
          <w:rFonts w:ascii="Times New Roman" w:cs="Times New Roman" w:eastAsia="Times New Roman" w:hAnsi="Times New Roman"/>
          <w:sz w:val="17"/>
          <w:szCs w:val="17"/>
          <w:color w:val="auto"/>
        </w:rPr>
        <w:t>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an Officer, and the Trustee in accordance with such written order shall authenticate and deliver such Securities.</w:t>
      </w:r>
    </w:p>
    <w:p>
      <w:pPr>
        <w:spacing w:after="0" w:line="142"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7"/>
          <w:szCs w:val="17"/>
          <w:color w:val="auto"/>
        </w:rPr>
        <w:t>Upon the Company’s delivery of any such authentication order to the Trustee at any time after the initial issuance of Securities under this Indenture, the Trustee shall be provided with, and (subject to Sections 315(a) through 315(d) of the Trust Indenture Act) shall be fully protected in relying upon, (1) an Opinion of Counsel or reliance letter and (2) an Officer’s Certificate stating that all conditions precedent to the execution, authentication and delivery of such Securities are in conformity with the provisions of this Indenture.</w:t>
      </w:r>
    </w:p>
    <w:p>
      <w:pPr>
        <w:spacing w:after="0" w:line="137" w:lineRule="exact"/>
        <w:rPr>
          <w:sz w:val="20"/>
          <w:szCs w:val="20"/>
          <w:color w:val="auto"/>
        </w:rPr>
      </w:pPr>
    </w:p>
    <w:p>
      <w:pPr>
        <w:jc w:val="both"/>
        <w:ind w:firstLine="496"/>
        <w:spacing w:after="0" w:line="265" w:lineRule="auto"/>
        <w:rPr>
          <w:sz w:val="20"/>
          <w:szCs w:val="20"/>
          <w:color w:val="auto"/>
        </w:rPr>
      </w:pPr>
      <w:r>
        <w:rPr>
          <w:rFonts w:ascii="Times New Roman" w:cs="Times New Roman" w:eastAsia="Times New Roman" w:hAnsi="Times New Roman"/>
          <w:sz w:val="17"/>
          <w:szCs w:val="17"/>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133" w:lineRule="exact"/>
        <w:rPr>
          <w:sz w:val="20"/>
          <w:szCs w:val="20"/>
          <w:color w:val="auto"/>
        </w:rPr>
      </w:pPr>
    </w:p>
    <w:p>
      <w:pPr>
        <w:ind w:left="500"/>
        <w:spacing w:after="0"/>
        <w:tabs>
          <w:tab w:leader="none" w:pos="1500" w:val="left"/>
        </w:tabs>
        <w:rPr>
          <w:sz w:val="20"/>
          <w:szCs w:val="20"/>
          <w:color w:val="auto"/>
        </w:rPr>
      </w:pPr>
      <w:r>
        <w:rPr>
          <w:rFonts w:ascii="Times New Roman" w:cs="Times New Roman" w:eastAsia="Times New Roman" w:hAnsi="Times New Roman"/>
          <w:sz w:val="17"/>
          <w:szCs w:val="17"/>
          <w:b w:val="1"/>
          <w:bCs w:val="1"/>
          <w:color w:val="auto"/>
        </w:rPr>
        <w:t>Section 2.05</w:t>
      </w:r>
      <w:r>
        <w:rPr>
          <w:sz w:val="20"/>
          <w:szCs w:val="20"/>
          <w:color w:val="auto"/>
        </w:rPr>
        <w:tab/>
      </w:r>
      <w:r>
        <w:rPr>
          <w:rFonts w:ascii="Times New Roman" w:cs="Times New Roman" w:eastAsia="Times New Roman" w:hAnsi="Times New Roman"/>
          <w:sz w:val="16"/>
          <w:szCs w:val="16"/>
          <w:b w:val="1"/>
          <w:bCs w:val="1"/>
          <w:color w:val="auto"/>
        </w:rPr>
        <w:t>Registration of Transfer and Exchange</w:t>
      </w:r>
      <w:r>
        <w:rPr>
          <w:rFonts w:ascii="Times New Roman" w:cs="Times New Roman" w:eastAsia="Times New Roman" w:hAnsi="Times New Roman"/>
          <w:sz w:val="16"/>
          <w:szCs w:val="16"/>
          <w:color w:val="auto"/>
        </w:rPr>
        <w:t>.</w:t>
      </w:r>
    </w:p>
    <w:p>
      <w:pPr>
        <w:spacing w:after="0" w:line="170" w:lineRule="exact"/>
        <w:rPr>
          <w:sz w:val="20"/>
          <w:szCs w:val="20"/>
          <w:color w:val="auto"/>
        </w:rPr>
      </w:pPr>
    </w:p>
    <w:p>
      <w:pPr>
        <w:jc w:val="both"/>
        <w:ind w:firstLine="996"/>
        <w:spacing w:after="0" w:line="253" w:lineRule="auto"/>
        <w:tabs>
          <w:tab w:leader="none" w:pos="1382" w:val="left"/>
        </w:tabs>
        <w:numPr>
          <w:ilvl w:val="0"/>
          <w:numId w:val="5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Securities of any series may be exchanged upon presentation thereof at the office or agency of the Company designated for such purpose, for other Securities of such series of authorized denominations, and for a like aggregate principal amount, upon payment of a sum sufficient to cover any tax or other governmental charge in relation thereto, all as provided in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280"/>
          </w:cols>
          <w:pgMar w:left="300" w:top="1287" w:right="319" w:bottom="1440" w:gutter="0" w:footer="0" w:header="0"/>
        </w:sectPr>
      </w:pPr>
    </w:p>
    <w:bookmarkStart w:id="56" w:name="page57"/>
    <w:bookmarkEnd w:id="56"/>
    <w:p>
      <w:pPr>
        <w:jc w:val="both"/>
        <w:spacing w:after="0" w:line="253" w:lineRule="auto"/>
        <w:rPr>
          <w:sz w:val="20"/>
          <w:szCs w:val="20"/>
          <w:color w:val="auto"/>
        </w:rPr>
      </w:pPr>
      <w:r>
        <w:rPr>
          <w:rFonts w:ascii="Times New Roman" w:cs="Times New Roman" w:eastAsia="Times New Roman" w:hAnsi="Times New Roman"/>
          <w:sz w:val="17"/>
          <w:szCs w:val="17"/>
          <w:color w:val="auto"/>
        </w:rPr>
        <w:t>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147" w:lineRule="exact"/>
        <w:rPr>
          <w:sz w:val="20"/>
          <w:szCs w:val="20"/>
          <w:color w:val="auto"/>
        </w:rPr>
      </w:pPr>
    </w:p>
    <w:p>
      <w:pPr>
        <w:jc w:val="both"/>
        <w:ind w:firstLine="996"/>
        <w:spacing w:after="0" w:line="249" w:lineRule="auto"/>
        <w:tabs>
          <w:tab w:leader="none" w:pos="1412" w:val="left"/>
        </w:tabs>
        <w:numPr>
          <w:ilvl w:val="0"/>
          <w:numId w:val="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shall keep, or cause to be kept, at its office or agency designated for such purpose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or Supplemental Indenture (the “Security Registrar”).</w:t>
      </w:r>
    </w:p>
    <w:p>
      <w:pPr>
        <w:spacing w:after="0" w:line="140"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7"/>
          <w:szCs w:val="17"/>
          <w:color w:val="auto"/>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spacing w:after="0" w:line="13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Company initially appoints the Trustee as Security Registrar for each series of Securities.</w:t>
      </w:r>
    </w:p>
    <w:p>
      <w:pPr>
        <w:spacing w:after="0" w:line="166"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7"/>
          <w:szCs w:val="17"/>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147" w:lineRule="exact"/>
        <w:rPr>
          <w:sz w:val="20"/>
          <w:szCs w:val="20"/>
          <w:color w:val="auto"/>
        </w:rPr>
      </w:pPr>
    </w:p>
    <w:p>
      <w:pPr>
        <w:jc w:val="both"/>
        <w:ind w:firstLine="996"/>
        <w:spacing w:after="0" w:line="247" w:lineRule="auto"/>
        <w:tabs>
          <w:tab w:leader="none" w:pos="1373" w:val="left"/>
        </w:tabs>
        <w:numPr>
          <w:ilvl w:val="0"/>
          <w:numId w:val="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Except as provided pursuant to Section 2.01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or repurchase, conversion or exchange of less than the entire principal amount of a Security, but the Company may require payment of a sum sufficient to cover any tax or other governmental charge in relation thereto, other than exchanges pursuant to Section 2.06, Section 3.03(b) and Section 9.04 not involving any transfer.</w:t>
      </w:r>
    </w:p>
    <w:p>
      <w:pPr>
        <w:spacing w:after="0" w:line="152" w:lineRule="exact"/>
        <w:rPr>
          <w:rFonts w:ascii="Times New Roman" w:cs="Times New Roman" w:eastAsia="Times New Roman" w:hAnsi="Times New Roman"/>
          <w:sz w:val="17"/>
          <w:szCs w:val="17"/>
          <w:b w:val="1"/>
          <w:bCs w:val="1"/>
          <w:color w:val="auto"/>
        </w:rPr>
      </w:pPr>
    </w:p>
    <w:p>
      <w:pPr>
        <w:jc w:val="both"/>
        <w:ind w:firstLine="996"/>
        <w:spacing w:after="0" w:line="247" w:lineRule="auto"/>
        <w:tabs>
          <w:tab w:leader="none" w:pos="1453" w:val="left"/>
        </w:tabs>
        <w:numPr>
          <w:ilvl w:val="0"/>
          <w:numId w:val="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and the Security Registrar shall not be required (i) to issue, exchange or register the transfer of any Securities during a period beginning at the opening of business 15 days before the day of the sending of a notice of redemption of less than all the Outstanding Securities of the same series and ending at the close of business on the day of such sending, nor (ii) to register the transfer of or exchange any Securities of any series or portions thereof called for redemption or surrendered for repurchase, but not validly withdrawn, other than the unredeemed portion of any such Securities being redeemed in part or not surrendered for repurchase, as the case may be. The provisions of this Section 2.05 are, with respect to any Global Security, subject to Section 2.11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280"/>
          </w:cols>
          <w:pgMar w:left="300" w:top="1287" w:right="319" w:bottom="1440" w:gutter="0" w:footer="0" w:header="0"/>
        </w:sectPr>
      </w:pPr>
    </w:p>
    <w:bookmarkStart w:id="57" w:name="page58"/>
    <w:bookmarkEnd w:id="57"/>
    <w:p>
      <w:pPr>
        <w:jc w:val="both"/>
        <w:ind w:firstLine="496"/>
        <w:spacing w:after="0" w:line="274" w:lineRule="auto"/>
        <w:rPr>
          <w:sz w:val="20"/>
          <w:szCs w:val="20"/>
          <w:color w:val="auto"/>
        </w:rPr>
      </w:pPr>
      <w:r>
        <w:rPr>
          <w:rFonts w:ascii="Times New Roman" w:cs="Times New Roman" w:eastAsia="Times New Roman" w:hAnsi="Times New Roman"/>
          <w:sz w:val="16"/>
          <w:szCs w:val="16"/>
          <w:color w:val="auto"/>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18" w:lineRule="exact"/>
        <w:rPr>
          <w:sz w:val="20"/>
          <w:szCs w:val="20"/>
          <w:color w:val="auto"/>
        </w:rPr>
      </w:pPr>
    </w:p>
    <w:p>
      <w:pPr>
        <w:jc w:val="both"/>
        <w:ind w:firstLine="496"/>
        <w:spacing w:after="0" w:line="262" w:lineRule="auto"/>
        <w:rPr>
          <w:sz w:val="20"/>
          <w:szCs w:val="20"/>
          <w:color w:val="auto"/>
        </w:rPr>
      </w:pPr>
      <w:r>
        <w:rPr>
          <w:rFonts w:ascii="Times New Roman" w:cs="Times New Roman" w:eastAsia="Times New Roman" w:hAnsi="Times New Roman"/>
          <w:sz w:val="16"/>
          <w:szCs w:val="16"/>
          <w:b w:val="1"/>
          <w:bCs w:val="1"/>
          <w:color w:val="auto"/>
        </w:rPr>
        <w:t>Section 2.06 Temporary Securities</w:t>
      </w:r>
      <w:r>
        <w:rPr>
          <w:rFonts w:ascii="Times New Roman" w:cs="Times New Roman" w:eastAsia="Times New Roman" w:hAnsi="Times New Roman"/>
          <w:sz w:val="16"/>
          <w:szCs w:val="16"/>
          <w:color w:val="auto"/>
        </w:rPr>
        <w:t>. Pending the preparation of definitive Securities of any series, the Company may execute, and the Trustee shall authenticate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Securityholders), at the office or agency of the Company designated for the purpose,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143" w:lineRule="exact"/>
        <w:rPr>
          <w:sz w:val="20"/>
          <w:szCs w:val="20"/>
          <w:color w:val="auto"/>
        </w:rPr>
      </w:pPr>
    </w:p>
    <w:p>
      <w:pPr>
        <w:jc w:val="both"/>
        <w:ind w:firstLine="496"/>
        <w:spacing w:after="0" w:line="246" w:lineRule="auto"/>
        <w:rPr>
          <w:sz w:val="20"/>
          <w:szCs w:val="20"/>
          <w:color w:val="auto"/>
        </w:rPr>
      </w:pPr>
      <w:r>
        <w:rPr>
          <w:rFonts w:ascii="Times New Roman" w:cs="Times New Roman" w:eastAsia="Times New Roman" w:hAnsi="Times New Roman"/>
          <w:sz w:val="17"/>
          <w:szCs w:val="17"/>
          <w:b w:val="1"/>
          <w:bCs w:val="1"/>
          <w:color w:val="auto"/>
        </w:rPr>
        <w:t>Section 2.07 Mutilated, Destroyed, Lost or Stolen Securities</w:t>
      </w:r>
      <w:r>
        <w:rPr>
          <w:rFonts w:ascii="Times New Roman" w:cs="Times New Roman" w:eastAsia="Times New Roman" w:hAnsi="Times New Roman"/>
          <w:sz w:val="17"/>
          <w:szCs w:val="17"/>
          <w:color w:val="auto"/>
        </w:rPr>
        <w:t>. In case any temporary or definitive Security shall become mutilated or be destroyed, lost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1280"/>
          </w:cols>
          <w:pgMar w:left="300" w:top="1287" w:right="319" w:bottom="1440" w:gutter="0" w:footer="0" w:header="0"/>
        </w:sectPr>
      </w:pPr>
    </w:p>
    <w:bookmarkStart w:id="58" w:name="page59"/>
    <w:bookmarkEnd w:id="58"/>
    <w:p>
      <w:pPr>
        <w:jc w:val="both"/>
        <w:ind w:firstLine="496"/>
        <w:spacing w:after="0" w:line="253" w:lineRule="auto"/>
        <w:rPr>
          <w:sz w:val="20"/>
          <w:szCs w:val="20"/>
          <w:color w:val="auto"/>
        </w:rPr>
      </w:pPr>
      <w:r>
        <w:rPr>
          <w:rFonts w:ascii="Times New Roman" w:cs="Times New Roman" w:eastAsia="Times New Roman" w:hAnsi="Times New Roman"/>
          <w:sz w:val="17"/>
          <w:szCs w:val="17"/>
          <w:color w:val="auto"/>
        </w:rPr>
        <w:t>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137" w:lineRule="exact"/>
        <w:rPr>
          <w:sz w:val="20"/>
          <w:szCs w:val="20"/>
          <w:color w:val="auto"/>
        </w:rPr>
      </w:pPr>
    </w:p>
    <w:p>
      <w:pPr>
        <w:jc w:val="both"/>
        <w:ind w:firstLine="496"/>
        <w:spacing w:after="0" w:line="248" w:lineRule="auto"/>
        <w:rPr>
          <w:sz w:val="20"/>
          <w:szCs w:val="20"/>
          <w:color w:val="auto"/>
        </w:rPr>
      </w:pPr>
      <w:r>
        <w:rPr>
          <w:rFonts w:ascii="Times New Roman" w:cs="Times New Roman" w:eastAsia="Times New Roman" w:hAnsi="Times New Roman"/>
          <w:sz w:val="17"/>
          <w:szCs w:val="17"/>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139" w:lineRule="exact"/>
        <w:rPr>
          <w:sz w:val="20"/>
          <w:szCs w:val="20"/>
          <w:color w:val="auto"/>
        </w:rPr>
      </w:pPr>
    </w:p>
    <w:p>
      <w:pPr>
        <w:jc w:val="both"/>
        <w:ind w:firstLine="496"/>
        <w:spacing w:after="0" w:line="248" w:lineRule="auto"/>
        <w:rPr>
          <w:sz w:val="20"/>
          <w:szCs w:val="20"/>
          <w:color w:val="auto"/>
        </w:rPr>
      </w:pPr>
      <w:r>
        <w:rPr>
          <w:rFonts w:ascii="Times New Roman" w:cs="Times New Roman" w:eastAsia="Times New Roman" w:hAnsi="Times New Roman"/>
          <w:sz w:val="17"/>
          <w:szCs w:val="17"/>
          <w:b w:val="1"/>
          <w:bCs w:val="1"/>
          <w:color w:val="auto"/>
        </w:rPr>
        <w:t>Section 2.08 Cancellation</w:t>
      </w:r>
      <w:r>
        <w:rPr>
          <w:rFonts w:ascii="Times New Roman" w:cs="Times New Roman" w:eastAsia="Times New Roman" w:hAnsi="Times New Roman"/>
          <w:sz w:val="17"/>
          <w:szCs w:val="17"/>
          <w:color w:val="auto"/>
        </w:rPr>
        <w:t>. All Securities surrendered for the purpose of payment, redemption, repurchase, exchange, registration of transfer or conversion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if surrendered to the Company or any paying agent (or any other applicable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137" w:lineRule="exact"/>
        <w:rPr>
          <w:sz w:val="20"/>
          <w:szCs w:val="20"/>
          <w:color w:val="auto"/>
        </w:rPr>
      </w:pPr>
    </w:p>
    <w:p>
      <w:pPr>
        <w:jc w:val="both"/>
        <w:ind w:firstLine="496"/>
        <w:spacing w:after="0" w:line="286" w:lineRule="auto"/>
        <w:rPr>
          <w:sz w:val="20"/>
          <w:szCs w:val="20"/>
          <w:color w:val="auto"/>
        </w:rPr>
      </w:pPr>
      <w:r>
        <w:rPr>
          <w:rFonts w:ascii="Times New Roman" w:cs="Times New Roman" w:eastAsia="Times New Roman" w:hAnsi="Times New Roman"/>
          <w:sz w:val="16"/>
          <w:szCs w:val="16"/>
          <w:b w:val="1"/>
          <w:bCs w:val="1"/>
          <w:color w:val="auto"/>
        </w:rPr>
        <w:t>Section 2.09 Benefits of Indenture</w:t>
      </w:r>
      <w:r>
        <w:rPr>
          <w:rFonts w:ascii="Times New Roman" w:cs="Times New Roman" w:eastAsia="Times New Roman" w:hAnsi="Times New Roman"/>
          <w:sz w:val="16"/>
          <w:szCs w:val="16"/>
          <w:color w:val="auto"/>
        </w:rPr>
        <w:t>. Nothing in this Indenture or in the Securities, express or implied, shall give or be construed to give to any Person, other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w:t>
      </w:r>
    </w:p>
    <w:p>
      <w:pPr>
        <w:spacing w:after="0" w:line="108"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7"/>
          <w:szCs w:val="17"/>
          <w:b w:val="1"/>
          <w:bCs w:val="1"/>
          <w:color w:val="auto"/>
        </w:rPr>
        <w:t>Section 2.10 Authenticating Agent</w:t>
      </w:r>
      <w:r>
        <w:rPr>
          <w:rFonts w:ascii="Times New Roman" w:cs="Times New Roman" w:eastAsia="Times New Roman" w:hAnsi="Times New Roman"/>
          <w:sz w:val="17"/>
          <w:szCs w:val="17"/>
          <w:color w:val="auto"/>
        </w:rPr>
        <w:t>. So long as any of the Securities of any series remain Outstanding there may be an Authenticating Agent for any or all such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series of Securities which the Trustee shall have the right to appoint. Said Authenticating Agent shall be authorized to act on behalf of the Trustee to authenticate Securities of such series issued upon exchange, transfer or partial redemption, repurchase or conversion thereof, and Securities so authenticated shall be entitled to the benefits of this Indenture and shall be valid and obligatory for all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1280"/>
          </w:cols>
          <w:pgMar w:left="300" w:top="1287" w:right="319" w:bottom="1440" w:gutter="0" w:footer="0" w:header="0"/>
        </w:sectPr>
      </w:pPr>
    </w:p>
    <w:bookmarkStart w:id="59" w:name="page60"/>
    <w:bookmarkEnd w:id="59"/>
    <w:p>
      <w:pPr>
        <w:jc w:val="both"/>
        <w:spacing w:after="0" w:line="250" w:lineRule="auto"/>
        <w:rPr>
          <w:sz w:val="20"/>
          <w:szCs w:val="20"/>
          <w:color w:val="auto"/>
        </w:rPr>
      </w:pPr>
      <w:r>
        <w:rPr>
          <w:rFonts w:ascii="Times New Roman" w:cs="Times New Roman" w:eastAsia="Times New Roman" w:hAnsi="Times New Roman"/>
          <w:sz w:val="17"/>
          <w:szCs w:val="17"/>
          <w:color w:val="auto"/>
        </w:rPr>
        <w:t>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140"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7"/>
          <w:szCs w:val="17"/>
          <w:color w:val="auto"/>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136" w:lineRule="exact"/>
        <w:rPr>
          <w:sz w:val="20"/>
          <w:szCs w:val="20"/>
          <w:color w:val="auto"/>
        </w:rPr>
      </w:pPr>
    </w:p>
    <w:p>
      <w:pPr>
        <w:ind w:left="500"/>
        <w:spacing w:after="0"/>
        <w:tabs>
          <w:tab w:leader="none" w:pos="1480" w:val="left"/>
        </w:tabs>
        <w:rPr>
          <w:sz w:val="20"/>
          <w:szCs w:val="20"/>
          <w:color w:val="auto"/>
        </w:rPr>
      </w:pPr>
      <w:r>
        <w:rPr>
          <w:rFonts w:ascii="Times New Roman" w:cs="Times New Roman" w:eastAsia="Times New Roman" w:hAnsi="Times New Roman"/>
          <w:sz w:val="17"/>
          <w:szCs w:val="17"/>
          <w:b w:val="1"/>
          <w:bCs w:val="1"/>
          <w:color w:val="auto"/>
        </w:rPr>
        <w:t>Section 2.11</w:t>
      </w:r>
      <w:r>
        <w:rPr>
          <w:sz w:val="20"/>
          <w:szCs w:val="20"/>
          <w:color w:val="auto"/>
        </w:rPr>
        <w:tab/>
      </w:r>
      <w:r>
        <w:rPr>
          <w:rFonts w:ascii="Times New Roman" w:cs="Times New Roman" w:eastAsia="Times New Roman" w:hAnsi="Times New Roman"/>
          <w:sz w:val="16"/>
          <w:szCs w:val="16"/>
          <w:b w:val="1"/>
          <w:bCs w:val="1"/>
          <w:color w:val="auto"/>
        </w:rPr>
        <w:t>Global Securities</w:t>
      </w:r>
      <w:r>
        <w:rPr>
          <w:rFonts w:ascii="Times New Roman" w:cs="Times New Roman" w:eastAsia="Times New Roman" w:hAnsi="Times New Roman"/>
          <w:sz w:val="16"/>
          <w:szCs w:val="16"/>
          <w:color w:val="auto"/>
        </w:rPr>
        <w:t>.</w:t>
      </w:r>
    </w:p>
    <w:p>
      <w:pPr>
        <w:spacing w:after="0" w:line="170" w:lineRule="exact"/>
        <w:rPr>
          <w:sz w:val="20"/>
          <w:szCs w:val="20"/>
          <w:color w:val="auto"/>
        </w:rPr>
      </w:pPr>
    </w:p>
    <w:p>
      <w:pPr>
        <w:jc w:val="both"/>
        <w:ind w:firstLine="996"/>
        <w:spacing w:after="0" w:line="247" w:lineRule="auto"/>
        <w:tabs>
          <w:tab w:leader="none" w:pos="1434" w:val="left"/>
        </w:tabs>
        <w:numPr>
          <w:ilvl w:val="0"/>
          <w:numId w:val="5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the Company shall establish pursuant to Section 2.01 that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(or if the Depositary names the Trustee as its custodian, retained by the Trustee),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w:t>
      </w:r>
    </w:p>
    <w:p>
      <w:pPr>
        <w:spacing w:after="0" w:line="142" w:lineRule="exact"/>
        <w:rPr>
          <w:rFonts w:ascii="Times New Roman" w:cs="Times New Roman" w:eastAsia="Times New Roman" w:hAnsi="Times New Roman"/>
          <w:sz w:val="17"/>
          <w:szCs w:val="17"/>
          <w:b w:val="1"/>
          <w:bCs w:val="1"/>
          <w:color w:val="auto"/>
        </w:rPr>
      </w:pPr>
    </w:p>
    <w:p>
      <w:pPr>
        <w:jc w:val="both"/>
        <w:ind w:firstLine="996"/>
        <w:spacing w:after="0" w:line="259" w:lineRule="auto"/>
        <w:tabs>
          <w:tab w:leader="none" w:pos="1433" w:val="left"/>
        </w:tabs>
        <w:numPr>
          <w:ilvl w:val="0"/>
          <w:numId w:val="5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spacing w:after="0" w:line="132" w:lineRule="exact"/>
        <w:rPr>
          <w:rFonts w:ascii="Times New Roman" w:cs="Times New Roman" w:eastAsia="Times New Roman" w:hAnsi="Times New Roman"/>
          <w:sz w:val="17"/>
          <w:szCs w:val="17"/>
          <w:b w:val="1"/>
          <w:bCs w:val="1"/>
          <w:color w:val="auto"/>
        </w:rPr>
      </w:pPr>
    </w:p>
    <w:p>
      <w:pPr>
        <w:jc w:val="both"/>
        <w:ind w:firstLine="996"/>
        <w:spacing w:after="0" w:line="274" w:lineRule="auto"/>
        <w:tabs>
          <w:tab w:leader="none" w:pos="1342" w:val="left"/>
        </w:tabs>
        <w:numPr>
          <w:ilvl w:val="0"/>
          <w:numId w:val="5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1280"/>
          </w:cols>
          <w:pgMar w:left="300" w:top="1287" w:right="319" w:bottom="1440" w:gutter="0" w:footer="0" w:header="0"/>
        </w:sectPr>
      </w:pPr>
    </w:p>
    <w:bookmarkStart w:id="60" w:name="page61"/>
    <w:bookmarkEnd w:id="60"/>
    <w:p>
      <w:pPr>
        <w:jc w:val="both"/>
        <w:spacing w:after="0" w:line="246" w:lineRule="auto"/>
        <w:rPr>
          <w:sz w:val="20"/>
          <w:szCs w:val="20"/>
          <w:color w:val="auto"/>
        </w:rPr>
      </w:pPr>
      <w:r>
        <w:rPr>
          <w:rFonts w:ascii="Times New Roman" w:cs="Times New Roman" w:eastAsia="Times New Roman" w:hAnsi="Times New Roman"/>
          <w:sz w:val="17"/>
          <w:szCs w:val="17"/>
          <w:color w:val="auto"/>
        </w:rPr>
        <w:t>this Section 2.11 shall no longer be applicable to the Securities of such series and the Company will execute, and subject to Section 2.04,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2.04,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spacing w:after="0" w:line="139"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7"/>
          <w:szCs w:val="17"/>
          <w:b w:val="1"/>
          <w:bCs w:val="1"/>
          <w:color w:val="auto"/>
        </w:rPr>
        <w:t>Section 2.12 CUSIP Numbers</w:t>
      </w:r>
      <w:r>
        <w:rPr>
          <w:rFonts w:ascii="Times New Roman" w:cs="Times New Roman" w:eastAsia="Times New Roman" w:hAnsi="Times New Roman"/>
          <w:sz w:val="17"/>
          <w:szCs w:val="17"/>
          <w:color w:val="auto"/>
        </w:rPr>
        <w:t>. The Company in issuing the Securities may use “CUSIP” numbers (if then generally in use), and, if so, the Trustee shall use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“CUSIP” numbers in notices of redemption as a convenience to Securityholders;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will promptly notify the Trustee of any change in the “CUSIP” numbers.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3</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REDEMPTION OF SECURITIES AND SINKING FUND PROVISIONS</w:t>
      </w:r>
    </w:p>
    <w:p>
      <w:pPr>
        <w:spacing w:after="0" w:line="166" w:lineRule="exact"/>
        <w:rPr>
          <w:sz w:val="20"/>
          <w:szCs w:val="20"/>
          <w:color w:val="auto"/>
        </w:rPr>
      </w:pPr>
    </w:p>
    <w:p>
      <w:pPr>
        <w:jc w:val="both"/>
        <w:ind w:firstLine="496"/>
        <w:spacing w:after="0" w:line="283" w:lineRule="auto"/>
        <w:rPr>
          <w:sz w:val="20"/>
          <w:szCs w:val="20"/>
          <w:color w:val="auto"/>
        </w:rPr>
      </w:pPr>
      <w:r>
        <w:rPr>
          <w:rFonts w:ascii="Times New Roman" w:cs="Times New Roman" w:eastAsia="Times New Roman" w:hAnsi="Times New Roman"/>
          <w:sz w:val="17"/>
          <w:szCs w:val="17"/>
          <w:b w:val="1"/>
          <w:bCs w:val="1"/>
          <w:color w:val="auto"/>
        </w:rPr>
        <w:t>Section 3.01 Redemption</w:t>
      </w:r>
      <w:r>
        <w:rPr>
          <w:rFonts w:ascii="Times New Roman" w:cs="Times New Roman" w:eastAsia="Times New Roman" w:hAnsi="Times New Roman"/>
          <w:sz w:val="17"/>
          <w:szCs w:val="17"/>
          <w:color w:val="auto"/>
        </w:rPr>
        <w:t>. The Company may redeem the Securities of any series issued hereunder on and after the dates and in accordance with the terms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established for such series pursuant to Section 2.01 hereof.</w:t>
      </w:r>
    </w:p>
    <w:p>
      <w:pPr>
        <w:spacing w:after="0" w:line="108" w:lineRule="exact"/>
        <w:rPr>
          <w:sz w:val="20"/>
          <w:szCs w:val="20"/>
          <w:color w:val="auto"/>
        </w:rPr>
      </w:pPr>
    </w:p>
    <w:p>
      <w:pPr>
        <w:ind w:left="500"/>
        <w:spacing w:after="0"/>
        <w:tabs>
          <w:tab w:leader="none" w:pos="1500" w:val="left"/>
        </w:tabs>
        <w:rPr>
          <w:sz w:val="20"/>
          <w:szCs w:val="20"/>
          <w:color w:val="auto"/>
        </w:rPr>
      </w:pPr>
      <w:r>
        <w:rPr>
          <w:rFonts w:ascii="Times New Roman" w:cs="Times New Roman" w:eastAsia="Times New Roman" w:hAnsi="Times New Roman"/>
          <w:sz w:val="17"/>
          <w:szCs w:val="17"/>
          <w:b w:val="1"/>
          <w:bCs w:val="1"/>
          <w:color w:val="auto"/>
        </w:rPr>
        <w:t>Section 3.02</w:t>
      </w:r>
      <w:r>
        <w:rPr>
          <w:sz w:val="20"/>
          <w:szCs w:val="20"/>
          <w:color w:val="auto"/>
        </w:rPr>
        <w:tab/>
      </w:r>
      <w:r>
        <w:rPr>
          <w:rFonts w:ascii="Times New Roman" w:cs="Times New Roman" w:eastAsia="Times New Roman" w:hAnsi="Times New Roman"/>
          <w:sz w:val="16"/>
          <w:szCs w:val="16"/>
          <w:b w:val="1"/>
          <w:bCs w:val="1"/>
          <w:color w:val="auto"/>
        </w:rPr>
        <w:t>Notice of Redemption</w:t>
      </w:r>
      <w:r>
        <w:rPr>
          <w:rFonts w:ascii="Times New Roman" w:cs="Times New Roman" w:eastAsia="Times New Roman" w:hAnsi="Times New Roman"/>
          <w:sz w:val="16"/>
          <w:szCs w:val="16"/>
          <w:color w:val="auto"/>
        </w:rPr>
        <w:t>.</w:t>
      </w:r>
    </w:p>
    <w:p>
      <w:pPr>
        <w:spacing w:after="0" w:line="170" w:lineRule="exact"/>
        <w:rPr>
          <w:sz w:val="20"/>
          <w:szCs w:val="20"/>
          <w:color w:val="auto"/>
        </w:rPr>
      </w:pPr>
    </w:p>
    <w:p>
      <w:pPr>
        <w:jc w:val="both"/>
        <w:ind w:firstLine="996"/>
        <w:spacing w:after="0" w:line="274" w:lineRule="auto"/>
        <w:tabs>
          <w:tab w:leader="none" w:pos="1382" w:val="left"/>
        </w:tabs>
        <w:numPr>
          <w:ilvl w:val="0"/>
          <w:numId w:val="5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case the Company shall desire to exercise such right to redeem all or, as the case may be, a portion of the Securities of any series in accordance with any right the Company reserved for itself to do so pursuant to Section 2.01 hereof, the Company shall, or shall cause the Trustee to, give notice of such redemption to holders of the Securities of such series to be redeemed by mailing (or with regard to any Global Security held in book entry form, by electronic mail in accordance with the applicable procedures of the Depositary), a notice of such redemption not less than 30 days and not more than 90 days before the date fixed for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1280"/>
          </w:cols>
          <w:pgMar w:left="300" w:top="1287" w:right="319" w:bottom="1440" w:gutter="0" w:footer="0" w:header="0"/>
        </w:sectPr>
      </w:pPr>
    </w:p>
    <w:bookmarkStart w:id="61" w:name="page62"/>
    <w:bookmarkEnd w:id="61"/>
    <w:p>
      <w:pPr>
        <w:jc w:val="both"/>
        <w:spacing w:after="0" w:line="248" w:lineRule="auto"/>
        <w:rPr>
          <w:sz w:val="20"/>
          <w:szCs w:val="20"/>
          <w:color w:val="auto"/>
        </w:rPr>
      </w:pPr>
      <w:r>
        <w:rPr>
          <w:rFonts w:ascii="Times New Roman" w:cs="Times New Roman" w:eastAsia="Times New Roman" w:hAnsi="Times New Roman"/>
          <w:sz w:val="17"/>
          <w:szCs w:val="17"/>
          <w:color w:val="auto"/>
        </w:rPr>
        <w:t>of that series to such Securityholders,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143" w:lineRule="exact"/>
        <w:rPr>
          <w:sz w:val="20"/>
          <w:szCs w:val="20"/>
          <w:color w:val="auto"/>
        </w:rPr>
      </w:pPr>
    </w:p>
    <w:p>
      <w:pPr>
        <w:jc w:val="both"/>
        <w:ind w:firstLine="496"/>
        <w:spacing w:after="0" w:line="248" w:lineRule="auto"/>
        <w:rPr>
          <w:sz w:val="20"/>
          <w:szCs w:val="20"/>
          <w:color w:val="auto"/>
        </w:rPr>
      </w:pPr>
      <w:r>
        <w:rPr>
          <w:rFonts w:ascii="Times New Roman" w:cs="Times New Roman" w:eastAsia="Times New Roman" w:hAnsi="Times New Roman"/>
          <w:sz w:val="17"/>
          <w:szCs w:val="17"/>
          <w:color w:val="auto"/>
        </w:rPr>
        <w:t>Each such notice of redemption shall identify the Securities to be redeemed (including CUSIP numbers, if any), specify the date fixed for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w:t>
      </w:r>
    </w:p>
    <w:p>
      <w:pPr>
        <w:spacing w:after="0" w:line="143"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7"/>
          <w:szCs w:val="17"/>
          <w:color w:val="auto"/>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132" w:lineRule="exact"/>
        <w:rPr>
          <w:sz w:val="20"/>
          <w:szCs w:val="20"/>
          <w:color w:val="auto"/>
        </w:rPr>
      </w:pPr>
    </w:p>
    <w:p>
      <w:pPr>
        <w:jc w:val="both"/>
        <w:ind w:firstLine="996"/>
        <w:spacing w:after="0" w:line="246" w:lineRule="auto"/>
        <w:tabs>
          <w:tab w:leader="none" w:pos="1371" w:val="left"/>
        </w:tabs>
        <w:numPr>
          <w:ilvl w:val="0"/>
          <w:numId w:val="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less than all the Securities of a series are to be redeemed, the Company shall give the Trustee at least 45 days’ notice (unless a shorter notice shall be satisfactory to the Trustee) in advance of the date fixed for redemption as to the aggregate principal amount of Securities of the series to be redeemed, and thereupon the Securities to be redeemed shall be selected, by lot, on a pro rata basis, or in such other manner as the Company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1280"/>
          </w:cols>
          <w:pgMar w:left="300" w:top="1287" w:right="319" w:bottom="1440" w:gutter="0" w:footer="0" w:header="0"/>
        </w:sectPr>
      </w:pPr>
    </w:p>
    <w:bookmarkStart w:id="62" w:name="page63"/>
    <w:bookmarkEnd w:id="62"/>
    <w:p>
      <w:pPr>
        <w:ind w:left="500"/>
        <w:spacing w:after="0"/>
        <w:tabs>
          <w:tab w:leader="none" w:pos="1500" w:val="left"/>
        </w:tabs>
        <w:rPr>
          <w:sz w:val="20"/>
          <w:szCs w:val="20"/>
          <w:color w:val="auto"/>
        </w:rPr>
      </w:pPr>
      <w:r>
        <w:rPr>
          <w:rFonts w:ascii="Times New Roman" w:cs="Times New Roman" w:eastAsia="Times New Roman" w:hAnsi="Times New Roman"/>
          <w:sz w:val="17"/>
          <w:szCs w:val="17"/>
          <w:b w:val="1"/>
          <w:bCs w:val="1"/>
          <w:color w:val="auto"/>
        </w:rPr>
        <w:t>Section 3.03</w:t>
      </w:r>
      <w:r>
        <w:rPr>
          <w:sz w:val="20"/>
          <w:szCs w:val="20"/>
          <w:color w:val="auto"/>
        </w:rPr>
        <w:tab/>
      </w:r>
      <w:r>
        <w:rPr>
          <w:rFonts w:ascii="Times New Roman" w:cs="Times New Roman" w:eastAsia="Times New Roman" w:hAnsi="Times New Roman"/>
          <w:sz w:val="16"/>
          <w:szCs w:val="16"/>
          <w:b w:val="1"/>
          <w:bCs w:val="1"/>
          <w:color w:val="auto"/>
        </w:rPr>
        <w:t>Payment Upon Redemption</w:t>
      </w:r>
      <w:r>
        <w:rPr>
          <w:rFonts w:ascii="Times New Roman" w:cs="Times New Roman" w:eastAsia="Times New Roman" w:hAnsi="Times New Roman"/>
          <w:sz w:val="16"/>
          <w:szCs w:val="16"/>
          <w:color w:val="auto"/>
        </w:rPr>
        <w:t>.</w:t>
      </w:r>
    </w:p>
    <w:p>
      <w:pPr>
        <w:spacing w:after="0" w:line="170" w:lineRule="exact"/>
        <w:rPr>
          <w:sz w:val="20"/>
          <w:szCs w:val="20"/>
          <w:color w:val="auto"/>
        </w:rPr>
      </w:pPr>
    </w:p>
    <w:p>
      <w:pPr>
        <w:jc w:val="both"/>
        <w:ind w:firstLine="996"/>
        <w:spacing w:after="0" w:line="248" w:lineRule="auto"/>
        <w:tabs>
          <w:tab w:leader="none" w:pos="1444" w:val="left"/>
        </w:tabs>
        <w:numPr>
          <w:ilvl w:val="0"/>
          <w:numId w:val="5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but excluding,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but excluding,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spacing w:after="0" w:line="142" w:lineRule="exact"/>
        <w:rPr>
          <w:rFonts w:ascii="Times New Roman" w:cs="Times New Roman" w:eastAsia="Times New Roman" w:hAnsi="Times New Roman"/>
          <w:sz w:val="17"/>
          <w:szCs w:val="17"/>
          <w:b w:val="1"/>
          <w:bCs w:val="1"/>
          <w:color w:val="auto"/>
        </w:rPr>
      </w:pPr>
    </w:p>
    <w:p>
      <w:pPr>
        <w:jc w:val="both"/>
        <w:ind w:firstLine="996"/>
        <w:spacing w:after="0" w:line="253" w:lineRule="auto"/>
        <w:tabs>
          <w:tab w:leader="none" w:pos="1360" w:val="left"/>
        </w:tabs>
        <w:numPr>
          <w:ilvl w:val="0"/>
          <w:numId w:val="5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Upon presentation of any Security of such series that is to be redeemed in part only, the Company shall execute and the Trustee shall authenticate and the office or agency where the Security is presented shall deliver to the Securityholder thereof, at the expense of the Company, a new Security of the same series of authorized denominations in principal amount equal to the unredeemed portion of the Security so presented.</w:t>
      </w:r>
    </w:p>
    <w:p>
      <w:pPr>
        <w:spacing w:after="0" w:line="133" w:lineRule="exact"/>
        <w:rPr>
          <w:sz w:val="20"/>
          <w:szCs w:val="20"/>
          <w:color w:val="auto"/>
        </w:rPr>
      </w:pPr>
    </w:p>
    <w:p>
      <w:pPr>
        <w:jc w:val="both"/>
        <w:ind w:firstLine="496"/>
        <w:spacing w:after="0" w:line="270" w:lineRule="auto"/>
        <w:rPr>
          <w:sz w:val="20"/>
          <w:szCs w:val="20"/>
          <w:color w:val="auto"/>
        </w:rPr>
      </w:pPr>
      <w:r>
        <w:rPr>
          <w:rFonts w:ascii="Times New Roman" w:cs="Times New Roman" w:eastAsia="Times New Roman" w:hAnsi="Times New Roman"/>
          <w:sz w:val="17"/>
          <w:szCs w:val="17"/>
          <w:b w:val="1"/>
          <w:bCs w:val="1"/>
          <w:color w:val="auto"/>
        </w:rPr>
        <w:t>Section 3.04 Sinking Fund</w:t>
      </w:r>
      <w:r>
        <w:rPr>
          <w:rFonts w:ascii="Times New Roman" w:cs="Times New Roman" w:eastAsia="Times New Roman" w:hAnsi="Times New Roman"/>
          <w:sz w:val="17"/>
          <w:szCs w:val="17"/>
          <w:color w:val="auto"/>
        </w:rPr>
        <w:t>. The provisions of Sections 3.04, 3.05 and 3.06 shall be applicable to any sinking fund for the retirement of Securities of a series,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except as otherwise specified as contemplated by Section 2.01 for Securities of such series.</w:t>
      </w:r>
    </w:p>
    <w:p>
      <w:pPr>
        <w:spacing w:after="0" w:line="133" w:lineRule="exact"/>
        <w:rPr>
          <w:sz w:val="20"/>
          <w:szCs w:val="20"/>
          <w:color w:val="auto"/>
        </w:rPr>
      </w:pPr>
    </w:p>
    <w:p>
      <w:pPr>
        <w:jc w:val="both"/>
        <w:ind w:firstLine="496"/>
        <w:spacing w:after="0" w:line="249" w:lineRule="auto"/>
        <w:rPr>
          <w:sz w:val="20"/>
          <w:szCs w:val="20"/>
          <w:color w:val="auto"/>
        </w:rPr>
      </w:pPr>
      <w:r>
        <w:rPr>
          <w:rFonts w:ascii="Times New Roman" w:cs="Times New Roman" w:eastAsia="Times New Roman" w:hAnsi="Times New Roman"/>
          <w:sz w:val="17"/>
          <w:szCs w:val="17"/>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spacing w:after="0" w:line="136" w:lineRule="exact"/>
        <w:rPr>
          <w:sz w:val="20"/>
          <w:szCs w:val="20"/>
          <w:color w:val="auto"/>
        </w:rPr>
      </w:pPr>
    </w:p>
    <w:p>
      <w:pPr>
        <w:jc w:val="both"/>
        <w:ind w:firstLine="496"/>
        <w:spacing w:after="0" w:line="249" w:lineRule="auto"/>
        <w:rPr>
          <w:sz w:val="20"/>
          <w:szCs w:val="20"/>
          <w:color w:val="auto"/>
        </w:rPr>
      </w:pPr>
      <w:r>
        <w:rPr>
          <w:rFonts w:ascii="Times New Roman" w:cs="Times New Roman" w:eastAsia="Times New Roman" w:hAnsi="Times New Roman"/>
          <w:sz w:val="17"/>
          <w:szCs w:val="17"/>
          <w:b w:val="1"/>
          <w:bCs w:val="1"/>
          <w:color w:val="auto"/>
        </w:rPr>
        <w:t>Section 3.05 Satisfaction of Sinking Fund Payments with Securities</w:t>
      </w:r>
      <w:r>
        <w:rPr>
          <w:rFonts w:ascii="Times New Roman" w:cs="Times New Roman" w:eastAsia="Times New Roman" w:hAnsi="Times New Roman"/>
          <w:sz w:val="17"/>
          <w:szCs w:val="17"/>
          <w:color w:val="auto"/>
        </w:rPr>
        <w:t>. The Company (i) may deliver Outstanding Securities of a series and (ii) may apply as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1280"/>
          </w:cols>
          <w:pgMar w:left="300" w:top="1283" w:right="319" w:bottom="1440" w:gutter="0" w:footer="0" w:header="0"/>
        </w:sectPr>
      </w:pPr>
    </w:p>
    <w:bookmarkStart w:id="63" w:name="page64"/>
    <w:bookmarkEnd w:id="63"/>
    <w:p>
      <w:pPr>
        <w:jc w:val="both"/>
        <w:ind w:firstLine="496"/>
        <w:spacing w:after="0" w:line="266" w:lineRule="auto"/>
        <w:rPr>
          <w:sz w:val="20"/>
          <w:szCs w:val="20"/>
          <w:color w:val="auto"/>
        </w:rPr>
      </w:pPr>
      <w:r>
        <w:rPr>
          <w:rFonts w:ascii="Times New Roman" w:cs="Times New Roman" w:eastAsia="Times New Roman" w:hAnsi="Times New Roman"/>
          <w:sz w:val="16"/>
          <w:szCs w:val="16"/>
          <w:b w:val="1"/>
          <w:bCs w:val="1"/>
          <w:color w:val="auto"/>
        </w:rPr>
        <w:t>Section 3.06 Redemption of Securities for Sinking Fund</w:t>
      </w:r>
      <w:r>
        <w:rPr>
          <w:rFonts w:ascii="Times New Roman" w:cs="Times New Roman" w:eastAsia="Times New Roman" w:hAnsi="Times New Roman"/>
          <w:sz w:val="16"/>
          <w:szCs w:val="16"/>
          <w:color w:val="auto"/>
        </w:rPr>
        <w:t>. Not less than 45 days prior to each sinking fund payment date for any series of Securities (unless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Securities to be redeemed upon such sinking fund payment date shall be selected in the manner specified in Section 3.02 and the Company shall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4</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COVENANTS</w:t>
      </w:r>
    </w:p>
    <w:p>
      <w:pPr>
        <w:spacing w:after="0" w:line="166" w:lineRule="exact"/>
        <w:rPr>
          <w:sz w:val="20"/>
          <w:szCs w:val="20"/>
          <w:color w:val="auto"/>
        </w:rPr>
      </w:pPr>
    </w:p>
    <w:p>
      <w:pPr>
        <w:jc w:val="both"/>
        <w:ind w:firstLine="496"/>
        <w:spacing w:after="0" w:line="247" w:lineRule="auto"/>
        <w:rPr>
          <w:sz w:val="20"/>
          <w:szCs w:val="20"/>
          <w:color w:val="auto"/>
        </w:rPr>
      </w:pPr>
      <w:r>
        <w:rPr>
          <w:rFonts w:ascii="Times New Roman" w:cs="Times New Roman" w:eastAsia="Times New Roman" w:hAnsi="Times New Roman"/>
          <w:sz w:val="17"/>
          <w:szCs w:val="17"/>
          <w:b w:val="1"/>
          <w:bCs w:val="1"/>
          <w:color w:val="auto"/>
        </w:rPr>
        <w:t>Section 4.01 Payment of Principal, Premium and Interest</w:t>
      </w:r>
      <w:r>
        <w:rPr>
          <w:rFonts w:ascii="Times New Roman" w:cs="Times New Roman" w:eastAsia="Times New Roman" w:hAnsi="Times New Roman"/>
          <w:sz w:val="17"/>
          <w:szCs w:val="17"/>
          <w:color w:val="auto"/>
        </w:rPr>
        <w:t>. The Company will duly and punctually pay or cause to be paid the principal of (and premium, if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and interest on the Securities of that series at the time and place and in the manner provided herein and established with respect to such Securities. Payments of principal on the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 U.S. dollar account if such Securityholder shall have furnished wire instructions in writing to the Security Registrar and the Trustee no later than 15 days prior to the relevant payment date.</w:t>
      </w:r>
    </w:p>
    <w:p>
      <w:pPr>
        <w:spacing w:after="0" w:line="138" w:lineRule="exact"/>
        <w:rPr>
          <w:sz w:val="20"/>
          <w:szCs w:val="20"/>
          <w:color w:val="auto"/>
        </w:rPr>
      </w:pPr>
    </w:p>
    <w:p>
      <w:pPr>
        <w:jc w:val="both"/>
        <w:ind w:firstLine="496"/>
        <w:spacing w:after="0" w:line="248" w:lineRule="auto"/>
        <w:rPr>
          <w:sz w:val="20"/>
          <w:szCs w:val="20"/>
          <w:color w:val="auto"/>
        </w:rPr>
      </w:pPr>
      <w:r>
        <w:rPr>
          <w:rFonts w:ascii="Times New Roman" w:cs="Times New Roman" w:eastAsia="Times New Roman" w:hAnsi="Times New Roman"/>
          <w:sz w:val="17"/>
          <w:szCs w:val="17"/>
          <w:b w:val="1"/>
          <w:bCs w:val="1"/>
          <w:color w:val="auto"/>
        </w:rPr>
        <w:t>Section 4.02 Maintenance of Office or Agency</w:t>
      </w:r>
      <w:r>
        <w:rPr>
          <w:rFonts w:ascii="Times New Roman" w:cs="Times New Roman" w:eastAsia="Times New Roman" w:hAnsi="Times New Roman"/>
          <w:sz w:val="17"/>
          <w:szCs w:val="17"/>
          <w:color w:val="auto"/>
        </w:rPr>
        <w:t>. So long as any series of the Securities remain Outstanding, the Company agrees to maintain an office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agency with respect to each such series and at such other location or locations as may be designated as provided in this Section 4.02, where (i) Securities of that series may be presented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any officer authorized to sign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11280"/>
          </w:cols>
          <w:pgMar w:left="300" w:top="1283" w:right="319" w:bottom="1440" w:gutter="0" w:footer="0" w:header="0"/>
        </w:sectPr>
      </w:pPr>
    </w:p>
    <w:bookmarkStart w:id="64" w:name="page65"/>
    <w:bookmarkEnd w:id="64"/>
    <w:p>
      <w:pPr>
        <w:spacing w:after="0" w:line="265" w:lineRule="auto"/>
        <w:rPr>
          <w:sz w:val="20"/>
          <w:szCs w:val="20"/>
          <w:color w:val="auto"/>
        </w:rPr>
      </w:pPr>
      <w:r>
        <w:rPr>
          <w:rFonts w:ascii="Times New Roman" w:cs="Times New Roman" w:eastAsia="Times New Roman" w:hAnsi="Times New Roman"/>
          <w:sz w:val="17"/>
          <w:szCs w:val="17"/>
          <w:color w:val="auto"/>
        </w:rPr>
        <w:t>Trustee, and the Company hereby appoints the Trustee as its agent to receive all such presentations, notices and demands. The Company initially appoints the Corporate Trust Office of the Trustee as its paying agent with respect to the Securities.</w:t>
      </w:r>
    </w:p>
    <w:p>
      <w:pPr>
        <w:spacing w:after="0" w:line="123" w:lineRule="exact"/>
        <w:rPr>
          <w:sz w:val="20"/>
          <w:szCs w:val="20"/>
          <w:color w:val="auto"/>
        </w:rPr>
      </w:pPr>
    </w:p>
    <w:p>
      <w:pPr>
        <w:ind w:left="500"/>
        <w:spacing w:after="0"/>
        <w:tabs>
          <w:tab w:leader="none" w:pos="1500" w:val="left"/>
        </w:tabs>
        <w:rPr>
          <w:sz w:val="20"/>
          <w:szCs w:val="20"/>
          <w:color w:val="auto"/>
        </w:rPr>
      </w:pPr>
      <w:r>
        <w:rPr>
          <w:rFonts w:ascii="Times New Roman" w:cs="Times New Roman" w:eastAsia="Times New Roman" w:hAnsi="Times New Roman"/>
          <w:sz w:val="17"/>
          <w:szCs w:val="17"/>
          <w:b w:val="1"/>
          <w:bCs w:val="1"/>
          <w:color w:val="auto"/>
        </w:rPr>
        <w:t>Section 4.03</w:t>
      </w:r>
      <w:r>
        <w:rPr>
          <w:sz w:val="20"/>
          <w:szCs w:val="20"/>
          <w:color w:val="auto"/>
        </w:rPr>
        <w:tab/>
      </w:r>
      <w:r>
        <w:rPr>
          <w:rFonts w:ascii="Times New Roman" w:cs="Times New Roman" w:eastAsia="Times New Roman" w:hAnsi="Times New Roman"/>
          <w:sz w:val="16"/>
          <w:szCs w:val="16"/>
          <w:b w:val="1"/>
          <w:bCs w:val="1"/>
          <w:color w:val="auto"/>
        </w:rPr>
        <w:t>Paying Agents</w:t>
      </w:r>
      <w:r>
        <w:rPr>
          <w:rFonts w:ascii="Times New Roman" w:cs="Times New Roman" w:eastAsia="Times New Roman" w:hAnsi="Times New Roman"/>
          <w:sz w:val="16"/>
          <w:szCs w:val="16"/>
          <w:color w:val="auto"/>
        </w:rPr>
        <w:t>.</w:t>
      </w:r>
    </w:p>
    <w:p>
      <w:pPr>
        <w:spacing w:after="0" w:line="181" w:lineRule="exact"/>
        <w:rPr>
          <w:sz w:val="20"/>
          <w:szCs w:val="20"/>
          <w:color w:val="auto"/>
        </w:rPr>
      </w:pPr>
    </w:p>
    <w:p>
      <w:pPr>
        <w:ind w:firstLine="996"/>
        <w:spacing w:after="0" w:line="265" w:lineRule="auto"/>
        <w:tabs>
          <w:tab w:leader="none" w:pos="1372" w:val="left"/>
        </w:tabs>
        <w:numPr>
          <w:ilvl w:val="0"/>
          <w:numId w:val="5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127" w:lineRule="exact"/>
        <w:rPr>
          <w:sz w:val="20"/>
          <w:szCs w:val="20"/>
          <w:color w:val="auto"/>
        </w:rPr>
      </w:pPr>
    </w:p>
    <w:p>
      <w:pPr>
        <w:ind w:firstLine="996"/>
        <w:spacing w:after="0" w:line="265" w:lineRule="auto"/>
        <w:tabs>
          <w:tab w:leader="none" w:pos="1372" w:val="left"/>
        </w:tabs>
        <w:numPr>
          <w:ilvl w:val="0"/>
          <w:numId w:val="5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126" w:lineRule="exact"/>
        <w:rPr>
          <w:rFonts w:ascii="Times New Roman" w:cs="Times New Roman" w:eastAsia="Times New Roman" w:hAnsi="Times New Roman"/>
          <w:sz w:val="17"/>
          <w:szCs w:val="17"/>
          <w:b w:val="1"/>
          <w:bCs w:val="1"/>
          <w:color w:val="auto"/>
        </w:rPr>
      </w:pPr>
    </w:p>
    <w:p>
      <w:pPr>
        <w:ind w:firstLine="996"/>
        <w:spacing w:after="0" w:line="278" w:lineRule="auto"/>
        <w:tabs>
          <w:tab w:leader="none" w:pos="1351" w:val="left"/>
        </w:tabs>
        <w:numPr>
          <w:ilvl w:val="0"/>
          <w:numId w:val="5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115" w:lineRule="exact"/>
        <w:rPr>
          <w:rFonts w:ascii="Times New Roman" w:cs="Times New Roman" w:eastAsia="Times New Roman" w:hAnsi="Times New Roman"/>
          <w:sz w:val="17"/>
          <w:szCs w:val="17"/>
          <w:b w:val="1"/>
          <w:bCs w:val="1"/>
          <w:color w:val="auto"/>
        </w:rPr>
      </w:pPr>
    </w:p>
    <w:p>
      <w:pPr>
        <w:ind w:firstLine="996"/>
        <w:spacing w:after="0" w:line="265" w:lineRule="auto"/>
        <w:tabs>
          <w:tab w:leader="none" w:pos="1403" w:val="left"/>
        </w:tabs>
        <w:numPr>
          <w:ilvl w:val="0"/>
          <w:numId w:val="5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that it will, at any time during the continuance of any failure referred to in the preceding paragraph (a)(2) above, upon the written request of the Trustee, forthwith pay to the Trustee all sums so held in trust by such paying agent; and</w:t>
      </w:r>
    </w:p>
    <w:p>
      <w:pPr>
        <w:spacing w:after="0" w:line="126" w:lineRule="exact"/>
        <w:rPr>
          <w:rFonts w:ascii="Times New Roman" w:cs="Times New Roman" w:eastAsia="Times New Roman" w:hAnsi="Times New Roman"/>
          <w:sz w:val="17"/>
          <w:szCs w:val="17"/>
          <w:b w:val="1"/>
          <w:bCs w:val="1"/>
          <w:color w:val="auto"/>
        </w:rPr>
      </w:pPr>
    </w:p>
    <w:p>
      <w:pPr>
        <w:ind w:left="1360" w:hanging="364"/>
        <w:spacing w:after="0"/>
        <w:tabs>
          <w:tab w:leader="none" w:pos="1360" w:val="left"/>
        </w:tabs>
        <w:numPr>
          <w:ilvl w:val="0"/>
          <w:numId w:val="5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that it will perform all other duties of paying agent as set forth in this Indenture.</w:t>
      </w:r>
    </w:p>
    <w:p>
      <w:pPr>
        <w:spacing w:after="0" w:line="166" w:lineRule="exact"/>
        <w:rPr>
          <w:sz w:val="20"/>
          <w:szCs w:val="20"/>
          <w:color w:val="auto"/>
        </w:rPr>
      </w:pPr>
    </w:p>
    <w:p>
      <w:pPr>
        <w:jc w:val="both"/>
        <w:ind w:firstLine="996"/>
        <w:spacing w:after="0" w:line="248" w:lineRule="auto"/>
        <w:tabs>
          <w:tab w:leader="none" w:pos="1360" w:val="left"/>
        </w:tabs>
        <w:numPr>
          <w:ilvl w:val="0"/>
          <w:numId w:val="6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142" w:lineRule="exact"/>
        <w:rPr>
          <w:rFonts w:ascii="Times New Roman" w:cs="Times New Roman" w:eastAsia="Times New Roman" w:hAnsi="Times New Roman"/>
          <w:sz w:val="17"/>
          <w:szCs w:val="17"/>
          <w:b w:val="1"/>
          <w:bCs w:val="1"/>
          <w:color w:val="auto"/>
        </w:rPr>
      </w:pPr>
    </w:p>
    <w:p>
      <w:pPr>
        <w:jc w:val="both"/>
        <w:ind w:firstLine="996"/>
        <w:spacing w:after="0" w:line="253" w:lineRule="auto"/>
        <w:tabs>
          <w:tab w:leader="none" w:pos="1342" w:val="left"/>
        </w:tabs>
        <w:numPr>
          <w:ilvl w:val="0"/>
          <w:numId w:val="6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ectPr>
          <w:pgSz w:w="11900" w:h="16838" w:orient="portrait"/>
          <w:cols w:equalWidth="0" w:num="1">
            <w:col w:w="11280"/>
          </w:cols>
          <w:pgMar w:left="300" w:top="1287" w:right="319" w:bottom="1440" w:gutter="0" w:footer="0" w:header="0"/>
        </w:sectPr>
      </w:pPr>
    </w:p>
    <w:bookmarkStart w:id="65" w:name="page66"/>
    <w:bookmarkEnd w:id="65"/>
    <w:p>
      <w:pPr>
        <w:jc w:val="both"/>
        <w:spacing w:after="0" w:line="265" w:lineRule="auto"/>
        <w:rPr>
          <w:sz w:val="20"/>
          <w:szCs w:val="20"/>
          <w:color w:val="auto"/>
        </w:rPr>
      </w:pPr>
      <w:r>
        <w:rPr>
          <w:rFonts w:ascii="Times New Roman" w:cs="Times New Roman" w:eastAsia="Times New Roman" w:hAnsi="Times New Roman"/>
          <w:sz w:val="17"/>
          <w:szCs w:val="17"/>
          <w:color w:val="auto"/>
        </w:rPr>
        <w:t>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spacing w:after="0" w:line="123" w:lineRule="exact"/>
        <w:rPr>
          <w:sz w:val="20"/>
          <w:szCs w:val="20"/>
          <w:color w:val="auto"/>
        </w:rPr>
      </w:pPr>
    </w:p>
    <w:p>
      <w:pPr>
        <w:jc w:val="both"/>
        <w:ind w:firstLine="496"/>
        <w:spacing w:after="0" w:line="283" w:lineRule="auto"/>
        <w:rPr>
          <w:sz w:val="20"/>
          <w:szCs w:val="20"/>
          <w:color w:val="auto"/>
        </w:rPr>
      </w:pPr>
      <w:r>
        <w:rPr>
          <w:rFonts w:ascii="Times New Roman" w:cs="Times New Roman" w:eastAsia="Times New Roman" w:hAnsi="Times New Roman"/>
          <w:sz w:val="17"/>
          <w:szCs w:val="17"/>
          <w:b w:val="1"/>
          <w:bCs w:val="1"/>
          <w:color w:val="auto"/>
        </w:rPr>
        <w:t>Section 4.04 Appointment to Fill Vacancy in Office of Trustee</w:t>
      </w:r>
      <w:r>
        <w:rPr>
          <w:rFonts w:ascii="Times New Roman" w:cs="Times New Roman" w:eastAsia="Times New Roman" w:hAnsi="Times New Roman"/>
          <w:sz w:val="17"/>
          <w:szCs w:val="17"/>
          <w:color w:val="auto"/>
        </w:rPr>
        <w:t>. The Company, whenever necessary to avoid or fill a vacancy in the office of Trustee, will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appoint, in the manner provided in Section 7.10, a Trustee, so that there shall at all times be a Trustee hereunder.</w:t>
      </w:r>
    </w:p>
    <w:p>
      <w:pPr>
        <w:spacing w:after="0" w:line="10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b w:val="1"/>
          <w:bCs w:val="1"/>
          <w:color w:val="auto"/>
        </w:rPr>
        <w:t>ARTICLE 5</w:t>
      </w:r>
    </w:p>
    <w:p>
      <w:pPr>
        <w:spacing w:after="0" w:line="166"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7"/>
          <w:szCs w:val="17"/>
          <w:b w:val="1"/>
          <w:bCs w:val="1"/>
          <w:color w:val="auto"/>
        </w:rPr>
        <w:t>SECURITYHOLDERS’ LISTS AND REPORTS BY THE COMPANY AND THE TRUSTEE</w:t>
      </w:r>
    </w:p>
    <w:p>
      <w:pPr>
        <w:spacing w:after="0" w:line="166" w:lineRule="exact"/>
        <w:rPr>
          <w:sz w:val="20"/>
          <w:szCs w:val="20"/>
          <w:color w:val="auto"/>
        </w:rPr>
      </w:pPr>
    </w:p>
    <w:p>
      <w:pPr>
        <w:ind w:left="500"/>
        <w:spacing w:after="0"/>
        <w:tabs>
          <w:tab w:leader="none" w:pos="1500" w:val="left"/>
        </w:tabs>
        <w:rPr>
          <w:sz w:val="20"/>
          <w:szCs w:val="20"/>
          <w:color w:val="auto"/>
        </w:rPr>
      </w:pPr>
      <w:r>
        <w:rPr>
          <w:rFonts w:ascii="Times New Roman" w:cs="Times New Roman" w:eastAsia="Times New Roman" w:hAnsi="Times New Roman"/>
          <w:sz w:val="17"/>
          <w:szCs w:val="17"/>
          <w:b w:val="1"/>
          <w:bCs w:val="1"/>
          <w:color w:val="auto"/>
        </w:rPr>
        <w:t>Section 5.01</w:t>
      </w:r>
      <w:r>
        <w:rPr>
          <w:sz w:val="20"/>
          <w:szCs w:val="20"/>
          <w:color w:val="auto"/>
        </w:rPr>
        <w:tab/>
      </w:r>
      <w:r>
        <w:rPr>
          <w:rFonts w:ascii="Times New Roman" w:cs="Times New Roman" w:eastAsia="Times New Roman" w:hAnsi="Times New Roman"/>
          <w:sz w:val="16"/>
          <w:szCs w:val="16"/>
          <w:b w:val="1"/>
          <w:bCs w:val="1"/>
          <w:color w:val="auto"/>
        </w:rPr>
        <w:t>Company to Furnish Trustee Names and Addresses of Securityholders</w:t>
      </w:r>
      <w:r>
        <w:rPr>
          <w:rFonts w:ascii="Times New Roman" w:cs="Times New Roman" w:eastAsia="Times New Roman" w:hAnsi="Times New Roman"/>
          <w:sz w:val="16"/>
          <w:szCs w:val="16"/>
          <w:color w:val="auto"/>
        </w:rPr>
        <w:t>.</w:t>
      </w:r>
    </w:p>
    <w:p>
      <w:pPr>
        <w:spacing w:after="0" w:line="170" w:lineRule="exact"/>
        <w:rPr>
          <w:sz w:val="20"/>
          <w:szCs w:val="20"/>
          <w:color w:val="auto"/>
        </w:rPr>
      </w:pPr>
    </w:p>
    <w:p>
      <w:pPr>
        <w:jc w:val="both"/>
        <w:ind w:firstLine="496"/>
        <w:spacing w:after="0" w:line="248" w:lineRule="auto"/>
        <w:rPr>
          <w:sz w:val="20"/>
          <w:szCs w:val="20"/>
          <w:color w:val="auto"/>
        </w:rPr>
      </w:pPr>
      <w:r>
        <w:rPr>
          <w:rFonts w:ascii="Times New Roman" w:cs="Times New Roman" w:eastAsia="Times New Roman" w:hAnsi="Times New Roman"/>
          <w:sz w:val="17"/>
          <w:szCs w:val="17"/>
          <w:color w:val="auto"/>
        </w:rPr>
        <w:t>The Company will furnish or cause to be furnished to the Trustee (a) within 15 days after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spacing w:after="0" w:line="139" w:lineRule="exact"/>
        <w:rPr>
          <w:sz w:val="20"/>
          <w:szCs w:val="20"/>
          <w:color w:val="auto"/>
        </w:rPr>
      </w:pPr>
    </w:p>
    <w:p>
      <w:pPr>
        <w:ind w:left="500"/>
        <w:spacing w:after="0"/>
        <w:tabs>
          <w:tab w:leader="none" w:pos="1500" w:val="left"/>
        </w:tabs>
        <w:rPr>
          <w:sz w:val="20"/>
          <w:szCs w:val="20"/>
          <w:color w:val="auto"/>
        </w:rPr>
      </w:pPr>
      <w:r>
        <w:rPr>
          <w:rFonts w:ascii="Times New Roman" w:cs="Times New Roman" w:eastAsia="Times New Roman" w:hAnsi="Times New Roman"/>
          <w:sz w:val="17"/>
          <w:szCs w:val="17"/>
          <w:b w:val="1"/>
          <w:bCs w:val="1"/>
          <w:color w:val="auto"/>
        </w:rPr>
        <w:t>Section 5.02</w:t>
      </w:r>
      <w:r>
        <w:rPr>
          <w:sz w:val="20"/>
          <w:szCs w:val="20"/>
          <w:color w:val="auto"/>
        </w:rPr>
        <w:tab/>
      </w:r>
      <w:r>
        <w:rPr>
          <w:rFonts w:ascii="Times New Roman" w:cs="Times New Roman" w:eastAsia="Times New Roman" w:hAnsi="Times New Roman"/>
          <w:sz w:val="16"/>
          <w:szCs w:val="16"/>
          <w:b w:val="1"/>
          <w:bCs w:val="1"/>
          <w:color w:val="auto"/>
        </w:rPr>
        <w:t>Preservation Of Information; Communications With Securityholders</w:t>
      </w:r>
      <w:r>
        <w:rPr>
          <w:rFonts w:ascii="Times New Roman" w:cs="Times New Roman" w:eastAsia="Times New Roman" w:hAnsi="Times New Roman"/>
          <w:sz w:val="16"/>
          <w:szCs w:val="16"/>
          <w:color w:val="auto"/>
        </w:rPr>
        <w:t>.</w:t>
      </w:r>
    </w:p>
    <w:p>
      <w:pPr>
        <w:spacing w:after="0" w:line="181" w:lineRule="exact"/>
        <w:rPr>
          <w:sz w:val="20"/>
          <w:szCs w:val="20"/>
          <w:color w:val="auto"/>
        </w:rPr>
      </w:pPr>
    </w:p>
    <w:p>
      <w:pPr>
        <w:jc w:val="both"/>
        <w:ind w:firstLine="996"/>
        <w:spacing w:after="0" w:line="253" w:lineRule="auto"/>
        <w:tabs>
          <w:tab w:leader="none" w:pos="1351" w:val="left"/>
        </w:tabs>
        <w:numPr>
          <w:ilvl w:val="0"/>
          <w:numId w:val="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w:t>
      </w:r>
    </w:p>
    <w:p>
      <w:pPr>
        <w:spacing w:after="0" w:line="136" w:lineRule="exact"/>
        <w:rPr>
          <w:rFonts w:ascii="Times New Roman" w:cs="Times New Roman" w:eastAsia="Times New Roman" w:hAnsi="Times New Roman"/>
          <w:sz w:val="17"/>
          <w:szCs w:val="17"/>
          <w:b w:val="1"/>
          <w:bCs w:val="1"/>
          <w:color w:val="auto"/>
        </w:rPr>
      </w:pPr>
    </w:p>
    <w:p>
      <w:pPr>
        <w:ind w:left="1360" w:hanging="364"/>
        <w:spacing w:after="0"/>
        <w:tabs>
          <w:tab w:leader="none" w:pos="1360" w:val="left"/>
        </w:tabs>
        <w:numPr>
          <w:ilvl w:val="0"/>
          <w:numId w:val="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Trustee may destroy any list furnished to it as provided in Section 5.01 upon receipt of a new list so furnished.</w:t>
      </w:r>
    </w:p>
    <w:p>
      <w:pPr>
        <w:spacing w:after="0" w:line="166" w:lineRule="exact"/>
        <w:rPr>
          <w:rFonts w:ascii="Times New Roman" w:cs="Times New Roman" w:eastAsia="Times New Roman" w:hAnsi="Times New Roman"/>
          <w:sz w:val="17"/>
          <w:szCs w:val="17"/>
          <w:b w:val="1"/>
          <w:bCs w:val="1"/>
          <w:color w:val="auto"/>
        </w:rPr>
      </w:pPr>
    </w:p>
    <w:p>
      <w:pPr>
        <w:jc w:val="both"/>
        <w:ind w:firstLine="996"/>
        <w:spacing w:after="0" w:line="259" w:lineRule="auto"/>
        <w:tabs>
          <w:tab w:leader="none" w:pos="1383" w:val="left"/>
        </w:tabs>
        <w:numPr>
          <w:ilvl w:val="0"/>
          <w:numId w:val="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ectPr>
          <w:pgSz w:w="11900" w:h="16838" w:orient="portrait"/>
          <w:cols w:equalWidth="0" w:num="1">
            <w:col w:w="11280"/>
          </w:cols>
          <w:pgMar w:left="300" w:top="1287" w:right="319" w:bottom="1440" w:gutter="0" w:footer="0" w:header="0"/>
        </w:sectPr>
      </w:pPr>
    </w:p>
    <w:bookmarkStart w:id="66" w:name="page67"/>
    <w:bookmarkEnd w:id="66"/>
    <w:p>
      <w:pPr>
        <w:ind w:left="500"/>
        <w:spacing w:after="0"/>
        <w:tabs>
          <w:tab w:leader="none" w:pos="1500" w:val="left"/>
        </w:tabs>
        <w:rPr>
          <w:sz w:val="20"/>
          <w:szCs w:val="20"/>
          <w:color w:val="auto"/>
        </w:rPr>
      </w:pPr>
      <w:r>
        <w:rPr>
          <w:rFonts w:ascii="Times New Roman" w:cs="Times New Roman" w:eastAsia="Times New Roman" w:hAnsi="Times New Roman"/>
          <w:sz w:val="17"/>
          <w:szCs w:val="17"/>
          <w:b w:val="1"/>
          <w:bCs w:val="1"/>
          <w:color w:val="auto"/>
        </w:rPr>
        <w:t>Section 5.03</w:t>
      </w:r>
      <w:r>
        <w:rPr>
          <w:sz w:val="20"/>
          <w:szCs w:val="20"/>
          <w:color w:val="auto"/>
        </w:rPr>
        <w:tab/>
      </w:r>
      <w:r>
        <w:rPr>
          <w:rFonts w:ascii="Times New Roman" w:cs="Times New Roman" w:eastAsia="Times New Roman" w:hAnsi="Times New Roman"/>
          <w:sz w:val="16"/>
          <w:szCs w:val="16"/>
          <w:b w:val="1"/>
          <w:bCs w:val="1"/>
          <w:color w:val="auto"/>
        </w:rPr>
        <w:t>Reports by the Company</w:t>
      </w:r>
      <w:r>
        <w:rPr>
          <w:rFonts w:ascii="Times New Roman" w:cs="Times New Roman" w:eastAsia="Times New Roman" w:hAnsi="Times New Roman"/>
          <w:sz w:val="16"/>
          <w:szCs w:val="16"/>
          <w:color w:val="auto"/>
        </w:rPr>
        <w:t>.</w:t>
      </w:r>
    </w:p>
    <w:p>
      <w:pPr>
        <w:spacing w:after="0" w:line="170" w:lineRule="exact"/>
        <w:rPr>
          <w:sz w:val="20"/>
          <w:szCs w:val="20"/>
          <w:color w:val="auto"/>
        </w:rPr>
      </w:pPr>
    </w:p>
    <w:p>
      <w:pPr>
        <w:jc w:val="both"/>
        <w:ind w:firstLine="996"/>
        <w:spacing w:after="0" w:line="247" w:lineRule="auto"/>
        <w:tabs>
          <w:tab w:leader="none" w:pos="1351" w:val="left"/>
        </w:tabs>
        <w:numPr>
          <w:ilvl w:val="0"/>
          <w:numId w:val="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will at all times comply with Section 314(a) of the Trust Indenture Act. The Company covenants and 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provided, however, the Company shall not be required to deliver to the Trustee any correspondence filed with the Commission or any materials for which the Company has sought and received confidential treatment by the Commission; and provided further, that so long as such filings by the Company are available on the Commission’s Electronic Data Gathering, Analysis and Retrieval System (EDGAR), or any successor system, such filings shall be deemed to have been filed with the Trustee for purposes hereof without any further action required by the Company. For the avoidance of doubt, a failure by the Company to file annual reports, information and other reports with the Commission within the time period prescribed thereof by the Commission shall not be deemed a breach of this Section 5.03.</w:t>
      </w:r>
    </w:p>
    <w:p>
      <w:pPr>
        <w:spacing w:after="0" w:line="143" w:lineRule="exact"/>
        <w:rPr>
          <w:rFonts w:ascii="Times New Roman" w:cs="Times New Roman" w:eastAsia="Times New Roman" w:hAnsi="Times New Roman"/>
          <w:sz w:val="17"/>
          <w:szCs w:val="17"/>
          <w:b w:val="1"/>
          <w:bCs w:val="1"/>
          <w:color w:val="auto"/>
        </w:rPr>
      </w:pPr>
    </w:p>
    <w:p>
      <w:pPr>
        <w:jc w:val="both"/>
        <w:ind w:firstLine="996"/>
        <w:spacing w:after="0" w:line="247" w:lineRule="auto"/>
        <w:tabs>
          <w:tab w:leader="none" w:pos="1412" w:val="left"/>
        </w:tabs>
        <w:numPr>
          <w:ilvl w:val="0"/>
          <w:numId w:val="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Delivery of reports, information and documents to the Trustee under Section 5.03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 The Trustee is under no duty to examine any such reports, information or documents delivered to the Trustee or filed with the Commission via EDGAR to ensure compliance with the provision of this Indenture or to ascertain the correctness or otherwise of the information or the statements contained therein. The Trustee shall have no responsibility or duty whatsoever to ascertain or determine whether the above referenced filings with the Commission on EDGAR (or any successor system) has occurred.</w:t>
      </w:r>
    </w:p>
    <w:p>
      <w:pPr>
        <w:spacing w:after="0" w:line="139" w:lineRule="exact"/>
        <w:rPr>
          <w:sz w:val="20"/>
          <w:szCs w:val="20"/>
          <w:color w:val="auto"/>
        </w:rPr>
      </w:pPr>
    </w:p>
    <w:p>
      <w:pPr>
        <w:ind w:left="500"/>
        <w:spacing w:after="0"/>
        <w:tabs>
          <w:tab w:leader="none" w:pos="1500" w:val="left"/>
        </w:tabs>
        <w:rPr>
          <w:sz w:val="20"/>
          <w:szCs w:val="20"/>
          <w:color w:val="auto"/>
        </w:rPr>
      </w:pPr>
      <w:r>
        <w:rPr>
          <w:rFonts w:ascii="Times New Roman" w:cs="Times New Roman" w:eastAsia="Times New Roman" w:hAnsi="Times New Roman"/>
          <w:sz w:val="17"/>
          <w:szCs w:val="17"/>
          <w:b w:val="1"/>
          <w:bCs w:val="1"/>
          <w:color w:val="auto"/>
        </w:rPr>
        <w:t>Section 5.04</w:t>
      </w:r>
      <w:r>
        <w:rPr>
          <w:sz w:val="20"/>
          <w:szCs w:val="20"/>
          <w:color w:val="auto"/>
        </w:rPr>
        <w:tab/>
      </w:r>
      <w:r>
        <w:rPr>
          <w:rFonts w:ascii="Times New Roman" w:cs="Times New Roman" w:eastAsia="Times New Roman" w:hAnsi="Times New Roman"/>
          <w:sz w:val="16"/>
          <w:szCs w:val="16"/>
          <w:b w:val="1"/>
          <w:bCs w:val="1"/>
          <w:color w:val="auto"/>
        </w:rPr>
        <w:t>Reports by the Trustee</w:t>
      </w:r>
      <w:r>
        <w:rPr>
          <w:rFonts w:ascii="Times New Roman" w:cs="Times New Roman" w:eastAsia="Times New Roman" w:hAnsi="Times New Roman"/>
          <w:sz w:val="16"/>
          <w:szCs w:val="16"/>
          <w:color w:val="auto"/>
        </w:rPr>
        <w:t>.</w:t>
      </w:r>
    </w:p>
    <w:p>
      <w:pPr>
        <w:spacing w:after="0" w:line="170" w:lineRule="exact"/>
        <w:rPr>
          <w:sz w:val="20"/>
          <w:szCs w:val="20"/>
          <w:color w:val="auto"/>
        </w:rPr>
      </w:pPr>
    </w:p>
    <w:p>
      <w:pPr>
        <w:ind w:firstLine="996"/>
        <w:spacing w:after="0" w:line="278" w:lineRule="auto"/>
        <w:tabs>
          <w:tab w:leader="none" w:pos="1351" w:val="left"/>
        </w:tabs>
        <w:numPr>
          <w:ilvl w:val="0"/>
          <w:numId w:val="6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required by Section 313(a) of the Trust Indenture Act, the Trustee, within sixty (60) days after each May 1, shall send to the Securityholders a brief report dated as of such May 1, which complies with Section 313(a) of the Trust Indenture Act.</w:t>
      </w:r>
    </w:p>
    <w:p>
      <w:pPr>
        <w:spacing w:after="0" w:line="115" w:lineRule="exact"/>
        <w:rPr>
          <w:rFonts w:ascii="Times New Roman" w:cs="Times New Roman" w:eastAsia="Times New Roman" w:hAnsi="Times New Roman"/>
          <w:sz w:val="17"/>
          <w:szCs w:val="17"/>
          <w:b w:val="1"/>
          <w:bCs w:val="1"/>
          <w:color w:val="auto"/>
        </w:rPr>
      </w:pPr>
    </w:p>
    <w:p>
      <w:pPr>
        <w:ind w:left="1360" w:hanging="364"/>
        <w:spacing w:after="0"/>
        <w:tabs>
          <w:tab w:leader="none" w:pos="1360" w:val="left"/>
        </w:tabs>
        <w:numPr>
          <w:ilvl w:val="0"/>
          <w:numId w:val="6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Trustee shall comply with Section 313(b) and 313(c) of the Trust Indenture Act.</w:t>
      </w:r>
    </w:p>
    <w:p>
      <w:pPr>
        <w:spacing w:after="0" w:line="166" w:lineRule="exact"/>
        <w:rPr>
          <w:rFonts w:ascii="Times New Roman" w:cs="Times New Roman" w:eastAsia="Times New Roman" w:hAnsi="Times New Roman"/>
          <w:sz w:val="17"/>
          <w:szCs w:val="17"/>
          <w:b w:val="1"/>
          <w:bCs w:val="1"/>
          <w:color w:val="auto"/>
        </w:rPr>
      </w:pPr>
    </w:p>
    <w:p>
      <w:pPr>
        <w:jc w:val="both"/>
        <w:ind w:firstLine="996"/>
        <w:spacing w:after="0" w:line="253" w:lineRule="auto"/>
        <w:tabs>
          <w:tab w:leader="none" w:pos="1362" w:val="left"/>
        </w:tabs>
        <w:numPr>
          <w:ilvl w:val="0"/>
          <w:numId w:val="6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 copy of each such report shall, at the time of such transmission to Securityholders, be filed by the Trustee with the Company, with each securities exchange upon which any Securities are listed (if so listed) and also with the Commission. The Company agrees to notify the Trustee when any Securities become listed on any securities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ectPr>
          <w:pgSz w:w="11900" w:h="16838" w:orient="portrait"/>
          <w:cols w:equalWidth="0" w:num="1">
            <w:col w:w="11280"/>
          </w:cols>
          <w:pgMar w:left="300" w:top="1283" w:right="319" w:bottom="1440" w:gutter="0" w:footer="0" w:header="0"/>
        </w:sectPr>
      </w:pPr>
    </w:p>
    <w:bookmarkStart w:id="67" w:name="page68"/>
    <w:bookmarkEnd w:id="67"/>
    <w:p>
      <w:pPr>
        <w:ind w:left="5200"/>
        <w:spacing w:after="0"/>
        <w:rPr>
          <w:sz w:val="20"/>
          <w:szCs w:val="20"/>
          <w:color w:val="auto"/>
        </w:rPr>
      </w:pPr>
      <w:r>
        <w:rPr>
          <w:rFonts w:ascii="Times New Roman" w:cs="Times New Roman" w:eastAsia="Times New Roman" w:hAnsi="Times New Roman"/>
          <w:sz w:val="17"/>
          <w:szCs w:val="17"/>
          <w:b w:val="1"/>
          <w:bCs w:val="1"/>
          <w:color w:val="auto"/>
        </w:rPr>
        <w:t>ARTICLE 6</w:t>
      </w:r>
    </w:p>
    <w:p>
      <w:pPr>
        <w:spacing w:after="0" w:line="16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b w:val="1"/>
          <w:bCs w:val="1"/>
          <w:color w:val="auto"/>
        </w:rPr>
        <w:t>REMEDIES OF THE TRUSTEE AND SECURITYHOLDERS ON EVENT OF DEFAULT</w:t>
      </w:r>
    </w:p>
    <w:p>
      <w:pPr>
        <w:spacing w:after="0" w:line="166" w:lineRule="exact"/>
        <w:rPr>
          <w:sz w:val="20"/>
          <w:szCs w:val="20"/>
          <w:color w:val="auto"/>
        </w:rPr>
      </w:pPr>
    </w:p>
    <w:p>
      <w:pPr>
        <w:ind w:left="500"/>
        <w:spacing w:after="0"/>
        <w:tabs>
          <w:tab w:leader="none" w:pos="1500" w:val="left"/>
        </w:tabs>
        <w:rPr>
          <w:sz w:val="20"/>
          <w:szCs w:val="20"/>
          <w:color w:val="auto"/>
        </w:rPr>
      </w:pPr>
      <w:r>
        <w:rPr>
          <w:rFonts w:ascii="Times New Roman" w:cs="Times New Roman" w:eastAsia="Times New Roman" w:hAnsi="Times New Roman"/>
          <w:sz w:val="17"/>
          <w:szCs w:val="17"/>
          <w:b w:val="1"/>
          <w:bCs w:val="1"/>
          <w:color w:val="auto"/>
        </w:rPr>
        <w:t>Section 6.01</w:t>
      </w:r>
      <w:r>
        <w:rPr>
          <w:sz w:val="20"/>
          <w:szCs w:val="20"/>
          <w:color w:val="auto"/>
        </w:rPr>
        <w:tab/>
      </w:r>
      <w:r>
        <w:rPr>
          <w:rFonts w:ascii="Times New Roman" w:cs="Times New Roman" w:eastAsia="Times New Roman" w:hAnsi="Times New Roman"/>
          <w:sz w:val="16"/>
          <w:szCs w:val="16"/>
          <w:b w:val="1"/>
          <w:bCs w:val="1"/>
          <w:color w:val="auto"/>
        </w:rPr>
        <w:t>Events of Default</w:t>
      </w:r>
      <w:r>
        <w:rPr>
          <w:rFonts w:ascii="Times New Roman" w:cs="Times New Roman" w:eastAsia="Times New Roman" w:hAnsi="Times New Roman"/>
          <w:sz w:val="16"/>
          <w:szCs w:val="16"/>
          <w:color w:val="auto"/>
        </w:rPr>
        <w:t>.</w:t>
      </w:r>
    </w:p>
    <w:p>
      <w:pPr>
        <w:spacing w:after="0" w:line="181" w:lineRule="exact"/>
        <w:rPr>
          <w:sz w:val="20"/>
          <w:szCs w:val="20"/>
          <w:color w:val="auto"/>
        </w:rPr>
      </w:pPr>
    </w:p>
    <w:p>
      <w:pPr>
        <w:ind w:firstLine="996"/>
        <w:spacing w:after="0" w:line="265" w:lineRule="auto"/>
        <w:tabs>
          <w:tab w:leader="none" w:pos="1392" w:val="left"/>
        </w:tabs>
        <w:numPr>
          <w:ilvl w:val="0"/>
          <w:numId w:val="6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Whenever used herein with respect to Securities of a particular series, “Event of Default” means any one or more of the following events that has occurred and is continuing:</w:t>
      </w:r>
    </w:p>
    <w:p>
      <w:pPr>
        <w:spacing w:after="0" w:line="127" w:lineRule="exact"/>
        <w:rPr>
          <w:sz w:val="20"/>
          <w:szCs w:val="20"/>
          <w:color w:val="auto"/>
        </w:rPr>
      </w:pPr>
    </w:p>
    <w:p>
      <w:pPr>
        <w:jc w:val="both"/>
        <w:ind w:firstLine="996"/>
        <w:spacing w:after="0" w:line="253" w:lineRule="auto"/>
        <w:tabs>
          <w:tab w:leader="none" w:pos="1361" w:val="left"/>
        </w:tabs>
        <w:numPr>
          <w:ilvl w:val="1"/>
          <w:numId w:val="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defaults in the payment of any installment of interest upon any of the Securities of that series, as and when the same shall become due and payable, and such default continues for a period of 90 days; provided, however, that a valid extension of an interest payment period by the Company in accordance with the terms of any indenture supplemental hereto shall not constitute a default in the payment of interest for this purpose;</w:t>
      </w:r>
    </w:p>
    <w:p>
      <w:pPr>
        <w:spacing w:after="0" w:line="147" w:lineRule="exact"/>
        <w:rPr>
          <w:rFonts w:ascii="Times New Roman" w:cs="Times New Roman" w:eastAsia="Times New Roman" w:hAnsi="Times New Roman"/>
          <w:sz w:val="17"/>
          <w:szCs w:val="17"/>
          <w:b w:val="1"/>
          <w:bCs w:val="1"/>
          <w:color w:val="auto"/>
        </w:rPr>
      </w:pPr>
    </w:p>
    <w:p>
      <w:pPr>
        <w:jc w:val="both"/>
        <w:ind w:firstLine="996"/>
        <w:spacing w:after="0" w:line="249" w:lineRule="auto"/>
        <w:tabs>
          <w:tab w:leader="none" w:pos="1403" w:val="left"/>
        </w:tabs>
        <w:numPr>
          <w:ilvl w:val="1"/>
          <w:numId w:val="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p>
      <w:pPr>
        <w:spacing w:after="0" w:line="140" w:lineRule="exact"/>
        <w:rPr>
          <w:rFonts w:ascii="Times New Roman" w:cs="Times New Roman" w:eastAsia="Times New Roman" w:hAnsi="Times New Roman"/>
          <w:sz w:val="17"/>
          <w:szCs w:val="17"/>
          <w:b w:val="1"/>
          <w:bCs w:val="1"/>
          <w:color w:val="auto"/>
        </w:rPr>
      </w:pPr>
    </w:p>
    <w:p>
      <w:pPr>
        <w:jc w:val="both"/>
        <w:ind w:firstLine="996"/>
        <w:spacing w:after="0" w:line="269" w:lineRule="auto"/>
        <w:tabs>
          <w:tab w:leader="none" w:pos="1361" w:val="left"/>
        </w:tabs>
        <w:numPr>
          <w:ilvl w:val="1"/>
          <w:numId w:val="6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at least 25% in principal amount of the Securities of that series at the time Outstanding;</w:t>
      </w:r>
    </w:p>
    <w:p>
      <w:pPr>
        <w:spacing w:after="0" w:line="127" w:lineRule="exact"/>
        <w:rPr>
          <w:rFonts w:ascii="Times New Roman" w:cs="Times New Roman" w:eastAsia="Times New Roman" w:hAnsi="Times New Roman"/>
          <w:sz w:val="16"/>
          <w:szCs w:val="16"/>
          <w:b w:val="1"/>
          <w:bCs w:val="1"/>
          <w:color w:val="auto"/>
        </w:rPr>
      </w:pPr>
    </w:p>
    <w:p>
      <w:pPr>
        <w:jc w:val="both"/>
        <w:ind w:firstLine="996"/>
        <w:spacing w:after="0" w:line="259" w:lineRule="auto"/>
        <w:tabs>
          <w:tab w:leader="none" w:pos="1392" w:val="left"/>
        </w:tabs>
        <w:numPr>
          <w:ilvl w:val="1"/>
          <w:numId w:val="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w:t>
      </w:r>
    </w:p>
    <w:p>
      <w:pPr>
        <w:spacing w:after="0" w:line="132" w:lineRule="exact"/>
        <w:rPr>
          <w:rFonts w:ascii="Times New Roman" w:cs="Times New Roman" w:eastAsia="Times New Roman" w:hAnsi="Times New Roman"/>
          <w:sz w:val="17"/>
          <w:szCs w:val="17"/>
          <w:b w:val="1"/>
          <w:bCs w:val="1"/>
          <w:color w:val="auto"/>
        </w:rPr>
      </w:pPr>
    </w:p>
    <w:p>
      <w:pPr>
        <w:jc w:val="both"/>
        <w:ind w:firstLine="499"/>
        <w:spacing w:after="0" w:line="253" w:lineRule="auto"/>
        <w:tabs>
          <w:tab w:leader="none" w:pos="741" w:val="left"/>
        </w:tabs>
        <w:numPr>
          <w:ilvl w:val="0"/>
          <w:numId w:val="6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days.</w:t>
      </w:r>
    </w:p>
    <w:p>
      <w:pPr>
        <w:spacing w:after="0" w:line="137" w:lineRule="exact"/>
        <w:rPr>
          <w:sz w:val="20"/>
          <w:szCs w:val="20"/>
          <w:color w:val="auto"/>
        </w:rPr>
      </w:pPr>
    </w:p>
    <w:p>
      <w:pPr>
        <w:ind w:left="1400" w:hanging="404"/>
        <w:spacing w:after="0"/>
        <w:tabs>
          <w:tab w:leader="none" w:pos="1400" w:val="left"/>
        </w:tabs>
        <w:numPr>
          <w:ilvl w:val="0"/>
          <w:numId w:val="6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each and every such case (other than an Event of Default specified in clause (4) or clause (5) above), unless the principal of all the Securities of</w:t>
      </w:r>
    </w:p>
    <w:p>
      <w:pPr>
        <w:spacing w:after="0" w:line="31" w:lineRule="exact"/>
        <w:rPr>
          <w:rFonts w:ascii="Times New Roman" w:cs="Times New Roman" w:eastAsia="Times New Roman" w:hAnsi="Times New Roman"/>
          <w:sz w:val="16"/>
          <w:szCs w:val="16"/>
          <w:b w:val="1"/>
          <w:bCs w:val="1"/>
          <w:color w:val="auto"/>
        </w:rPr>
      </w:pPr>
    </w:p>
    <w:p>
      <w:pPr>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color w:val="auto"/>
        </w:rPr>
        <w:t>that series shall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ectPr>
          <w:pgSz w:w="11900" w:h="16838" w:orient="portrait"/>
          <w:cols w:equalWidth="0" w:num="1">
            <w:col w:w="11280"/>
          </w:cols>
          <w:pgMar w:left="300" w:top="1283" w:right="319" w:bottom="1440" w:gutter="0" w:footer="0" w:header="0"/>
        </w:sectPr>
      </w:pPr>
    </w:p>
    <w:bookmarkStart w:id="68" w:name="page69"/>
    <w:bookmarkEnd w:id="68"/>
    <w:p>
      <w:pPr>
        <w:jc w:val="both"/>
        <w:spacing w:after="0" w:line="269" w:lineRule="auto"/>
        <w:rPr>
          <w:sz w:val="20"/>
          <w:szCs w:val="20"/>
          <w:color w:val="auto"/>
        </w:rPr>
      </w:pPr>
      <w:r>
        <w:rPr>
          <w:rFonts w:ascii="Times New Roman" w:cs="Times New Roman" w:eastAsia="Times New Roman" w:hAnsi="Times New Roman"/>
          <w:sz w:val="16"/>
          <w:szCs w:val="16"/>
          <w:color w:val="auto"/>
        </w:rPr>
        <w:t>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 (4) or clause (5) above occurs, the principal of and accrued and unpaid interest on all the Securities of that series shall automatically be immediately due and payable without any declaration or other act on the part of the Trustee or the holders of the Securities.</w:t>
      </w:r>
    </w:p>
    <w:p>
      <w:pPr>
        <w:spacing w:after="0" w:line="127" w:lineRule="exact"/>
        <w:rPr>
          <w:sz w:val="20"/>
          <w:szCs w:val="20"/>
          <w:color w:val="auto"/>
        </w:rPr>
      </w:pPr>
    </w:p>
    <w:p>
      <w:pPr>
        <w:jc w:val="both"/>
        <w:ind w:firstLine="996"/>
        <w:spacing w:after="0" w:line="263" w:lineRule="auto"/>
        <w:tabs>
          <w:tab w:leader="none" w:pos="1342" w:val="left"/>
        </w:tabs>
        <w:numPr>
          <w:ilvl w:val="0"/>
          <w:numId w:val="6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Section 7.06,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Section 6.06.</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No such rescission and annulment shall extend to or shall affect any subsequent default or impair any right consequent thereon.</w:t>
      </w:r>
    </w:p>
    <w:p>
      <w:pPr>
        <w:spacing w:after="0" w:line="166" w:lineRule="exact"/>
        <w:rPr>
          <w:sz w:val="20"/>
          <w:szCs w:val="20"/>
          <w:color w:val="auto"/>
        </w:rPr>
      </w:pPr>
    </w:p>
    <w:p>
      <w:pPr>
        <w:jc w:val="both"/>
        <w:ind w:firstLine="996"/>
        <w:spacing w:after="0" w:line="249" w:lineRule="auto"/>
        <w:tabs>
          <w:tab w:leader="none" w:pos="1371" w:val="left"/>
        </w:tabs>
        <w:numPr>
          <w:ilvl w:val="0"/>
          <w:numId w:val="6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147" w:lineRule="exact"/>
        <w:rPr>
          <w:sz w:val="20"/>
          <w:szCs w:val="20"/>
          <w:color w:val="auto"/>
        </w:rPr>
      </w:pPr>
    </w:p>
    <w:p>
      <w:pPr>
        <w:ind w:left="500"/>
        <w:spacing w:after="0"/>
        <w:tabs>
          <w:tab w:leader="none" w:pos="1500" w:val="left"/>
        </w:tabs>
        <w:rPr>
          <w:sz w:val="20"/>
          <w:szCs w:val="20"/>
          <w:color w:val="auto"/>
        </w:rPr>
      </w:pPr>
      <w:r>
        <w:rPr>
          <w:rFonts w:ascii="Times New Roman" w:cs="Times New Roman" w:eastAsia="Times New Roman" w:hAnsi="Times New Roman"/>
          <w:sz w:val="17"/>
          <w:szCs w:val="17"/>
          <w:b w:val="1"/>
          <w:bCs w:val="1"/>
          <w:color w:val="auto"/>
        </w:rPr>
        <w:t>Section 6.02</w:t>
      </w:r>
      <w:r>
        <w:rPr>
          <w:sz w:val="20"/>
          <w:szCs w:val="20"/>
          <w:color w:val="auto"/>
        </w:rPr>
        <w:tab/>
      </w:r>
      <w:r>
        <w:rPr>
          <w:rFonts w:ascii="Times New Roman" w:cs="Times New Roman" w:eastAsia="Times New Roman" w:hAnsi="Times New Roman"/>
          <w:sz w:val="16"/>
          <w:szCs w:val="16"/>
          <w:b w:val="1"/>
          <w:bCs w:val="1"/>
          <w:color w:val="auto"/>
        </w:rPr>
        <w:t>Collection of Indebtedness and Suits for Enforcement by Trustee</w:t>
      </w:r>
      <w:r>
        <w:rPr>
          <w:rFonts w:ascii="Times New Roman" w:cs="Times New Roman" w:eastAsia="Times New Roman" w:hAnsi="Times New Roman"/>
          <w:sz w:val="16"/>
          <w:szCs w:val="16"/>
          <w:color w:val="auto"/>
        </w:rPr>
        <w:t>.</w:t>
      </w:r>
    </w:p>
    <w:p>
      <w:pPr>
        <w:spacing w:after="0" w:line="170" w:lineRule="exact"/>
        <w:rPr>
          <w:sz w:val="20"/>
          <w:szCs w:val="20"/>
          <w:color w:val="auto"/>
        </w:rPr>
      </w:pPr>
    </w:p>
    <w:p>
      <w:pPr>
        <w:jc w:val="both"/>
        <w:ind w:firstLine="996"/>
        <w:spacing w:after="0" w:line="249" w:lineRule="auto"/>
        <w:tabs>
          <w:tab w:leader="none" w:pos="1392" w:val="left"/>
        </w:tabs>
        <w:numPr>
          <w:ilvl w:val="0"/>
          <w:numId w:val="7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covenants that (i) in case it shall default in the payment of any installment of interest on any of the Securities of a series, or in any payment required by any sinking or analogous fund established with respect to that series as and when the same shall have become due and payable, and such default shall have continued for a period of 90 days, or (ii) in case it shall default in the payment of the principal of (or premium, if any, on) any of the Securities of a series when the same shall have become due and payable, whether upon maturity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ectPr>
          <w:pgSz w:w="11900" w:h="16838" w:orient="portrait"/>
          <w:cols w:equalWidth="0" w:num="1">
            <w:col w:w="11280"/>
          </w:cols>
          <w:pgMar w:left="300" w:top="1287" w:right="319" w:bottom="1440" w:gutter="0" w:footer="0" w:header="0"/>
        </w:sectPr>
      </w:pPr>
    </w:p>
    <w:bookmarkStart w:id="69" w:name="page70"/>
    <w:bookmarkEnd w:id="69"/>
    <w:p>
      <w:pPr>
        <w:jc w:val="both"/>
        <w:spacing w:after="0" w:line="250" w:lineRule="auto"/>
        <w:rPr>
          <w:sz w:val="20"/>
          <w:szCs w:val="20"/>
          <w:color w:val="auto"/>
        </w:rPr>
      </w:pPr>
      <w:r>
        <w:rPr>
          <w:rFonts w:ascii="Times New Roman" w:cs="Times New Roman" w:eastAsia="Times New Roman" w:hAnsi="Times New Roman"/>
          <w:sz w:val="17"/>
          <w:szCs w:val="17"/>
          <w:color w:val="auto"/>
        </w:rPr>
        <w:t>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w:t>
      </w:r>
    </w:p>
    <w:p>
      <w:pPr>
        <w:spacing w:after="0" w:line="140" w:lineRule="exact"/>
        <w:rPr>
          <w:sz w:val="20"/>
          <w:szCs w:val="20"/>
          <w:color w:val="auto"/>
        </w:rPr>
      </w:pPr>
    </w:p>
    <w:p>
      <w:pPr>
        <w:jc w:val="both"/>
        <w:ind w:firstLine="996"/>
        <w:spacing w:after="0" w:line="250" w:lineRule="auto"/>
        <w:tabs>
          <w:tab w:leader="none" w:pos="1381" w:val="left"/>
        </w:tabs>
        <w:numPr>
          <w:ilvl w:val="0"/>
          <w:numId w:val="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spacing w:after="0" w:line="140" w:lineRule="exact"/>
        <w:rPr>
          <w:rFonts w:ascii="Times New Roman" w:cs="Times New Roman" w:eastAsia="Times New Roman" w:hAnsi="Times New Roman"/>
          <w:sz w:val="17"/>
          <w:szCs w:val="17"/>
          <w:b w:val="1"/>
          <w:bCs w:val="1"/>
          <w:color w:val="auto"/>
        </w:rPr>
      </w:pPr>
    </w:p>
    <w:p>
      <w:pPr>
        <w:jc w:val="both"/>
        <w:ind w:firstLine="996"/>
        <w:spacing w:after="0" w:line="245" w:lineRule="auto"/>
        <w:tabs>
          <w:tab w:leader="none" w:pos="1435" w:val="left"/>
        </w:tabs>
        <w:numPr>
          <w:ilvl w:val="0"/>
          <w:numId w:val="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spacing w:after="0" w:line="158" w:lineRule="exact"/>
        <w:rPr>
          <w:rFonts w:ascii="Times New Roman" w:cs="Times New Roman" w:eastAsia="Times New Roman" w:hAnsi="Times New Roman"/>
          <w:sz w:val="17"/>
          <w:szCs w:val="17"/>
          <w:b w:val="1"/>
          <w:bCs w:val="1"/>
          <w:color w:val="auto"/>
        </w:rPr>
      </w:pPr>
    </w:p>
    <w:p>
      <w:pPr>
        <w:jc w:val="both"/>
        <w:ind w:firstLine="996"/>
        <w:spacing w:after="0" w:line="249" w:lineRule="auto"/>
        <w:tabs>
          <w:tab w:leader="none" w:pos="1360" w:val="left"/>
        </w:tabs>
        <w:numPr>
          <w:ilvl w:val="0"/>
          <w:numId w:val="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spacing w:after="0" w:line="140" w:lineRule="exact"/>
        <w:rPr>
          <w:sz w:val="20"/>
          <w:szCs w:val="20"/>
          <w:color w:val="auto"/>
        </w:rPr>
      </w:pPr>
    </w:p>
    <w:p>
      <w:pPr>
        <w:ind w:firstLine="496"/>
        <w:spacing w:after="0" w:line="278" w:lineRule="auto"/>
        <w:rPr>
          <w:sz w:val="20"/>
          <w:szCs w:val="20"/>
          <w:color w:val="auto"/>
        </w:rPr>
      </w:pPr>
      <w:r>
        <w:rPr>
          <w:rFonts w:ascii="Times New Roman" w:cs="Times New Roman" w:eastAsia="Times New Roman" w:hAnsi="Times New Roman"/>
          <w:sz w:val="17"/>
          <w:szCs w:val="17"/>
          <w:color w:val="auto"/>
        </w:rPr>
        <w:t>In case of an Event of Default hereunder, the Trustee may in its discretion proceed to protect and enforce the rights vested in it by this Indenture by such appropriate judicial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ectPr>
          <w:pgSz w:w="11900" w:h="16838" w:orient="portrait"/>
          <w:cols w:equalWidth="0" w:num="1">
            <w:col w:w="11280"/>
          </w:cols>
          <w:pgMar w:left="300" w:top="1287" w:right="319" w:bottom="1440" w:gutter="0" w:footer="0" w:header="0"/>
        </w:sectPr>
      </w:pPr>
    </w:p>
    <w:bookmarkStart w:id="70" w:name="page71"/>
    <w:bookmarkEnd w:id="70"/>
    <w:p>
      <w:pPr>
        <w:jc w:val="both"/>
        <w:spacing w:after="0" w:line="253" w:lineRule="auto"/>
        <w:rPr>
          <w:sz w:val="20"/>
          <w:szCs w:val="20"/>
          <w:color w:val="auto"/>
        </w:rPr>
      </w:pPr>
      <w:r>
        <w:rPr>
          <w:rFonts w:ascii="Times New Roman" w:cs="Times New Roman" w:eastAsia="Times New Roman" w:hAnsi="Times New Roman"/>
          <w:sz w:val="17"/>
          <w:szCs w:val="17"/>
          <w:color w:val="auto"/>
        </w:rPr>
        <w:t>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w:t>
      </w:r>
    </w:p>
    <w:p>
      <w:pPr>
        <w:spacing w:after="0" w:line="147"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7"/>
          <w:szCs w:val="17"/>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Securityholder thereof or to authorize the Trustee to vote in respect of the claim of any Securityholder in any such proceeding.</w:t>
      </w:r>
    </w:p>
    <w:p>
      <w:pPr>
        <w:spacing w:after="0" w:line="133" w:lineRule="exact"/>
        <w:rPr>
          <w:sz w:val="20"/>
          <w:szCs w:val="20"/>
          <w:color w:val="auto"/>
        </w:rPr>
      </w:pPr>
    </w:p>
    <w:p>
      <w:pPr>
        <w:jc w:val="both"/>
        <w:ind w:firstLine="496"/>
        <w:spacing w:after="0" w:line="262" w:lineRule="auto"/>
        <w:rPr>
          <w:sz w:val="20"/>
          <w:szCs w:val="20"/>
          <w:color w:val="auto"/>
        </w:rPr>
      </w:pPr>
      <w:r>
        <w:rPr>
          <w:rFonts w:ascii="Times New Roman" w:cs="Times New Roman" w:eastAsia="Times New Roman" w:hAnsi="Times New Roman"/>
          <w:sz w:val="17"/>
          <w:szCs w:val="17"/>
          <w:b w:val="1"/>
          <w:bCs w:val="1"/>
          <w:color w:val="auto"/>
        </w:rPr>
        <w:t>Section 6.03 Application of Moneys Collected</w:t>
      </w:r>
      <w:r>
        <w:rPr>
          <w:rFonts w:ascii="Times New Roman" w:cs="Times New Roman" w:eastAsia="Times New Roman" w:hAnsi="Times New Roman"/>
          <w:sz w:val="17"/>
          <w:szCs w:val="17"/>
          <w:color w:val="auto"/>
        </w:rPr>
        <w:t>. Any moneys collected by the Trustee pursuant to this Article with respect to a particular series of Securities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w:t>
      </w:r>
    </w:p>
    <w:p>
      <w:pPr>
        <w:spacing w:after="0" w:line="1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FIRST: To the payment of costs and expenses of collection and of all amounts payable to the Trustee under Section 7.06;</w:t>
      </w:r>
    </w:p>
    <w:p>
      <w:pPr>
        <w:spacing w:after="0" w:line="166"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7"/>
          <w:szCs w:val="17"/>
          <w:color w:val="auto"/>
        </w:rPr>
        <w:t>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w:t>
      </w:r>
    </w:p>
    <w:p>
      <w:pPr>
        <w:spacing w:after="0" w:line="13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THIRD: To the payment of the remainder, if any, to the Company or any other Person lawfully entitled thereto.</w:t>
      </w:r>
    </w:p>
    <w:p>
      <w:pPr>
        <w:spacing w:after="0" w:line="173" w:lineRule="exact"/>
        <w:rPr>
          <w:sz w:val="20"/>
          <w:szCs w:val="20"/>
          <w:color w:val="auto"/>
        </w:rPr>
      </w:pPr>
    </w:p>
    <w:p>
      <w:pPr>
        <w:jc w:val="both"/>
        <w:ind w:firstLine="496"/>
        <w:spacing w:after="0" w:line="246" w:lineRule="auto"/>
        <w:rPr>
          <w:sz w:val="20"/>
          <w:szCs w:val="20"/>
          <w:color w:val="auto"/>
        </w:rPr>
      </w:pPr>
      <w:r>
        <w:rPr>
          <w:rFonts w:ascii="Times New Roman" w:cs="Times New Roman" w:eastAsia="Times New Roman" w:hAnsi="Times New Roman"/>
          <w:sz w:val="17"/>
          <w:szCs w:val="17"/>
          <w:b w:val="1"/>
          <w:bCs w:val="1"/>
          <w:color w:val="auto"/>
        </w:rPr>
        <w:t>Section 6.04 Limitation on Suits</w:t>
      </w:r>
      <w:r>
        <w:rPr>
          <w:rFonts w:ascii="Times New Roman" w:cs="Times New Roman" w:eastAsia="Times New Roman" w:hAnsi="Times New Roman"/>
          <w:sz w:val="17"/>
          <w:szCs w:val="17"/>
          <w:color w:val="auto"/>
        </w:rPr>
        <w:t>. No holder of any Security of any series shall have any right by virtue or by availing of any provision of this Indenture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institute any suit, action or proceeding in equity or at law upon or under or with respect to this Indenture or for the appointment of a receiver or trustee, or for any other remedy hereunder, unless (i) such Securityholder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Securityholder or Securityholders shall have offered to the Trustee indemnity satisfactory to it against the costs, expenses and liabilities to be incurred in compliance with such request;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ectPr>
          <w:pgSz w:w="11900" w:h="16838" w:orient="portrait"/>
          <w:cols w:equalWidth="0" w:num="1">
            <w:col w:w="11280"/>
          </w:cols>
          <w:pgMar w:left="300" w:top="1287" w:right="319" w:bottom="1440" w:gutter="0" w:footer="0" w:header="0"/>
        </w:sectPr>
      </w:pPr>
    </w:p>
    <w:bookmarkStart w:id="71" w:name="page72"/>
    <w:bookmarkEnd w:id="71"/>
    <w:p>
      <w:pPr>
        <w:jc w:val="both"/>
        <w:ind w:firstLine="496"/>
        <w:spacing w:after="0" w:line="247" w:lineRule="auto"/>
        <w:rPr>
          <w:sz w:val="20"/>
          <w:szCs w:val="20"/>
          <w:color w:val="auto"/>
        </w:rPr>
      </w:pPr>
      <w:r>
        <w:rPr>
          <w:rFonts w:ascii="Times New Roman" w:cs="Times New Roman" w:eastAsia="Times New Roman" w:hAnsi="Times New Roman"/>
          <w:sz w:val="17"/>
          <w:szCs w:val="17"/>
          <w:color w:val="auto"/>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140" w:lineRule="exact"/>
        <w:rPr>
          <w:sz w:val="20"/>
          <w:szCs w:val="20"/>
          <w:color w:val="auto"/>
        </w:rPr>
      </w:pPr>
    </w:p>
    <w:p>
      <w:pPr>
        <w:ind w:left="500"/>
        <w:spacing w:after="0"/>
        <w:tabs>
          <w:tab w:leader="none" w:pos="1500" w:val="left"/>
        </w:tabs>
        <w:rPr>
          <w:sz w:val="20"/>
          <w:szCs w:val="20"/>
          <w:color w:val="auto"/>
        </w:rPr>
      </w:pPr>
      <w:r>
        <w:rPr>
          <w:rFonts w:ascii="Times New Roman" w:cs="Times New Roman" w:eastAsia="Times New Roman" w:hAnsi="Times New Roman"/>
          <w:sz w:val="17"/>
          <w:szCs w:val="17"/>
          <w:b w:val="1"/>
          <w:bCs w:val="1"/>
          <w:color w:val="auto"/>
        </w:rPr>
        <w:t>Section 6.05</w:t>
      </w:r>
      <w:r>
        <w:rPr>
          <w:sz w:val="20"/>
          <w:szCs w:val="20"/>
          <w:color w:val="auto"/>
        </w:rPr>
        <w:tab/>
      </w:r>
      <w:r>
        <w:rPr>
          <w:rFonts w:ascii="Times New Roman" w:cs="Times New Roman" w:eastAsia="Times New Roman" w:hAnsi="Times New Roman"/>
          <w:sz w:val="16"/>
          <w:szCs w:val="16"/>
          <w:b w:val="1"/>
          <w:bCs w:val="1"/>
          <w:color w:val="auto"/>
        </w:rPr>
        <w:t>Rights and Remedies Cumulative; Delay or Omission Not Waiver</w:t>
      </w:r>
      <w:r>
        <w:rPr>
          <w:rFonts w:ascii="Times New Roman" w:cs="Times New Roman" w:eastAsia="Times New Roman" w:hAnsi="Times New Roman"/>
          <w:sz w:val="16"/>
          <w:szCs w:val="16"/>
          <w:color w:val="auto"/>
        </w:rPr>
        <w:t>.</w:t>
      </w:r>
    </w:p>
    <w:p>
      <w:pPr>
        <w:spacing w:after="0" w:line="170" w:lineRule="exact"/>
        <w:rPr>
          <w:sz w:val="20"/>
          <w:szCs w:val="20"/>
          <w:color w:val="auto"/>
        </w:rPr>
      </w:pPr>
    </w:p>
    <w:p>
      <w:pPr>
        <w:jc w:val="both"/>
        <w:ind w:firstLine="996"/>
        <w:spacing w:after="0" w:line="249" w:lineRule="auto"/>
        <w:tabs>
          <w:tab w:leader="none" w:pos="1403" w:val="left"/>
        </w:tabs>
        <w:numPr>
          <w:ilvl w:val="0"/>
          <w:numId w:val="7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150" w:lineRule="exact"/>
        <w:rPr>
          <w:rFonts w:ascii="Times New Roman" w:cs="Times New Roman" w:eastAsia="Times New Roman" w:hAnsi="Times New Roman"/>
          <w:sz w:val="17"/>
          <w:szCs w:val="17"/>
          <w:b w:val="1"/>
          <w:bCs w:val="1"/>
          <w:color w:val="auto"/>
        </w:rPr>
      </w:pPr>
    </w:p>
    <w:p>
      <w:pPr>
        <w:jc w:val="both"/>
        <w:ind w:firstLine="996"/>
        <w:spacing w:after="0" w:line="249" w:lineRule="auto"/>
        <w:tabs>
          <w:tab w:leader="none" w:pos="1412" w:val="left"/>
        </w:tabs>
        <w:numPr>
          <w:ilvl w:val="0"/>
          <w:numId w:val="7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spacing w:after="0" w:line="136"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7"/>
          <w:szCs w:val="17"/>
          <w:b w:val="1"/>
          <w:bCs w:val="1"/>
          <w:color w:val="auto"/>
        </w:rPr>
        <w:t>Section 6.06 Control by Securityholders</w:t>
      </w:r>
      <w:r>
        <w:rPr>
          <w:rFonts w:ascii="Times New Roman" w:cs="Times New Roman" w:eastAsia="Times New Roman" w:hAnsi="Times New Roman"/>
          <w:sz w:val="17"/>
          <w:szCs w:val="17"/>
          <w:color w:val="auto"/>
        </w:rPr>
        <w:t>. The holders of a majority in aggregate principal amount of the Securities of any series at the time Outstanding,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determined in accordance with Section 8.04,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or subject the Trustee in its sole discretion to personal liability. Subject to the provisions of Section 7.01, the Trustee shall have the right to decline to follow any such direction if the Trustee in good faith shall, by a Responsible Officer or officers of the Trustee, determine that the proceeding so directed, subject to the Trustee’s duties under the Trust Indenture Act, would involve the Trustee in personal liability or might be unduly prejudicial to the Securityholders not involved in the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ectPr>
          <w:pgSz w:w="11900" w:h="16838" w:orient="portrait"/>
          <w:cols w:equalWidth="0" w:num="1">
            <w:col w:w="11280"/>
          </w:cols>
          <w:pgMar w:left="300" w:top="1287" w:right="319" w:bottom="1440" w:gutter="0" w:footer="0" w:header="0"/>
        </w:sectPr>
      </w:pPr>
    </w:p>
    <w:bookmarkStart w:id="72" w:name="page73"/>
    <w:bookmarkEnd w:id="72"/>
    <w:p>
      <w:pPr>
        <w:jc w:val="both"/>
        <w:spacing w:after="0" w:line="246" w:lineRule="auto"/>
        <w:rPr>
          <w:sz w:val="20"/>
          <w:szCs w:val="20"/>
          <w:color w:val="auto"/>
        </w:rPr>
      </w:pPr>
      <w:r>
        <w:rPr>
          <w:rFonts w:ascii="Times New Roman" w:cs="Times New Roman" w:eastAsia="Times New Roman" w:hAnsi="Times New Roman"/>
          <w:sz w:val="17"/>
          <w:szCs w:val="17"/>
          <w:color w:val="auto"/>
        </w:rPr>
        <w:t>The holders of a majority in aggregate principal amount of the Securities of any series at the time Outstanding affected thereby, determined in accordance with Section 8.04,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6.01(c)).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spacing w:after="0" w:line="151" w:lineRule="exact"/>
        <w:rPr>
          <w:sz w:val="20"/>
          <w:szCs w:val="20"/>
          <w:color w:val="auto"/>
        </w:rPr>
      </w:pPr>
    </w:p>
    <w:p>
      <w:pPr>
        <w:jc w:val="both"/>
        <w:ind w:firstLine="496"/>
        <w:spacing w:after="0" w:line="247" w:lineRule="auto"/>
        <w:rPr>
          <w:sz w:val="20"/>
          <w:szCs w:val="20"/>
          <w:color w:val="auto"/>
        </w:rPr>
      </w:pPr>
      <w:r>
        <w:rPr>
          <w:rFonts w:ascii="Times New Roman" w:cs="Times New Roman" w:eastAsia="Times New Roman" w:hAnsi="Times New Roman"/>
          <w:sz w:val="17"/>
          <w:szCs w:val="17"/>
          <w:b w:val="1"/>
          <w:bCs w:val="1"/>
          <w:color w:val="auto"/>
        </w:rPr>
        <w:t>Section 6.07 Undertaking to Pay Costs</w:t>
      </w:r>
      <w:r>
        <w:rPr>
          <w:rFonts w:ascii="Times New Roman" w:cs="Times New Roman" w:eastAsia="Times New Roman" w:hAnsi="Times New Roman"/>
          <w:sz w:val="17"/>
          <w:szCs w:val="17"/>
          <w:color w:val="auto"/>
        </w:rPr>
        <w:t>. All parties to this Indenture agree, and each holder of any Securities by such holder’s acceptance thereof shall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13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b w:val="1"/>
          <w:bCs w:val="1"/>
          <w:color w:val="auto"/>
        </w:rPr>
        <w:t>ARTICLE 7</w:t>
      </w:r>
    </w:p>
    <w:p>
      <w:pPr>
        <w:spacing w:after="0" w:line="16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b w:val="1"/>
          <w:bCs w:val="1"/>
          <w:color w:val="auto"/>
        </w:rPr>
        <w:t>CONCERNING THE TRUSTEE</w:t>
      </w:r>
    </w:p>
    <w:p>
      <w:pPr>
        <w:spacing w:after="0" w:line="166" w:lineRule="exact"/>
        <w:rPr>
          <w:sz w:val="20"/>
          <w:szCs w:val="20"/>
          <w:color w:val="auto"/>
        </w:rPr>
      </w:pPr>
    </w:p>
    <w:p>
      <w:pPr>
        <w:ind w:left="500"/>
        <w:spacing w:after="0"/>
        <w:tabs>
          <w:tab w:leader="none" w:pos="1500" w:val="left"/>
        </w:tabs>
        <w:rPr>
          <w:sz w:val="20"/>
          <w:szCs w:val="20"/>
          <w:color w:val="auto"/>
        </w:rPr>
      </w:pPr>
      <w:r>
        <w:rPr>
          <w:rFonts w:ascii="Times New Roman" w:cs="Times New Roman" w:eastAsia="Times New Roman" w:hAnsi="Times New Roman"/>
          <w:sz w:val="17"/>
          <w:szCs w:val="17"/>
          <w:b w:val="1"/>
          <w:bCs w:val="1"/>
          <w:color w:val="auto"/>
        </w:rPr>
        <w:t>Section 7.01</w:t>
      </w:r>
      <w:r>
        <w:rPr>
          <w:sz w:val="20"/>
          <w:szCs w:val="20"/>
          <w:color w:val="auto"/>
        </w:rPr>
        <w:tab/>
      </w:r>
      <w:r>
        <w:rPr>
          <w:rFonts w:ascii="Times New Roman" w:cs="Times New Roman" w:eastAsia="Times New Roman" w:hAnsi="Times New Roman"/>
          <w:sz w:val="16"/>
          <w:szCs w:val="16"/>
          <w:b w:val="1"/>
          <w:bCs w:val="1"/>
          <w:color w:val="auto"/>
        </w:rPr>
        <w:t>Certain Duties and Responsibilities of Trustee</w:t>
      </w:r>
      <w:r>
        <w:rPr>
          <w:rFonts w:ascii="Times New Roman" w:cs="Times New Roman" w:eastAsia="Times New Roman" w:hAnsi="Times New Roman"/>
          <w:sz w:val="16"/>
          <w:szCs w:val="16"/>
          <w:color w:val="auto"/>
        </w:rPr>
        <w:t>.</w:t>
      </w:r>
    </w:p>
    <w:p>
      <w:pPr>
        <w:spacing w:after="0" w:line="181" w:lineRule="exact"/>
        <w:rPr>
          <w:sz w:val="20"/>
          <w:szCs w:val="20"/>
          <w:color w:val="auto"/>
        </w:rPr>
      </w:pPr>
    </w:p>
    <w:p>
      <w:pPr>
        <w:jc w:val="both"/>
        <w:ind w:firstLine="996"/>
        <w:spacing w:after="0" w:line="248" w:lineRule="auto"/>
        <w:tabs>
          <w:tab w:leader="none" w:pos="1361" w:val="left"/>
        </w:tabs>
        <w:numPr>
          <w:ilvl w:val="0"/>
          <w:numId w:val="7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or her own affairs.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ectPr>
          <w:pgSz w:w="11900" w:h="16838" w:orient="portrait"/>
          <w:cols w:equalWidth="0" w:num="1">
            <w:col w:w="11280"/>
          </w:cols>
          <w:pgMar w:left="300" w:top="1287" w:right="319" w:bottom="1440" w:gutter="0" w:footer="0" w:header="0"/>
        </w:sectPr>
      </w:pPr>
    </w:p>
    <w:bookmarkStart w:id="73" w:name="page74"/>
    <w:bookmarkEnd w:id="73"/>
    <w:p>
      <w:pPr>
        <w:ind w:firstLine="996"/>
        <w:spacing w:after="0" w:line="265" w:lineRule="auto"/>
        <w:tabs>
          <w:tab w:leader="none" w:pos="1371" w:val="left"/>
        </w:tabs>
        <w:numPr>
          <w:ilvl w:val="0"/>
          <w:numId w:val="7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 provision of this Indenture shall be construed to relieve the Trustee from liability for its own negligent action, its own negligent failure to act, or its own willful misconduct, except that:</w:t>
      </w:r>
    </w:p>
    <w:p>
      <w:pPr>
        <w:spacing w:after="0" w:line="127" w:lineRule="exact"/>
        <w:rPr>
          <w:sz w:val="20"/>
          <w:szCs w:val="20"/>
          <w:color w:val="auto"/>
        </w:rPr>
      </w:pPr>
    </w:p>
    <w:p>
      <w:pPr>
        <w:ind w:firstLine="996"/>
        <w:spacing w:after="0" w:line="278" w:lineRule="auto"/>
        <w:tabs>
          <w:tab w:leader="none" w:pos="1345" w:val="left"/>
        </w:tabs>
        <w:numPr>
          <w:ilvl w:val="0"/>
          <w:numId w:val="7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prior to the occurrence of an Event of Default with respect to the Securities of a series and after the curing or waiving of all such Events of Default with respect to that series that may have occurred:</w:t>
      </w:r>
    </w:p>
    <w:p>
      <w:pPr>
        <w:spacing w:after="0" w:line="116" w:lineRule="exact"/>
        <w:rPr>
          <w:sz w:val="20"/>
          <w:szCs w:val="20"/>
          <w:color w:val="auto"/>
        </w:rPr>
      </w:pPr>
    </w:p>
    <w:p>
      <w:pPr>
        <w:jc w:val="both"/>
        <w:ind w:firstLine="996"/>
        <w:spacing w:after="0" w:line="253" w:lineRule="auto"/>
        <w:tabs>
          <w:tab w:leader="none" w:pos="1439" w:val="left"/>
        </w:tabs>
        <w:numPr>
          <w:ilvl w:val="0"/>
          <w:numId w:val="7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spacing w:after="0" w:line="136" w:lineRule="exact"/>
        <w:rPr>
          <w:rFonts w:ascii="Times New Roman" w:cs="Times New Roman" w:eastAsia="Times New Roman" w:hAnsi="Times New Roman"/>
          <w:sz w:val="17"/>
          <w:szCs w:val="17"/>
          <w:b w:val="1"/>
          <w:bCs w:val="1"/>
          <w:color w:val="auto"/>
        </w:rPr>
      </w:pPr>
    </w:p>
    <w:p>
      <w:pPr>
        <w:jc w:val="both"/>
        <w:ind w:firstLine="996"/>
        <w:spacing w:after="0" w:line="253" w:lineRule="auto"/>
        <w:tabs>
          <w:tab w:leader="none" w:pos="1389" w:val="left"/>
        </w:tabs>
        <w:numPr>
          <w:ilvl w:val="0"/>
          <w:numId w:val="7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w:t>
      </w:r>
    </w:p>
    <w:p>
      <w:pPr>
        <w:spacing w:after="0" w:line="137" w:lineRule="exact"/>
        <w:rPr>
          <w:sz w:val="20"/>
          <w:szCs w:val="20"/>
          <w:color w:val="auto"/>
        </w:rPr>
      </w:pPr>
    </w:p>
    <w:p>
      <w:pPr>
        <w:ind w:firstLine="996"/>
        <w:spacing w:after="0" w:line="265" w:lineRule="auto"/>
        <w:tabs>
          <w:tab w:leader="none" w:pos="1371" w:val="left"/>
        </w:tabs>
        <w:numPr>
          <w:ilvl w:val="0"/>
          <w:numId w:val="7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Trustee shall not be liable to any Securityholder or to any other Person for any error of judgment made in good faith by a Responsible Officer or Responsible Officers of the Trustee, unless it shall be proved that the Trustee was negligent in ascertaining the pertinent facts;</w:t>
      </w:r>
    </w:p>
    <w:p>
      <w:pPr>
        <w:spacing w:after="0" w:line="126" w:lineRule="exact"/>
        <w:rPr>
          <w:rFonts w:ascii="Times New Roman" w:cs="Times New Roman" w:eastAsia="Times New Roman" w:hAnsi="Times New Roman"/>
          <w:sz w:val="17"/>
          <w:szCs w:val="17"/>
          <w:b w:val="1"/>
          <w:bCs w:val="1"/>
          <w:color w:val="auto"/>
        </w:rPr>
      </w:pPr>
    </w:p>
    <w:p>
      <w:pPr>
        <w:jc w:val="both"/>
        <w:ind w:firstLine="996"/>
        <w:spacing w:after="0" w:line="253" w:lineRule="auto"/>
        <w:tabs>
          <w:tab w:leader="none" w:pos="1458" w:val="left"/>
        </w:tabs>
        <w:numPr>
          <w:ilvl w:val="0"/>
          <w:numId w:val="7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w:t>
      </w:r>
    </w:p>
    <w:p>
      <w:pPr>
        <w:spacing w:after="0" w:line="137" w:lineRule="exact"/>
        <w:rPr>
          <w:rFonts w:ascii="Times New Roman" w:cs="Times New Roman" w:eastAsia="Times New Roman" w:hAnsi="Times New Roman"/>
          <w:sz w:val="17"/>
          <w:szCs w:val="17"/>
          <w:b w:val="1"/>
          <w:bCs w:val="1"/>
          <w:color w:val="auto"/>
        </w:rPr>
      </w:pPr>
    </w:p>
    <w:p>
      <w:pPr>
        <w:jc w:val="both"/>
        <w:ind w:firstLine="996"/>
        <w:spacing w:after="0" w:line="259" w:lineRule="auto"/>
        <w:tabs>
          <w:tab w:leader="none" w:pos="1449" w:val="left"/>
        </w:tabs>
        <w:numPr>
          <w:ilvl w:val="0"/>
          <w:numId w:val="7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132" w:lineRule="exact"/>
        <w:rPr>
          <w:rFonts w:ascii="Times New Roman" w:cs="Times New Roman" w:eastAsia="Times New Roman" w:hAnsi="Times New Roman"/>
          <w:sz w:val="17"/>
          <w:szCs w:val="17"/>
          <w:b w:val="1"/>
          <w:bCs w:val="1"/>
          <w:color w:val="auto"/>
        </w:rPr>
      </w:pPr>
    </w:p>
    <w:p>
      <w:pPr>
        <w:ind w:left="1360" w:hanging="364"/>
        <w:spacing w:after="0"/>
        <w:tabs>
          <w:tab w:leader="none" w:pos="1360" w:val="left"/>
        </w:tabs>
        <w:numPr>
          <w:ilvl w:val="0"/>
          <w:numId w:val="7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Trustee shall not be required to give any bond or surety in respect of the performance of its powers or duties hereunder;</w:t>
      </w:r>
    </w:p>
    <w:p>
      <w:pPr>
        <w:spacing w:after="0" w:line="166" w:lineRule="exact"/>
        <w:rPr>
          <w:rFonts w:ascii="Times New Roman" w:cs="Times New Roman" w:eastAsia="Times New Roman" w:hAnsi="Times New Roman"/>
          <w:sz w:val="17"/>
          <w:szCs w:val="17"/>
          <w:b w:val="1"/>
          <w:bCs w:val="1"/>
          <w:color w:val="auto"/>
        </w:rPr>
      </w:pPr>
    </w:p>
    <w:p>
      <w:pPr>
        <w:ind w:left="1400" w:hanging="404"/>
        <w:spacing w:after="0"/>
        <w:tabs>
          <w:tab w:leader="none" w:pos="1400" w:val="left"/>
        </w:tabs>
        <w:numPr>
          <w:ilvl w:val="0"/>
          <w:numId w:val="7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permissive right of the Trustee to do things enumerated in this Indenture shall not be construed as a duty of the Trustee;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ectPr>
          <w:pgSz w:w="11900" w:h="16838" w:orient="portrait"/>
          <w:cols w:equalWidth="0" w:num="1">
            <w:col w:w="11280"/>
          </w:cols>
          <w:pgMar w:left="300" w:top="1287" w:right="319" w:bottom="1440" w:gutter="0" w:footer="0" w:header="0"/>
        </w:sectPr>
      </w:pPr>
    </w:p>
    <w:bookmarkStart w:id="74" w:name="page75"/>
    <w:bookmarkEnd w:id="74"/>
    <w:p>
      <w:pPr>
        <w:ind w:left="1520" w:hanging="524"/>
        <w:spacing w:after="0"/>
        <w:tabs>
          <w:tab w:leader="none" w:pos="1520" w:val="left"/>
        </w:tabs>
        <w:numPr>
          <w:ilvl w:val="0"/>
          <w:numId w:val="7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 Trustee shall have any duty or responsibility for any act or omission of any other Trustee appointed with respect to a series of Securities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hereunder.</w:t>
      </w:r>
    </w:p>
    <w:p>
      <w:pPr>
        <w:spacing w:after="0" w:line="144" w:lineRule="exact"/>
        <w:rPr>
          <w:sz w:val="20"/>
          <w:szCs w:val="20"/>
          <w:color w:val="auto"/>
        </w:rPr>
      </w:pPr>
    </w:p>
    <w:p>
      <w:pPr>
        <w:ind w:left="500"/>
        <w:spacing w:after="0"/>
        <w:tabs>
          <w:tab w:leader="none" w:pos="1500" w:val="left"/>
        </w:tabs>
        <w:rPr>
          <w:sz w:val="20"/>
          <w:szCs w:val="20"/>
          <w:color w:val="auto"/>
        </w:rPr>
      </w:pPr>
      <w:r>
        <w:rPr>
          <w:rFonts w:ascii="Times New Roman" w:cs="Times New Roman" w:eastAsia="Times New Roman" w:hAnsi="Times New Roman"/>
          <w:sz w:val="17"/>
          <w:szCs w:val="17"/>
          <w:b w:val="1"/>
          <w:bCs w:val="1"/>
          <w:color w:val="auto"/>
        </w:rPr>
        <w:t>Section 7.02</w:t>
      </w:r>
      <w:r>
        <w:rPr>
          <w:sz w:val="20"/>
          <w:szCs w:val="20"/>
          <w:color w:val="auto"/>
        </w:rPr>
        <w:tab/>
      </w:r>
      <w:r>
        <w:rPr>
          <w:rFonts w:ascii="Times New Roman" w:cs="Times New Roman" w:eastAsia="Times New Roman" w:hAnsi="Times New Roman"/>
          <w:sz w:val="16"/>
          <w:szCs w:val="16"/>
          <w:b w:val="1"/>
          <w:bCs w:val="1"/>
          <w:color w:val="auto"/>
        </w:rPr>
        <w:t>Certain Rights of Trustee</w:t>
      </w:r>
      <w:r>
        <w:rPr>
          <w:rFonts w:ascii="Times New Roman" w:cs="Times New Roman" w:eastAsia="Times New Roman" w:hAnsi="Times New Roman"/>
          <w:sz w:val="16"/>
          <w:szCs w:val="16"/>
          <w:color w:val="auto"/>
        </w:rPr>
        <w:t>. Except as otherwise provided in Section 7.01:</w:t>
      </w:r>
    </w:p>
    <w:p>
      <w:pPr>
        <w:spacing w:after="0" w:line="181" w:lineRule="exact"/>
        <w:rPr>
          <w:sz w:val="20"/>
          <w:szCs w:val="20"/>
          <w:color w:val="auto"/>
        </w:rPr>
      </w:pPr>
    </w:p>
    <w:p>
      <w:pPr>
        <w:jc w:val="both"/>
        <w:ind w:firstLine="996"/>
        <w:spacing w:after="0" w:line="253" w:lineRule="auto"/>
        <w:tabs>
          <w:tab w:leader="none" w:pos="1382" w:val="left"/>
        </w:tabs>
        <w:numPr>
          <w:ilvl w:val="0"/>
          <w:numId w:val="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Trustee may conclusively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spacing w:after="0" w:line="136" w:lineRule="exact"/>
        <w:rPr>
          <w:rFonts w:ascii="Times New Roman" w:cs="Times New Roman" w:eastAsia="Times New Roman" w:hAnsi="Times New Roman"/>
          <w:sz w:val="17"/>
          <w:szCs w:val="17"/>
          <w:b w:val="1"/>
          <w:bCs w:val="1"/>
          <w:color w:val="auto"/>
        </w:rPr>
      </w:pPr>
    </w:p>
    <w:p>
      <w:pPr>
        <w:ind w:firstLine="996"/>
        <w:spacing w:after="0" w:line="265" w:lineRule="auto"/>
        <w:tabs>
          <w:tab w:leader="none" w:pos="1402" w:val="left"/>
        </w:tabs>
        <w:numPr>
          <w:ilvl w:val="0"/>
          <w:numId w:val="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w:t>
      </w:r>
    </w:p>
    <w:p>
      <w:pPr>
        <w:spacing w:after="0" w:line="137" w:lineRule="exact"/>
        <w:rPr>
          <w:rFonts w:ascii="Times New Roman" w:cs="Times New Roman" w:eastAsia="Times New Roman" w:hAnsi="Times New Roman"/>
          <w:sz w:val="17"/>
          <w:szCs w:val="17"/>
          <w:b w:val="1"/>
          <w:bCs w:val="1"/>
          <w:color w:val="auto"/>
        </w:rPr>
      </w:pPr>
    </w:p>
    <w:p>
      <w:pPr>
        <w:ind w:firstLine="996"/>
        <w:spacing w:after="0" w:line="265" w:lineRule="auto"/>
        <w:tabs>
          <w:tab w:leader="none" w:pos="1383" w:val="left"/>
        </w:tabs>
        <w:numPr>
          <w:ilvl w:val="0"/>
          <w:numId w:val="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Trustee may consult with counsel and the opinion or written advice of such counsel or, if requested, any Opinion of Counsel shall be full and complete authorization and protection in respect of any action taken or suffered or omitted hereunder in good faith and in reliance thereon;</w:t>
      </w:r>
    </w:p>
    <w:p>
      <w:pPr>
        <w:spacing w:after="0" w:line="126" w:lineRule="exact"/>
        <w:rPr>
          <w:rFonts w:ascii="Times New Roman" w:cs="Times New Roman" w:eastAsia="Times New Roman" w:hAnsi="Times New Roman"/>
          <w:sz w:val="17"/>
          <w:szCs w:val="17"/>
          <w:b w:val="1"/>
          <w:bCs w:val="1"/>
          <w:color w:val="auto"/>
        </w:rPr>
      </w:pPr>
    </w:p>
    <w:p>
      <w:pPr>
        <w:jc w:val="both"/>
        <w:ind w:firstLine="996"/>
        <w:spacing w:after="0" w:line="248" w:lineRule="auto"/>
        <w:tabs>
          <w:tab w:leader="none" w:pos="1371" w:val="left"/>
        </w:tabs>
        <w:numPr>
          <w:ilvl w:val="0"/>
          <w:numId w:val="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security or indemnity reasonably acceptable to the Trustee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or her own affairs;</w:t>
      </w:r>
    </w:p>
    <w:p>
      <w:pPr>
        <w:spacing w:after="0" w:line="142" w:lineRule="exact"/>
        <w:rPr>
          <w:rFonts w:ascii="Times New Roman" w:cs="Times New Roman" w:eastAsia="Times New Roman" w:hAnsi="Times New Roman"/>
          <w:sz w:val="17"/>
          <w:szCs w:val="17"/>
          <w:b w:val="1"/>
          <w:bCs w:val="1"/>
          <w:color w:val="auto"/>
        </w:rPr>
      </w:pPr>
    </w:p>
    <w:p>
      <w:pPr>
        <w:ind w:firstLine="996"/>
        <w:spacing w:after="0" w:line="265" w:lineRule="auto"/>
        <w:tabs>
          <w:tab w:leader="none" w:pos="1414" w:val="left"/>
        </w:tabs>
        <w:numPr>
          <w:ilvl w:val="0"/>
          <w:numId w:val="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Trustee shall not be liable for any action taken or omitted to be taken by it in good faith and believed by it to be authorized or within the discretion or rights or powers conferred upon it by this Indenture;</w:t>
      </w:r>
    </w:p>
    <w:p>
      <w:pPr>
        <w:spacing w:after="0" w:line="126" w:lineRule="exact"/>
        <w:rPr>
          <w:rFonts w:ascii="Times New Roman" w:cs="Times New Roman" w:eastAsia="Times New Roman" w:hAnsi="Times New Roman"/>
          <w:sz w:val="17"/>
          <w:szCs w:val="17"/>
          <w:b w:val="1"/>
          <w:bCs w:val="1"/>
          <w:color w:val="auto"/>
        </w:rPr>
      </w:pPr>
    </w:p>
    <w:p>
      <w:pPr>
        <w:jc w:val="both"/>
        <w:ind w:firstLine="996"/>
        <w:spacing w:after="0" w:line="249" w:lineRule="auto"/>
        <w:tabs>
          <w:tab w:leader="none" w:pos="1334" w:val="left"/>
        </w:tabs>
        <w:numPr>
          <w:ilvl w:val="0"/>
          <w:numId w:val="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Trustee shall not be bound to make any investigation into the facts or matters stated in any resolution, certificate, statement, instrument, opinion, report, notice, request, consent, order, approval, bond, security, or other papers or documents or inquire as to the performance by the Company of one of its covenants under this Indenture,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security or indemnity reasonably acceptable to the Trustee against such costs, expenses or liabilities as a condition to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ectPr>
          <w:pgSz w:w="11900" w:h="16838" w:orient="portrait"/>
          <w:cols w:equalWidth="0" w:num="1">
            <w:col w:w="11280"/>
          </w:cols>
          <w:pgMar w:left="300" w:top="1287"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color w:val="auto"/>
        </w:rPr>
        <w:t>proceeding. The reasonable expense of every such examination shall be paid by the Company or, if paid by the Trustee, shall be repaid by the Company upon demand;</w:t>
      </w:r>
    </w:p>
    <w:p>
      <w:pPr>
        <w:spacing w:after="0" w:line="178" w:lineRule="exact"/>
        <w:rPr>
          <w:sz w:val="20"/>
          <w:szCs w:val="20"/>
          <w:color w:val="auto"/>
        </w:rPr>
      </w:pPr>
    </w:p>
    <w:p>
      <w:pPr>
        <w:ind w:firstLine="996"/>
        <w:spacing w:after="0" w:line="265" w:lineRule="auto"/>
        <w:tabs>
          <w:tab w:leader="none" w:pos="1372" w:val="left"/>
        </w:tabs>
        <w:numPr>
          <w:ilvl w:val="0"/>
          <w:numId w:val="8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37" w:lineRule="exact"/>
        <w:rPr>
          <w:rFonts w:ascii="Times New Roman" w:cs="Times New Roman" w:eastAsia="Times New Roman" w:hAnsi="Times New Roman"/>
          <w:sz w:val="17"/>
          <w:szCs w:val="17"/>
          <w:b w:val="1"/>
          <w:bCs w:val="1"/>
          <w:color w:val="auto"/>
        </w:rPr>
      </w:pPr>
    </w:p>
    <w:p>
      <w:pPr>
        <w:jc w:val="both"/>
        <w:ind w:firstLine="996"/>
        <w:spacing w:after="0" w:line="247" w:lineRule="auto"/>
        <w:tabs>
          <w:tab w:leader="none" w:pos="1381" w:val="left"/>
        </w:tabs>
        <w:numPr>
          <w:ilvl w:val="0"/>
          <w:numId w:val="8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52" w:lineRule="exact"/>
        <w:rPr>
          <w:rFonts w:ascii="Times New Roman" w:cs="Times New Roman" w:eastAsia="Times New Roman" w:hAnsi="Times New Roman"/>
          <w:sz w:val="17"/>
          <w:szCs w:val="17"/>
          <w:b w:val="1"/>
          <w:bCs w:val="1"/>
          <w:color w:val="auto"/>
        </w:rPr>
      </w:pPr>
    </w:p>
    <w:p>
      <w:pPr>
        <w:ind w:firstLine="996"/>
        <w:spacing w:after="0" w:line="297" w:lineRule="auto"/>
        <w:tabs>
          <w:tab w:leader="none" w:pos="1314" w:val="left"/>
        </w:tabs>
        <w:numPr>
          <w:ilvl w:val="0"/>
          <w:numId w:val="8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 and</w:t>
      </w:r>
    </w:p>
    <w:p>
      <w:pPr>
        <w:spacing w:after="0" w:line="103" w:lineRule="exact"/>
        <w:rPr>
          <w:rFonts w:ascii="Times New Roman" w:cs="Times New Roman" w:eastAsia="Times New Roman" w:hAnsi="Times New Roman"/>
          <w:sz w:val="16"/>
          <w:szCs w:val="16"/>
          <w:b w:val="1"/>
          <w:bCs w:val="1"/>
          <w:color w:val="auto"/>
        </w:rPr>
      </w:pPr>
    </w:p>
    <w:p>
      <w:pPr>
        <w:jc w:val="both"/>
        <w:ind w:firstLine="996"/>
        <w:spacing w:after="0" w:line="263" w:lineRule="auto"/>
        <w:tabs>
          <w:tab w:leader="none" w:pos="1375" w:val="left"/>
        </w:tabs>
        <w:numPr>
          <w:ilvl w:val="0"/>
          <w:numId w:val="8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Trustee agrees to accept and act upon instructions or directions pursuant to this Indenture sent by unsecured e-mail, facsimile transmission or other similar unsecured electronic methods; provided, however, that such instructions or directions shall be signed by an authorized representative of the party providing such instructions or directions.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 The Trustee may request that the Company deliver an Officer’s Certificate setting forth the names of individuals and/or titles of officers authorized at such time to furnish the Trustee with Officer’s Certificates, Company Orders and any other matters or directions pursuant to this Indenture;</w:t>
      </w:r>
    </w:p>
    <w:p>
      <w:pPr>
        <w:spacing w:after="0" w:line="139" w:lineRule="exact"/>
        <w:rPr>
          <w:rFonts w:ascii="Times New Roman" w:cs="Times New Roman" w:eastAsia="Times New Roman" w:hAnsi="Times New Roman"/>
          <w:sz w:val="16"/>
          <w:szCs w:val="16"/>
          <w:b w:val="1"/>
          <w:bCs w:val="1"/>
          <w:color w:val="auto"/>
        </w:rPr>
      </w:pPr>
    </w:p>
    <w:p>
      <w:pPr>
        <w:jc w:val="both"/>
        <w:ind w:firstLine="996"/>
        <w:spacing w:after="0" w:line="253" w:lineRule="auto"/>
        <w:tabs>
          <w:tab w:leader="none" w:pos="1464" w:val="left"/>
        </w:tabs>
        <w:numPr>
          <w:ilvl w:val="0"/>
          <w:numId w:val="8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rights, privileges, protections, immunities and benefits given to the Trustee, including, without limitation, its right to be indemnified, are extended to, and shall be enforceable by, the Trustee in each of its capacities hereunder and under the Securities, and each agent, custodian or other person employed to act under this Indenture; and</w:t>
      </w:r>
    </w:p>
    <w:p>
      <w:pPr>
        <w:spacing w:after="0" w:line="136" w:lineRule="exact"/>
        <w:rPr>
          <w:rFonts w:ascii="Times New Roman" w:cs="Times New Roman" w:eastAsia="Times New Roman" w:hAnsi="Times New Roman"/>
          <w:sz w:val="17"/>
          <w:szCs w:val="17"/>
          <w:b w:val="1"/>
          <w:bCs w:val="1"/>
          <w:color w:val="auto"/>
        </w:rPr>
      </w:pPr>
    </w:p>
    <w:p>
      <w:pPr>
        <w:ind w:firstLine="996"/>
        <w:spacing w:after="0" w:line="265" w:lineRule="auto"/>
        <w:tabs>
          <w:tab w:leader="none" w:pos="1325" w:val="left"/>
        </w:tabs>
        <w:numPr>
          <w:ilvl w:val="0"/>
          <w:numId w:val="8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Trustee shall not be deemed to have knowledge of any Default or Event of Default (other than an Event of Default constituting the failure to pay the interest on,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ectPr>
          <w:pgSz w:w="11900" w:h="16838" w:orient="portrait"/>
          <w:cols w:equalWidth="0" w:num="1">
            <w:col w:w="11280"/>
          </w:cols>
          <w:pgMar w:left="300" w:top="1287" w:right="319" w:bottom="1440" w:gutter="0" w:footer="0" w:header="0"/>
        </w:sectPr>
      </w:pPr>
    </w:p>
    <w:bookmarkStart w:id="76" w:name="page77"/>
    <w:bookmarkEnd w:id="76"/>
    <w:p>
      <w:pPr>
        <w:spacing w:after="0" w:line="265" w:lineRule="auto"/>
        <w:rPr>
          <w:sz w:val="20"/>
          <w:szCs w:val="20"/>
          <w:color w:val="auto"/>
        </w:rPr>
      </w:pPr>
      <w:r>
        <w:rPr>
          <w:rFonts w:ascii="Times New Roman" w:cs="Times New Roman" w:eastAsia="Times New Roman" w:hAnsi="Times New Roman"/>
          <w:sz w:val="17"/>
          <w:szCs w:val="17"/>
          <w:color w:val="auto"/>
        </w:rPr>
        <w:t>principal of, the Securities if the Trustee also serves as the paying agent for such Securities) until the Trustee shall have received written notification in the manner set forth in this Indenture or a Responsible Officer of the Trustee shall have obtained actual knowledge.</w:t>
      </w:r>
    </w:p>
    <w:p>
      <w:pPr>
        <w:spacing w:after="0" w:line="123" w:lineRule="exact"/>
        <w:rPr>
          <w:sz w:val="20"/>
          <w:szCs w:val="20"/>
          <w:color w:val="auto"/>
        </w:rPr>
      </w:pPr>
    </w:p>
    <w:p>
      <w:pPr>
        <w:ind w:left="500"/>
        <w:spacing w:after="0"/>
        <w:tabs>
          <w:tab w:leader="none" w:pos="1480" w:val="left"/>
        </w:tabs>
        <w:rPr>
          <w:sz w:val="20"/>
          <w:szCs w:val="20"/>
          <w:color w:val="auto"/>
        </w:rPr>
      </w:pPr>
      <w:r>
        <w:rPr>
          <w:rFonts w:ascii="Times New Roman" w:cs="Times New Roman" w:eastAsia="Times New Roman" w:hAnsi="Times New Roman"/>
          <w:sz w:val="17"/>
          <w:szCs w:val="17"/>
          <w:b w:val="1"/>
          <w:bCs w:val="1"/>
          <w:color w:val="auto"/>
        </w:rPr>
        <w:t>Section 7.03</w:t>
      </w:r>
      <w:r>
        <w:rPr>
          <w:sz w:val="20"/>
          <w:szCs w:val="20"/>
          <w:color w:val="auto"/>
        </w:rPr>
        <w:tab/>
      </w:r>
      <w:r>
        <w:rPr>
          <w:rFonts w:ascii="Times New Roman" w:cs="Times New Roman" w:eastAsia="Times New Roman" w:hAnsi="Times New Roman"/>
          <w:sz w:val="16"/>
          <w:szCs w:val="16"/>
          <w:b w:val="1"/>
          <w:bCs w:val="1"/>
          <w:color w:val="auto"/>
        </w:rPr>
        <w:t>Trustee Not Responsible for Recitals or Issuance or Securities</w:t>
      </w:r>
      <w:r>
        <w:rPr>
          <w:rFonts w:ascii="Times New Roman" w:cs="Times New Roman" w:eastAsia="Times New Roman" w:hAnsi="Times New Roman"/>
          <w:sz w:val="16"/>
          <w:szCs w:val="16"/>
          <w:color w:val="auto"/>
        </w:rPr>
        <w:t>.</w:t>
      </w:r>
    </w:p>
    <w:p>
      <w:pPr>
        <w:spacing w:after="0" w:line="181" w:lineRule="exact"/>
        <w:rPr>
          <w:sz w:val="20"/>
          <w:szCs w:val="20"/>
          <w:color w:val="auto"/>
        </w:rPr>
      </w:pPr>
    </w:p>
    <w:p>
      <w:pPr>
        <w:jc w:val="both"/>
        <w:ind w:firstLine="996"/>
        <w:spacing w:after="0" w:line="253" w:lineRule="auto"/>
        <w:tabs>
          <w:tab w:leader="none" w:pos="1361" w:val="left"/>
        </w:tabs>
        <w:numPr>
          <w:ilvl w:val="0"/>
          <w:numId w:val="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recitals contained herein and in the Securities shall be taken as the statements of the Company, and the Trustee assumes no responsibility for the correctness of the same. The Trustee shall not be responsible for any statement in any registration statement, prospectus, or any other document in connection with the sale of Securities. The Trustee shall not be responsible for any rating on the Securities or any action or omission of any rating agency.</w:t>
      </w:r>
    </w:p>
    <w:p>
      <w:pPr>
        <w:spacing w:after="0" w:line="136" w:lineRule="exact"/>
        <w:rPr>
          <w:rFonts w:ascii="Times New Roman" w:cs="Times New Roman" w:eastAsia="Times New Roman" w:hAnsi="Times New Roman"/>
          <w:sz w:val="17"/>
          <w:szCs w:val="17"/>
          <w:b w:val="1"/>
          <w:bCs w:val="1"/>
          <w:color w:val="auto"/>
        </w:rPr>
      </w:pPr>
    </w:p>
    <w:p>
      <w:pPr>
        <w:ind w:left="1360" w:hanging="364"/>
        <w:spacing w:after="0"/>
        <w:tabs>
          <w:tab w:leader="none" w:pos="1360" w:val="left"/>
        </w:tabs>
        <w:numPr>
          <w:ilvl w:val="0"/>
          <w:numId w:val="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Trustee makes no representations as to the validity or sufficiency of this Indenture or of the Securities.</w:t>
      </w:r>
    </w:p>
    <w:p>
      <w:pPr>
        <w:spacing w:after="0" w:line="166" w:lineRule="exact"/>
        <w:rPr>
          <w:rFonts w:ascii="Times New Roman" w:cs="Times New Roman" w:eastAsia="Times New Roman" w:hAnsi="Times New Roman"/>
          <w:sz w:val="17"/>
          <w:szCs w:val="17"/>
          <w:b w:val="1"/>
          <w:bCs w:val="1"/>
          <w:color w:val="auto"/>
        </w:rPr>
      </w:pPr>
    </w:p>
    <w:p>
      <w:pPr>
        <w:jc w:val="both"/>
        <w:ind w:firstLine="996"/>
        <w:spacing w:after="0" w:line="259" w:lineRule="auto"/>
        <w:tabs>
          <w:tab w:leader="none" w:pos="1362" w:val="left"/>
        </w:tabs>
        <w:numPr>
          <w:ilvl w:val="0"/>
          <w:numId w:val="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spacing w:after="0" w:line="128" w:lineRule="exact"/>
        <w:rPr>
          <w:sz w:val="20"/>
          <w:szCs w:val="20"/>
          <w:color w:val="auto"/>
        </w:rPr>
      </w:pPr>
    </w:p>
    <w:p>
      <w:pPr>
        <w:jc w:val="both"/>
        <w:ind w:firstLine="496"/>
        <w:spacing w:after="0" w:line="270" w:lineRule="auto"/>
        <w:rPr>
          <w:sz w:val="20"/>
          <w:szCs w:val="20"/>
          <w:color w:val="auto"/>
        </w:rPr>
      </w:pPr>
      <w:r>
        <w:rPr>
          <w:rFonts w:ascii="Times New Roman" w:cs="Times New Roman" w:eastAsia="Times New Roman" w:hAnsi="Times New Roman"/>
          <w:sz w:val="17"/>
          <w:szCs w:val="17"/>
          <w:b w:val="1"/>
          <w:bCs w:val="1"/>
          <w:color w:val="auto"/>
        </w:rPr>
        <w:t>Section 7.04 May Hold Securities</w:t>
      </w:r>
      <w:r>
        <w:rPr>
          <w:rFonts w:ascii="Times New Roman" w:cs="Times New Roman" w:eastAsia="Times New Roman" w:hAnsi="Times New Roman"/>
          <w:sz w:val="17"/>
          <w:szCs w:val="17"/>
          <w:color w:val="auto"/>
        </w:rPr>
        <w:t>. The Trustee or any paying agent or Security Registrar, in its individual or any other capacity, may become the owner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pledgee of Securities with the same rights it would have if it were not Trustee, paying agent or Security Registrar.</w:t>
      </w:r>
    </w:p>
    <w:p>
      <w:pPr>
        <w:spacing w:after="0" w:line="119" w:lineRule="exact"/>
        <w:rPr>
          <w:sz w:val="20"/>
          <w:szCs w:val="20"/>
          <w:color w:val="auto"/>
        </w:rPr>
      </w:pPr>
    </w:p>
    <w:p>
      <w:pPr>
        <w:jc w:val="both"/>
        <w:ind w:firstLine="496"/>
        <w:spacing w:after="0" w:line="262" w:lineRule="auto"/>
        <w:rPr>
          <w:sz w:val="20"/>
          <w:szCs w:val="20"/>
          <w:color w:val="auto"/>
        </w:rPr>
      </w:pPr>
      <w:r>
        <w:rPr>
          <w:rFonts w:ascii="Times New Roman" w:cs="Times New Roman" w:eastAsia="Times New Roman" w:hAnsi="Times New Roman"/>
          <w:sz w:val="17"/>
          <w:szCs w:val="17"/>
          <w:b w:val="1"/>
          <w:bCs w:val="1"/>
          <w:color w:val="auto"/>
        </w:rPr>
        <w:t>Section 7.05 Moneys Held in Trust</w:t>
      </w:r>
      <w:r>
        <w:rPr>
          <w:rFonts w:ascii="Times New Roman" w:cs="Times New Roman" w:eastAsia="Times New Roman" w:hAnsi="Times New Roman"/>
          <w:sz w:val="17"/>
          <w:szCs w:val="17"/>
          <w:color w:val="auto"/>
        </w:rPr>
        <w:t>. Subject to the provisions of Section 11.05, all moneys received by the Trustee shall, until used or applied as herein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spacing w:after="0" w:line="125"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7"/>
          <w:szCs w:val="17"/>
          <w:b w:val="1"/>
          <w:bCs w:val="1"/>
          <w:color w:val="auto"/>
        </w:rPr>
        <w:t>Section 7.06 Compensation and Reimbursement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(a) </w:t>
      </w:r>
      <w:r>
        <w:rPr>
          <w:rFonts w:ascii="Times New Roman" w:cs="Times New Roman" w:eastAsia="Times New Roman" w:hAnsi="Times New Roman"/>
          <w:sz w:val="17"/>
          <w:szCs w:val="17"/>
          <w:color w:val="auto"/>
        </w:rPr>
        <w:t>The Company shall pay to the Trustee for each of its capacities hereunder from time to time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out-of-pocket expenses incurred by it. Such expenses shall include the reasonable compensation and expenses of the Trustee’s agents and counsel.</w:t>
      </w:r>
    </w:p>
    <w:p>
      <w:pPr>
        <w:spacing w:after="0" w:line="148" w:lineRule="exact"/>
        <w:rPr>
          <w:sz w:val="20"/>
          <w:szCs w:val="20"/>
          <w:color w:val="auto"/>
        </w:rPr>
      </w:pPr>
    </w:p>
    <w:p>
      <w:pPr>
        <w:jc w:val="both"/>
        <w:ind w:firstLine="996"/>
        <w:spacing w:after="0" w:line="249" w:lineRule="auto"/>
        <w:tabs>
          <w:tab w:leader="none" w:pos="1413" w:val="left"/>
        </w:tabs>
        <w:numPr>
          <w:ilvl w:val="0"/>
          <w:numId w:val="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shall indemnify each of the Trustee in each of its capacities hereunder against any loss, liability or expense (including the cost of defending itself and including the reasonable compensation and expenses of the Trustee’s agents and counsel) incurred by it except as set forth in Section 7.06(c) in the exercise or performance of its powers, rights or duties under this Indenture as Trustee or Agent. The Trustee shall notify the Company promptly of any claim for which it may seek indemnity. The Company shall defend the claim and the Trustee shall cooperate in the defense. The Trustee may have one separate counsel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ectPr>
          <w:pgSz w:w="11900" w:h="16838" w:orient="portrait"/>
          <w:cols w:equalWidth="0" w:num="1">
            <w:col w:w="11280"/>
          </w:cols>
          <w:pgMar w:left="300" w:top="1287" w:right="319" w:bottom="1440" w:gutter="0" w:footer="0" w:header="0"/>
        </w:sectPr>
      </w:pPr>
    </w:p>
    <w:bookmarkStart w:id="77" w:name="page78"/>
    <w:bookmarkEnd w:id="77"/>
    <w:p>
      <w:pPr>
        <w:spacing w:after="0" w:line="265" w:lineRule="auto"/>
        <w:rPr>
          <w:sz w:val="20"/>
          <w:szCs w:val="20"/>
          <w:color w:val="auto"/>
        </w:rPr>
      </w:pPr>
      <w:r>
        <w:rPr>
          <w:rFonts w:ascii="Times New Roman" w:cs="Times New Roman" w:eastAsia="Times New Roman" w:hAnsi="Times New Roman"/>
          <w:sz w:val="17"/>
          <w:szCs w:val="17"/>
          <w:color w:val="auto"/>
        </w:rPr>
        <w:t>the Company shall pay the reasonable fees and expenses of such counsel. The Company need not pay for any settlement made without its consent, which consent shall not be unreasonably withheld. This indemnification shall apply to officers, directors, employees, shareholders and agents of the Trustee.</w:t>
      </w:r>
    </w:p>
    <w:p>
      <w:pPr>
        <w:spacing w:after="0" w:line="127" w:lineRule="exact"/>
        <w:rPr>
          <w:sz w:val="20"/>
          <w:szCs w:val="20"/>
          <w:color w:val="auto"/>
        </w:rPr>
      </w:pPr>
    </w:p>
    <w:p>
      <w:pPr>
        <w:ind w:firstLine="996"/>
        <w:spacing w:after="0" w:line="278" w:lineRule="auto"/>
        <w:tabs>
          <w:tab w:leader="none" w:pos="1360" w:val="left"/>
        </w:tabs>
        <w:numPr>
          <w:ilvl w:val="0"/>
          <w:numId w:val="8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need not reimburse any expense or indemnify against any loss or liability incurred by the Trustee or by any officer, director, employee, shareholder or agent of the Trustee through negligence or bad faith.</w:t>
      </w:r>
    </w:p>
    <w:p>
      <w:pPr>
        <w:spacing w:after="0" w:line="115" w:lineRule="exact"/>
        <w:rPr>
          <w:rFonts w:ascii="Times New Roman" w:cs="Times New Roman" w:eastAsia="Times New Roman" w:hAnsi="Times New Roman"/>
          <w:sz w:val="17"/>
          <w:szCs w:val="17"/>
          <w:b w:val="1"/>
          <w:bCs w:val="1"/>
          <w:color w:val="auto"/>
        </w:rPr>
      </w:pPr>
    </w:p>
    <w:p>
      <w:pPr>
        <w:jc w:val="both"/>
        <w:ind w:firstLine="996"/>
        <w:spacing w:after="0" w:line="250" w:lineRule="auto"/>
        <w:tabs>
          <w:tab w:leader="none" w:pos="1383" w:val="left"/>
        </w:tabs>
        <w:numPr>
          <w:ilvl w:val="0"/>
          <w:numId w:val="8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ensure the Company’s payment obligations in this Section, the Trustee shall have a lien prior to the Securities on all funds or property held or collected by the Trustee, except that held in trust to pay principal of or interest on particular Securities. When the Trustee incurs expenses or renders services in connection with an Event of Default specified in Section 6.01(4) or (5), the expenses (including the reasonable fees and expenses of its counsel) and the compensation for services in connection therewith are to constitute expenses of administration under any bankruptcy law. The provisions of this Section 7.06 shall survive the termination of this Indenture and the resignation or removal of the Trustee.</w:t>
      </w:r>
    </w:p>
    <w:p>
      <w:pPr>
        <w:spacing w:after="0" w:line="136" w:lineRule="exact"/>
        <w:rPr>
          <w:sz w:val="20"/>
          <w:szCs w:val="20"/>
          <w:color w:val="auto"/>
        </w:rPr>
      </w:pPr>
    </w:p>
    <w:p>
      <w:pPr>
        <w:jc w:val="both"/>
        <w:ind w:firstLine="496"/>
        <w:spacing w:after="0" w:line="249" w:lineRule="auto"/>
        <w:rPr>
          <w:sz w:val="20"/>
          <w:szCs w:val="20"/>
          <w:color w:val="auto"/>
        </w:rPr>
      </w:pPr>
      <w:r>
        <w:rPr>
          <w:rFonts w:ascii="Times New Roman" w:cs="Times New Roman" w:eastAsia="Times New Roman" w:hAnsi="Times New Roman"/>
          <w:sz w:val="17"/>
          <w:szCs w:val="17"/>
          <w:b w:val="1"/>
          <w:bCs w:val="1"/>
          <w:color w:val="auto"/>
        </w:rPr>
        <w:t>Section 7.07 Reliance on Officer’s Certificate</w:t>
      </w:r>
      <w:r>
        <w:rPr>
          <w:rFonts w:ascii="Times New Roman" w:cs="Times New Roman" w:eastAsia="Times New Roman" w:hAnsi="Times New Roman"/>
          <w:sz w:val="17"/>
          <w:szCs w:val="17"/>
          <w:color w:val="auto"/>
        </w:rPr>
        <w:t>. Except as otherwise provided in Section 7.01, whenever in the administration of the provisions of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spacing w:after="0" w:line="138" w:lineRule="exact"/>
        <w:rPr>
          <w:sz w:val="20"/>
          <w:szCs w:val="20"/>
          <w:color w:val="auto"/>
        </w:rPr>
      </w:pPr>
    </w:p>
    <w:p>
      <w:pPr>
        <w:jc w:val="both"/>
        <w:ind w:firstLine="496"/>
        <w:spacing w:after="0" w:line="270" w:lineRule="auto"/>
        <w:rPr>
          <w:sz w:val="20"/>
          <w:szCs w:val="20"/>
          <w:color w:val="auto"/>
        </w:rPr>
      </w:pPr>
      <w:r>
        <w:rPr>
          <w:rFonts w:ascii="Times New Roman" w:cs="Times New Roman" w:eastAsia="Times New Roman" w:hAnsi="Times New Roman"/>
          <w:sz w:val="17"/>
          <w:szCs w:val="17"/>
          <w:b w:val="1"/>
          <w:bCs w:val="1"/>
          <w:color w:val="auto"/>
        </w:rPr>
        <w:t>Section 7.08 Disqualification; Conflicting Interests</w:t>
      </w:r>
      <w:r>
        <w:rPr>
          <w:rFonts w:ascii="Times New Roman" w:cs="Times New Roman" w:eastAsia="Times New Roman" w:hAnsi="Times New Roman"/>
          <w:sz w:val="17"/>
          <w:szCs w:val="17"/>
          <w:color w:val="auto"/>
        </w:rPr>
        <w:t>. If the Trustee has or shall acquire any “conflicting interest” within the meaning of Section 310(b)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Trust Indenture Act, the Trustee and the Company shall in all respects comply with the provisions of Section 310(b) of the Trust Indenture Act.</w:t>
      </w:r>
    </w:p>
    <w:p>
      <w:pPr>
        <w:spacing w:after="0" w:line="119" w:lineRule="exact"/>
        <w:rPr>
          <w:sz w:val="20"/>
          <w:szCs w:val="20"/>
          <w:color w:val="auto"/>
        </w:rPr>
      </w:pPr>
    </w:p>
    <w:p>
      <w:pPr>
        <w:jc w:val="both"/>
        <w:ind w:firstLine="496"/>
        <w:spacing w:after="0" w:line="276" w:lineRule="auto"/>
        <w:rPr>
          <w:sz w:val="20"/>
          <w:szCs w:val="20"/>
          <w:color w:val="auto"/>
        </w:rPr>
      </w:pPr>
      <w:r>
        <w:rPr>
          <w:rFonts w:ascii="Times New Roman" w:cs="Times New Roman" w:eastAsia="Times New Roman" w:hAnsi="Times New Roman"/>
          <w:sz w:val="16"/>
          <w:szCs w:val="16"/>
          <w:b w:val="1"/>
          <w:bCs w:val="1"/>
          <w:color w:val="auto"/>
        </w:rPr>
        <w:t>Section 7.09 Corporate Trustee Required; Eligibility</w:t>
      </w:r>
      <w:r>
        <w:rPr>
          <w:rFonts w:ascii="Times New Roman" w:cs="Times New Roman" w:eastAsia="Times New Roman" w:hAnsi="Times New Roman"/>
          <w:sz w:val="16"/>
          <w:szCs w:val="16"/>
          <w:color w:val="auto"/>
        </w:rPr>
        <w:t>. There shall at all times be a Trustee with respect to the Securities issued hereunder which shall at all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spacing w:after="0" w:line="119"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7"/>
          <w:szCs w:val="17"/>
          <w:color w:val="auto"/>
        </w:rPr>
        <w:t>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ectPr>
          <w:pgSz w:w="11900" w:h="16838" w:orient="portrait"/>
          <w:cols w:equalWidth="0" w:num="1">
            <w:col w:w="11280"/>
          </w:cols>
          <w:pgMar w:left="300" w:top="1287" w:right="319" w:bottom="1440" w:gutter="0" w:footer="0" w:header="0"/>
        </w:sectPr>
      </w:pPr>
    </w:p>
    <w:bookmarkStart w:id="78" w:name="page79"/>
    <w:bookmarkEnd w:id="78"/>
    <w:p>
      <w:pPr>
        <w:jc w:val="both"/>
        <w:spacing w:after="0" w:line="253" w:lineRule="auto"/>
        <w:rPr>
          <w:sz w:val="20"/>
          <w:szCs w:val="20"/>
          <w:color w:val="auto"/>
        </w:rPr>
      </w:pPr>
      <w:r>
        <w:rPr>
          <w:rFonts w:ascii="Times New Roman" w:cs="Times New Roman" w:eastAsia="Times New Roman" w:hAnsi="Times New Roman"/>
          <w:sz w:val="17"/>
          <w:szCs w:val="17"/>
          <w:color w:val="auto"/>
        </w:rPr>
        <w:t>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spacing w:after="0" w:line="143" w:lineRule="exact"/>
        <w:rPr>
          <w:sz w:val="20"/>
          <w:szCs w:val="20"/>
          <w:color w:val="auto"/>
        </w:rPr>
      </w:pPr>
    </w:p>
    <w:p>
      <w:pPr>
        <w:ind w:left="500"/>
        <w:spacing w:after="0"/>
        <w:tabs>
          <w:tab w:leader="none" w:pos="1500" w:val="left"/>
        </w:tabs>
        <w:rPr>
          <w:sz w:val="20"/>
          <w:szCs w:val="20"/>
          <w:color w:val="auto"/>
        </w:rPr>
      </w:pPr>
      <w:r>
        <w:rPr>
          <w:rFonts w:ascii="Times New Roman" w:cs="Times New Roman" w:eastAsia="Times New Roman" w:hAnsi="Times New Roman"/>
          <w:sz w:val="17"/>
          <w:szCs w:val="17"/>
          <w:b w:val="1"/>
          <w:bCs w:val="1"/>
          <w:color w:val="auto"/>
        </w:rPr>
        <w:t>Section 7.10</w:t>
      </w:r>
      <w:r>
        <w:rPr>
          <w:sz w:val="20"/>
          <w:szCs w:val="20"/>
          <w:color w:val="auto"/>
        </w:rPr>
        <w:tab/>
      </w:r>
      <w:r>
        <w:rPr>
          <w:rFonts w:ascii="Times New Roman" w:cs="Times New Roman" w:eastAsia="Times New Roman" w:hAnsi="Times New Roman"/>
          <w:sz w:val="16"/>
          <w:szCs w:val="16"/>
          <w:b w:val="1"/>
          <w:bCs w:val="1"/>
          <w:color w:val="auto"/>
        </w:rPr>
        <w:t>Resignation and Removal; Appointment of Successor</w:t>
      </w:r>
      <w:r>
        <w:rPr>
          <w:rFonts w:ascii="Times New Roman" w:cs="Times New Roman" w:eastAsia="Times New Roman" w:hAnsi="Times New Roman"/>
          <w:sz w:val="16"/>
          <w:szCs w:val="16"/>
          <w:color w:val="auto"/>
        </w:rPr>
        <w:t>.</w:t>
      </w:r>
    </w:p>
    <w:p>
      <w:pPr>
        <w:spacing w:after="0" w:line="170" w:lineRule="exact"/>
        <w:rPr>
          <w:sz w:val="20"/>
          <w:szCs w:val="20"/>
          <w:color w:val="auto"/>
        </w:rPr>
      </w:pPr>
    </w:p>
    <w:p>
      <w:pPr>
        <w:jc w:val="both"/>
        <w:ind w:firstLine="996"/>
        <w:spacing w:after="0" w:line="246" w:lineRule="auto"/>
        <w:tabs>
          <w:tab w:leader="none" w:pos="1361" w:val="left"/>
        </w:tabs>
        <w:numPr>
          <w:ilvl w:val="0"/>
          <w:numId w:val="8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Trustee or any successor hereafter appointed may at any time resign with respect to the Securities of one or more series by giving written notice thereof to the Company and the Securityholders of such series.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sending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144" w:lineRule="exact"/>
        <w:rPr>
          <w:rFonts w:ascii="Times New Roman" w:cs="Times New Roman" w:eastAsia="Times New Roman" w:hAnsi="Times New Roman"/>
          <w:sz w:val="17"/>
          <w:szCs w:val="17"/>
          <w:b w:val="1"/>
          <w:bCs w:val="1"/>
          <w:color w:val="auto"/>
        </w:rPr>
      </w:pPr>
    </w:p>
    <w:p>
      <w:pPr>
        <w:ind w:left="1360" w:hanging="364"/>
        <w:spacing w:after="0"/>
        <w:tabs>
          <w:tab w:leader="none" w:pos="1360" w:val="left"/>
        </w:tabs>
        <w:numPr>
          <w:ilvl w:val="0"/>
          <w:numId w:val="8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case at any time any one of the following shall occur:</w:t>
      </w:r>
    </w:p>
    <w:p>
      <w:pPr>
        <w:spacing w:after="0" w:line="166" w:lineRule="exact"/>
        <w:rPr>
          <w:sz w:val="20"/>
          <w:szCs w:val="20"/>
          <w:color w:val="auto"/>
        </w:rPr>
      </w:pPr>
    </w:p>
    <w:p>
      <w:pPr>
        <w:ind w:firstLine="996"/>
        <w:spacing w:after="0" w:line="278" w:lineRule="auto"/>
        <w:tabs>
          <w:tab w:leader="none" w:pos="1335" w:val="left"/>
        </w:tabs>
        <w:numPr>
          <w:ilvl w:val="0"/>
          <w:numId w:val="8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Trustee shall fail to comply with the provisions of Section 7.08 after written request therefor by the Company or by any Securityholder who has been a bona fide holder of a Security or Securities for at least six months; or</w:t>
      </w:r>
    </w:p>
    <w:p>
      <w:pPr>
        <w:spacing w:after="0" w:line="115" w:lineRule="exact"/>
        <w:rPr>
          <w:rFonts w:ascii="Times New Roman" w:cs="Times New Roman" w:eastAsia="Times New Roman" w:hAnsi="Times New Roman"/>
          <w:sz w:val="17"/>
          <w:szCs w:val="17"/>
          <w:b w:val="1"/>
          <w:bCs w:val="1"/>
          <w:color w:val="auto"/>
        </w:rPr>
      </w:pPr>
    </w:p>
    <w:p>
      <w:pPr>
        <w:ind w:firstLine="996"/>
        <w:spacing w:after="0" w:line="265" w:lineRule="auto"/>
        <w:tabs>
          <w:tab w:leader="none" w:pos="1402" w:val="left"/>
        </w:tabs>
        <w:numPr>
          <w:ilvl w:val="0"/>
          <w:numId w:val="8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Trustee shall cease to be eligible in accordance with the provisions of Section 7.09 and shall fail to resign after written request therefor by the Company or by any such Securityholder; or</w:t>
      </w:r>
    </w:p>
    <w:p>
      <w:pPr>
        <w:spacing w:after="0" w:line="126" w:lineRule="exact"/>
        <w:rPr>
          <w:rFonts w:ascii="Times New Roman" w:cs="Times New Roman" w:eastAsia="Times New Roman" w:hAnsi="Times New Roman"/>
          <w:sz w:val="17"/>
          <w:szCs w:val="17"/>
          <w:b w:val="1"/>
          <w:bCs w:val="1"/>
          <w:color w:val="auto"/>
        </w:rPr>
      </w:pPr>
    </w:p>
    <w:p>
      <w:pPr>
        <w:jc w:val="both"/>
        <w:ind w:firstLine="996"/>
        <w:spacing w:after="0" w:line="259" w:lineRule="auto"/>
        <w:tabs>
          <w:tab w:leader="none" w:pos="1448" w:val="left"/>
        </w:tabs>
        <w:numPr>
          <w:ilvl w:val="0"/>
          <w:numId w:val="8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w:t>
      </w:r>
    </w:p>
    <w:p>
      <w:pPr>
        <w:spacing w:after="0" w:line="132"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7"/>
          <w:szCs w:val="17"/>
          <w:color w:val="auto"/>
        </w:rPr>
        <w:t>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ectPr>
          <w:pgSz w:w="11900" w:h="16838" w:orient="portrait"/>
          <w:cols w:equalWidth="0" w:num="1">
            <w:col w:w="11280"/>
          </w:cols>
          <w:pgMar w:left="300" w:top="1287" w:right="319" w:bottom="1440" w:gutter="0" w:footer="0" w:header="0"/>
        </w:sectPr>
      </w:pPr>
    </w:p>
    <w:bookmarkStart w:id="79" w:name="page80"/>
    <w:bookmarkEnd w:id="79"/>
    <w:p>
      <w:pPr>
        <w:ind w:firstLine="996"/>
        <w:spacing w:after="0" w:line="297" w:lineRule="auto"/>
        <w:tabs>
          <w:tab w:leader="none" w:pos="1373" w:val="left"/>
        </w:tabs>
        <w:numPr>
          <w:ilvl w:val="0"/>
          <w:numId w:val="8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spacing w:after="0" w:line="103" w:lineRule="exact"/>
        <w:rPr>
          <w:rFonts w:ascii="Times New Roman" w:cs="Times New Roman" w:eastAsia="Times New Roman" w:hAnsi="Times New Roman"/>
          <w:sz w:val="16"/>
          <w:szCs w:val="16"/>
          <w:b w:val="1"/>
          <w:bCs w:val="1"/>
          <w:color w:val="auto"/>
        </w:rPr>
      </w:pPr>
    </w:p>
    <w:p>
      <w:pPr>
        <w:ind w:firstLine="996"/>
        <w:spacing w:after="0" w:line="278" w:lineRule="auto"/>
        <w:tabs>
          <w:tab w:leader="none" w:pos="1412" w:val="left"/>
        </w:tabs>
        <w:numPr>
          <w:ilvl w:val="0"/>
          <w:numId w:val="8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spacing w:after="0" w:line="115" w:lineRule="exact"/>
        <w:rPr>
          <w:rFonts w:ascii="Times New Roman" w:cs="Times New Roman" w:eastAsia="Times New Roman" w:hAnsi="Times New Roman"/>
          <w:sz w:val="17"/>
          <w:szCs w:val="17"/>
          <w:b w:val="1"/>
          <w:bCs w:val="1"/>
          <w:color w:val="auto"/>
        </w:rPr>
      </w:pPr>
    </w:p>
    <w:p>
      <w:pPr>
        <w:ind w:firstLine="996"/>
        <w:spacing w:after="0" w:line="265" w:lineRule="auto"/>
        <w:tabs>
          <w:tab w:leader="none" w:pos="1373" w:val="left"/>
        </w:tabs>
        <w:numPr>
          <w:ilvl w:val="0"/>
          <w:numId w:val="8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123" w:lineRule="exact"/>
        <w:rPr>
          <w:sz w:val="20"/>
          <w:szCs w:val="20"/>
          <w:color w:val="auto"/>
        </w:rPr>
      </w:pPr>
    </w:p>
    <w:p>
      <w:pPr>
        <w:ind w:left="500"/>
        <w:spacing w:after="0"/>
        <w:tabs>
          <w:tab w:leader="none" w:pos="1480" w:val="left"/>
        </w:tabs>
        <w:rPr>
          <w:sz w:val="20"/>
          <w:szCs w:val="20"/>
          <w:color w:val="auto"/>
        </w:rPr>
      </w:pPr>
      <w:r>
        <w:rPr>
          <w:rFonts w:ascii="Times New Roman" w:cs="Times New Roman" w:eastAsia="Times New Roman" w:hAnsi="Times New Roman"/>
          <w:sz w:val="17"/>
          <w:szCs w:val="17"/>
          <w:b w:val="1"/>
          <w:bCs w:val="1"/>
          <w:color w:val="auto"/>
        </w:rPr>
        <w:t>Section 7.11</w:t>
      </w:r>
      <w:r>
        <w:rPr>
          <w:sz w:val="20"/>
          <w:szCs w:val="20"/>
          <w:color w:val="auto"/>
        </w:rPr>
        <w:tab/>
      </w:r>
      <w:r>
        <w:rPr>
          <w:rFonts w:ascii="Times New Roman" w:cs="Times New Roman" w:eastAsia="Times New Roman" w:hAnsi="Times New Roman"/>
          <w:sz w:val="16"/>
          <w:szCs w:val="16"/>
          <w:b w:val="1"/>
          <w:bCs w:val="1"/>
          <w:color w:val="auto"/>
        </w:rPr>
        <w:t>Acceptance of Appointment By Successor</w:t>
      </w:r>
      <w:r>
        <w:rPr>
          <w:rFonts w:ascii="Times New Roman" w:cs="Times New Roman" w:eastAsia="Times New Roman" w:hAnsi="Times New Roman"/>
          <w:sz w:val="16"/>
          <w:szCs w:val="16"/>
          <w:color w:val="auto"/>
        </w:rPr>
        <w:t>.</w:t>
      </w:r>
    </w:p>
    <w:p>
      <w:pPr>
        <w:spacing w:after="0" w:line="170" w:lineRule="exact"/>
        <w:rPr>
          <w:sz w:val="20"/>
          <w:szCs w:val="20"/>
          <w:color w:val="auto"/>
        </w:rPr>
      </w:pPr>
    </w:p>
    <w:p>
      <w:pPr>
        <w:jc w:val="both"/>
        <w:ind w:firstLine="996"/>
        <w:spacing w:after="0" w:line="248" w:lineRule="auto"/>
        <w:tabs>
          <w:tab w:leader="none" w:pos="1392" w:val="left"/>
        </w:tabs>
        <w:numPr>
          <w:ilvl w:val="0"/>
          <w:numId w:val="8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any amounts due to it pursuant to the provisions of Section 7.06,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42" w:lineRule="exact"/>
        <w:rPr>
          <w:rFonts w:ascii="Times New Roman" w:cs="Times New Roman" w:eastAsia="Times New Roman" w:hAnsi="Times New Roman"/>
          <w:sz w:val="17"/>
          <w:szCs w:val="17"/>
          <w:b w:val="1"/>
          <w:bCs w:val="1"/>
          <w:color w:val="auto"/>
        </w:rPr>
      </w:pPr>
    </w:p>
    <w:p>
      <w:pPr>
        <w:jc w:val="both"/>
        <w:ind w:firstLine="996"/>
        <w:spacing w:after="0" w:line="263" w:lineRule="auto"/>
        <w:tabs>
          <w:tab w:leader="none" w:pos="1360" w:val="left"/>
        </w:tabs>
        <w:numPr>
          <w:ilvl w:val="0"/>
          <w:numId w:val="8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ectPr>
          <w:pgSz w:w="11900" w:h="16838" w:orient="portrait"/>
          <w:cols w:equalWidth="0" w:num="1">
            <w:col w:w="11280"/>
          </w:cols>
          <w:pgMar w:left="300" w:top="1287" w:right="319" w:bottom="1440" w:gutter="0" w:footer="0" w:header="0"/>
        </w:sectPr>
      </w:pPr>
    </w:p>
    <w:bookmarkStart w:id="80" w:name="page81"/>
    <w:bookmarkEnd w:id="80"/>
    <w:p>
      <w:pPr>
        <w:jc w:val="both"/>
        <w:spacing w:after="0" w:line="248" w:lineRule="auto"/>
        <w:rPr>
          <w:sz w:val="20"/>
          <w:szCs w:val="20"/>
          <w:color w:val="auto"/>
        </w:rPr>
      </w:pPr>
      <w:r>
        <w:rPr>
          <w:rFonts w:ascii="Times New Roman" w:cs="Times New Roman" w:eastAsia="Times New Roman" w:hAnsi="Times New Roman"/>
          <w:sz w:val="17"/>
          <w:szCs w:val="17"/>
          <w:color w:val="auto"/>
        </w:rPr>
        <w:t>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143" w:lineRule="exact"/>
        <w:rPr>
          <w:sz w:val="20"/>
          <w:szCs w:val="20"/>
          <w:color w:val="auto"/>
        </w:rPr>
      </w:pPr>
    </w:p>
    <w:p>
      <w:pPr>
        <w:ind w:firstLine="996"/>
        <w:spacing w:after="0" w:line="265" w:lineRule="auto"/>
        <w:tabs>
          <w:tab w:leader="none" w:pos="1342" w:val="left"/>
        </w:tabs>
        <w:numPr>
          <w:ilvl w:val="0"/>
          <w:numId w:val="8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137" w:lineRule="exact"/>
        <w:rPr>
          <w:rFonts w:ascii="Times New Roman" w:cs="Times New Roman" w:eastAsia="Times New Roman" w:hAnsi="Times New Roman"/>
          <w:sz w:val="17"/>
          <w:szCs w:val="17"/>
          <w:b w:val="1"/>
          <w:bCs w:val="1"/>
          <w:color w:val="auto"/>
        </w:rPr>
      </w:pPr>
    </w:p>
    <w:p>
      <w:pPr>
        <w:ind w:left="1400" w:hanging="404"/>
        <w:spacing w:after="0"/>
        <w:tabs>
          <w:tab w:leader="none" w:pos="1400" w:val="left"/>
        </w:tabs>
        <w:numPr>
          <w:ilvl w:val="0"/>
          <w:numId w:val="8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No successor trustee shall accept its appointment unless at the time of such acceptance such successor trustee shall be qualified and eligible under</w:t>
      </w:r>
    </w:p>
    <w:p>
      <w:pPr>
        <w:spacing w:after="0" w:line="30" w:lineRule="exact"/>
        <w:rPr>
          <w:rFonts w:ascii="Times New Roman" w:cs="Times New Roman" w:eastAsia="Times New Roman" w:hAnsi="Times New Roman"/>
          <w:sz w:val="16"/>
          <w:szCs w:val="16"/>
          <w:b w:val="1"/>
          <w:bCs w:val="1"/>
          <w:color w:val="auto"/>
        </w:rPr>
      </w:pPr>
    </w:p>
    <w:p>
      <w:pPr>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color w:val="auto"/>
        </w:rPr>
        <w:t>this Article.</w:t>
      </w:r>
    </w:p>
    <w:p>
      <w:pPr>
        <w:spacing w:after="0" w:line="148" w:lineRule="exact"/>
        <w:rPr>
          <w:rFonts w:ascii="Times New Roman" w:cs="Times New Roman" w:eastAsia="Times New Roman" w:hAnsi="Times New Roman"/>
          <w:sz w:val="16"/>
          <w:szCs w:val="16"/>
          <w:b w:val="1"/>
          <w:bCs w:val="1"/>
          <w:color w:val="auto"/>
        </w:rPr>
      </w:pPr>
    </w:p>
    <w:p>
      <w:pPr>
        <w:jc w:val="both"/>
        <w:ind w:firstLine="996"/>
        <w:spacing w:after="0" w:line="253" w:lineRule="auto"/>
        <w:tabs>
          <w:tab w:leader="none" w:pos="1362" w:val="left"/>
        </w:tabs>
        <w:numPr>
          <w:ilvl w:val="0"/>
          <w:numId w:val="8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Upon acceptance of appointment by a successor trustee as provided in this Section, the Company shall send notice of the succession of such trustee hereunder to the Securityholders. If the Company fails to send such notice within ten days after acceptance of appointment by the successor trustee, the successor trustee shall cause such notice to be sent at the expense of the Company.</w:t>
      </w:r>
    </w:p>
    <w:p>
      <w:pPr>
        <w:spacing w:after="0" w:line="133" w:lineRule="exact"/>
        <w:rPr>
          <w:sz w:val="20"/>
          <w:szCs w:val="20"/>
          <w:color w:val="auto"/>
        </w:rPr>
      </w:pPr>
    </w:p>
    <w:p>
      <w:pPr>
        <w:jc w:val="both"/>
        <w:ind w:firstLine="496"/>
        <w:spacing w:after="0" w:line="268" w:lineRule="auto"/>
        <w:rPr>
          <w:sz w:val="20"/>
          <w:szCs w:val="20"/>
          <w:color w:val="auto"/>
        </w:rPr>
      </w:pPr>
      <w:r>
        <w:rPr>
          <w:rFonts w:ascii="Times New Roman" w:cs="Times New Roman" w:eastAsia="Times New Roman" w:hAnsi="Times New Roman"/>
          <w:sz w:val="16"/>
          <w:szCs w:val="16"/>
          <w:b w:val="1"/>
          <w:bCs w:val="1"/>
          <w:color w:val="auto"/>
        </w:rPr>
        <w:t>Section 7.12 Merger, Conversion, Consolidation or Succession to Business</w:t>
      </w:r>
      <w:r>
        <w:rPr>
          <w:rFonts w:ascii="Times New Roman" w:cs="Times New Roman" w:eastAsia="Times New Roman" w:hAnsi="Times New Roman"/>
          <w:sz w:val="16"/>
          <w:szCs w:val="16"/>
          <w:color w:val="auto"/>
        </w:rPr>
        <w:t>. Any corporation into which the Trustee may be merged or converted or with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which it may be consolidated, or any corporation resulting from any merger, conversion or consolidation to which the Trustee shall be a party, or any corporation succeeding to all or substantially all the corporate trust business of the Trustee, including the administration of the trust created by this Indenture,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23"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7"/>
          <w:szCs w:val="17"/>
          <w:b w:val="1"/>
          <w:bCs w:val="1"/>
          <w:color w:val="auto"/>
        </w:rPr>
        <w:t>Section 7.13 Preferential Collection of Claims Against the Company</w:t>
      </w:r>
      <w:r>
        <w:rPr>
          <w:rFonts w:ascii="Times New Roman" w:cs="Times New Roman" w:eastAsia="Times New Roman" w:hAnsi="Times New Roman"/>
          <w:sz w:val="17"/>
          <w:szCs w:val="17"/>
          <w:color w:val="auto"/>
        </w:rPr>
        <w:t>. The Trustee shall comply with Section 311(a) of the Trust Indenture Act, excluding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creditor relationship described in Section 311(b) of the Trust Indenture Act. A Trustee who has resigned or been removed shall be subject to Section 311(a) of the Trust Indenture Act to the extent included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ectPr>
          <w:pgSz w:w="11900" w:h="16838" w:orient="portrait"/>
          <w:cols w:equalWidth="0" w:num="1">
            <w:col w:w="11280"/>
          </w:cols>
          <w:pgMar w:left="300" w:top="1287" w:right="319" w:bottom="1440" w:gutter="0" w:footer="0" w:header="0"/>
        </w:sectPr>
      </w:pPr>
    </w:p>
    <w:bookmarkStart w:id="81" w:name="page82"/>
    <w:bookmarkEnd w:id="81"/>
    <w:p>
      <w:pPr>
        <w:jc w:val="both"/>
        <w:ind w:firstLine="496"/>
        <w:spacing w:after="0" w:line="249" w:lineRule="auto"/>
        <w:rPr>
          <w:sz w:val="20"/>
          <w:szCs w:val="20"/>
          <w:color w:val="auto"/>
        </w:rPr>
      </w:pPr>
      <w:r>
        <w:rPr>
          <w:rFonts w:ascii="Times New Roman" w:cs="Times New Roman" w:eastAsia="Times New Roman" w:hAnsi="Times New Roman"/>
          <w:sz w:val="17"/>
          <w:szCs w:val="17"/>
          <w:b w:val="1"/>
          <w:bCs w:val="1"/>
          <w:color w:val="auto"/>
        </w:rPr>
        <w:t>Section 7.14 Notice of Default</w:t>
      </w:r>
      <w:r>
        <w:rPr>
          <w:rFonts w:ascii="Times New Roman" w:cs="Times New Roman" w:eastAsia="Times New Roman" w:hAnsi="Times New Roman"/>
          <w:sz w:val="17"/>
          <w:szCs w:val="17"/>
          <w:color w:val="auto"/>
        </w:rPr>
        <w:t>. If any Event of Default occurs and is continuing and if such Event of Default is known to a Responsible Officer of the Trustee,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the Trustee shall send to each Securityholder in the manner and to the extent provided in Section 313(c) of the Trust Indenture Act notice of the Event of Default within the earlier of 90 days after it occurs and 30 days after it is known to a Responsible Officer of the Trustee or written notice of it is received by the Trustee, unless such Event of Default has been cured;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except in the case of a default in the payment of the principal of (or premium, if any) or interest on any Security, the Trustee shall be protected in withholding such notice if and so long as the Responsible Officers of the Trustee in good faith determine that the withholding of such notice is in the interest of the Securityholders.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8</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CONCERNING THE SECURITYHOLDERS</w:t>
      </w:r>
    </w:p>
    <w:p>
      <w:pPr>
        <w:spacing w:after="0" w:line="177" w:lineRule="exact"/>
        <w:rPr>
          <w:sz w:val="20"/>
          <w:szCs w:val="20"/>
          <w:color w:val="auto"/>
        </w:rPr>
      </w:pPr>
    </w:p>
    <w:p>
      <w:pPr>
        <w:jc w:val="both"/>
        <w:ind w:firstLine="496"/>
        <w:spacing w:after="0" w:line="248" w:lineRule="auto"/>
        <w:rPr>
          <w:sz w:val="20"/>
          <w:szCs w:val="20"/>
          <w:color w:val="auto"/>
        </w:rPr>
      </w:pPr>
      <w:r>
        <w:rPr>
          <w:rFonts w:ascii="Times New Roman" w:cs="Times New Roman" w:eastAsia="Times New Roman" w:hAnsi="Times New Roman"/>
          <w:sz w:val="17"/>
          <w:szCs w:val="17"/>
          <w:b w:val="1"/>
          <w:bCs w:val="1"/>
          <w:color w:val="auto"/>
        </w:rPr>
        <w:t>Section 8.01 Evidence of Action by Securityholders</w:t>
      </w:r>
      <w:r>
        <w:rPr>
          <w:rFonts w:ascii="Times New Roman" w:cs="Times New Roman" w:eastAsia="Times New Roman" w:hAnsi="Times New Roman"/>
          <w:sz w:val="17"/>
          <w:szCs w:val="17"/>
          <w:color w:val="auto"/>
        </w:rPr>
        <w:t>. Whenever in this Indenture it is provided that the holders of a majority or specified percentage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142" w:lineRule="exact"/>
        <w:rPr>
          <w:sz w:val="20"/>
          <w:szCs w:val="20"/>
          <w:color w:val="auto"/>
        </w:rPr>
      </w:pPr>
    </w:p>
    <w:p>
      <w:pPr>
        <w:jc w:val="both"/>
        <w:ind w:firstLine="496"/>
        <w:spacing w:after="0" w:line="247" w:lineRule="auto"/>
        <w:rPr>
          <w:sz w:val="20"/>
          <w:szCs w:val="20"/>
          <w:color w:val="auto"/>
        </w:rPr>
      </w:pPr>
      <w:r>
        <w:rPr>
          <w:rFonts w:ascii="Times New Roman" w:cs="Times New Roman" w:eastAsia="Times New Roman" w:hAnsi="Times New Roman"/>
          <w:sz w:val="17"/>
          <w:szCs w:val="17"/>
          <w:color w:val="auto"/>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140" w:lineRule="exact"/>
        <w:rPr>
          <w:sz w:val="20"/>
          <w:szCs w:val="20"/>
          <w:color w:val="auto"/>
        </w:rPr>
      </w:pPr>
    </w:p>
    <w:p>
      <w:pPr>
        <w:jc w:val="both"/>
        <w:ind w:firstLine="496"/>
        <w:spacing w:after="0" w:line="270" w:lineRule="auto"/>
        <w:rPr>
          <w:sz w:val="20"/>
          <w:szCs w:val="20"/>
          <w:color w:val="auto"/>
        </w:rPr>
      </w:pPr>
      <w:r>
        <w:rPr>
          <w:rFonts w:ascii="Times New Roman" w:cs="Times New Roman" w:eastAsia="Times New Roman" w:hAnsi="Times New Roman"/>
          <w:sz w:val="17"/>
          <w:szCs w:val="17"/>
          <w:b w:val="1"/>
          <w:bCs w:val="1"/>
          <w:color w:val="auto"/>
        </w:rPr>
        <w:t>Section 8.02 Proof of Execution by Securityholders</w:t>
      </w:r>
      <w:r>
        <w:rPr>
          <w:rFonts w:ascii="Times New Roman" w:cs="Times New Roman" w:eastAsia="Times New Roman" w:hAnsi="Times New Roman"/>
          <w:sz w:val="17"/>
          <w:szCs w:val="17"/>
          <w:color w:val="auto"/>
        </w:rPr>
        <w:t>. Subject to the provisions of Section 7.01, proof of the execution of any instrument by a Securityholder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(such proof will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ectPr>
          <w:pgSz w:w="11900" w:h="16838" w:orient="portrait"/>
          <w:cols w:equalWidth="0" w:num="1">
            <w:col w:w="11280"/>
          </w:cols>
          <w:pgMar w:left="300" w:top="1283"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color w:val="auto"/>
        </w:rPr>
        <w:t>require notarization) or his or her agent or proxy and proof of the holding by any Person of any of the Securities shall be sufficient if made in the following manner:</w:t>
      </w:r>
    </w:p>
    <w:p>
      <w:pPr>
        <w:spacing w:after="0" w:line="166" w:lineRule="exact"/>
        <w:rPr>
          <w:sz w:val="20"/>
          <w:szCs w:val="20"/>
          <w:color w:val="auto"/>
        </w:rPr>
      </w:pPr>
    </w:p>
    <w:p>
      <w:pPr>
        <w:ind w:left="1360" w:hanging="364"/>
        <w:spacing w:after="0"/>
        <w:tabs>
          <w:tab w:leader="none" w:pos="1360" w:val="left"/>
        </w:tabs>
        <w:numPr>
          <w:ilvl w:val="0"/>
          <w:numId w:val="8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fact and date of the execution by any such Person of any instrument may be proved in any reasonable manner acceptable to the Trustee.</w:t>
      </w:r>
    </w:p>
    <w:p>
      <w:pPr>
        <w:spacing w:after="0" w:line="166" w:lineRule="exact"/>
        <w:rPr>
          <w:rFonts w:ascii="Times New Roman" w:cs="Times New Roman" w:eastAsia="Times New Roman" w:hAnsi="Times New Roman"/>
          <w:sz w:val="17"/>
          <w:szCs w:val="17"/>
          <w:b w:val="1"/>
          <w:bCs w:val="1"/>
          <w:color w:val="auto"/>
        </w:rPr>
      </w:pPr>
    </w:p>
    <w:p>
      <w:pPr>
        <w:ind w:left="500" w:right="740" w:firstLine="496"/>
        <w:spacing w:after="0" w:line="448" w:lineRule="auto"/>
        <w:tabs>
          <w:tab w:leader="none" w:pos="1364" w:val="left"/>
        </w:tabs>
        <w:numPr>
          <w:ilvl w:val="0"/>
          <w:numId w:val="8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ownership of Securities shall be proved by the Security Register of such Securities or by a certificate of the Security Registrar thereof. The Trustee may require such additional proof of any matter referred to in this Section as it shall deem necessary.</w:t>
      </w:r>
    </w:p>
    <w:p>
      <w:pPr>
        <w:jc w:val="both"/>
        <w:ind w:firstLine="496"/>
        <w:spacing w:after="0" w:line="271" w:lineRule="auto"/>
        <w:rPr>
          <w:sz w:val="20"/>
          <w:szCs w:val="20"/>
          <w:color w:val="auto"/>
        </w:rPr>
      </w:pPr>
      <w:r>
        <w:rPr>
          <w:rFonts w:ascii="Times New Roman" w:cs="Times New Roman" w:eastAsia="Times New Roman" w:hAnsi="Times New Roman"/>
          <w:sz w:val="16"/>
          <w:szCs w:val="16"/>
          <w:b w:val="1"/>
          <w:bCs w:val="1"/>
          <w:color w:val="auto"/>
        </w:rPr>
        <w:t>Section 8.03 Who May be Deemed Owners</w:t>
      </w:r>
      <w:r>
        <w:rPr>
          <w:rFonts w:ascii="Times New Roman" w:cs="Times New Roman" w:eastAsia="Times New Roman" w:hAnsi="Times New Roman"/>
          <w:sz w:val="16"/>
          <w:szCs w:val="16"/>
          <w:color w:val="auto"/>
        </w:rPr>
        <w:t>. Prior to the due presentment for registration of transfer of any Security, the Company, the Trustee, any paying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agent and any Security Registrar may deem and treat the Person in whose name such Security shall be registered upon the books of the Security Registrar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spacing w:after="0" w:line="119" w:lineRule="exact"/>
        <w:rPr>
          <w:sz w:val="20"/>
          <w:szCs w:val="20"/>
          <w:color w:val="auto"/>
        </w:rPr>
      </w:pPr>
    </w:p>
    <w:p>
      <w:pPr>
        <w:jc w:val="both"/>
        <w:ind w:firstLine="496"/>
        <w:spacing w:after="0" w:line="246" w:lineRule="auto"/>
        <w:rPr>
          <w:sz w:val="20"/>
          <w:szCs w:val="20"/>
          <w:color w:val="auto"/>
        </w:rPr>
      </w:pPr>
      <w:r>
        <w:rPr>
          <w:rFonts w:ascii="Times New Roman" w:cs="Times New Roman" w:eastAsia="Times New Roman" w:hAnsi="Times New Roman"/>
          <w:sz w:val="17"/>
          <w:szCs w:val="17"/>
          <w:b w:val="1"/>
          <w:bCs w:val="1"/>
          <w:color w:val="auto"/>
        </w:rPr>
        <w:t>Section 8.04 Certain Securities Owned by Company Disregarded</w:t>
      </w:r>
      <w:r>
        <w:rPr>
          <w:rFonts w:ascii="Times New Roman" w:cs="Times New Roman" w:eastAsia="Times New Roman" w:hAnsi="Times New Roman"/>
          <w:sz w:val="17"/>
          <w:szCs w:val="17"/>
          <w:color w:val="auto"/>
        </w:rPr>
        <w:t>. In determining whether the holders of the requisite aggregate principal amount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141"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7"/>
          <w:szCs w:val="17"/>
          <w:b w:val="1"/>
          <w:bCs w:val="1"/>
          <w:color w:val="auto"/>
        </w:rPr>
        <w:t>Section 8.05 Actions Binding on Future Securityholders</w:t>
      </w:r>
      <w:r>
        <w:rPr>
          <w:rFonts w:ascii="Times New Roman" w:cs="Times New Roman" w:eastAsia="Times New Roman" w:hAnsi="Times New Roman"/>
          <w:sz w:val="17"/>
          <w:szCs w:val="17"/>
          <w:color w:val="auto"/>
        </w:rPr>
        <w:t>. At any time prior to (but not after) the evidencing to the Trustee, as provided in Section 8.01,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ectPr>
          <w:pgSz w:w="11900" w:h="16838" w:orient="portrait"/>
          <w:cols w:equalWidth="0" w:num="1">
            <w:col w:w="11280"/>
          </w:cols>
          <w:pgMar w:left="300" w:top="1287" w:right="319" w:bottom="1440" w:gutter="0" w:footer="0" w:header="0"/>
        </w:sectPr>
      </w:pPr>
    </w:p>
    <w:bookmarkStart w:id="83" w:name="page84"/>
    <w:bookmarkEnd w:id="83"/>
    <w:p>
      <w:pPr>
        <w:jc w:val="both"/>
        <w:spacing w:after="0" w:line="253" w:lineRule="auto"/>
        <w:rPr>
          <w:sz w:val="20"/>
          <w:szCs w:val="20"/>
          <w:color w:val="auto"/>
        </w:rPr>
      </w:pPr>
      <w:r>
        <w:rPr>
          <w:rFonts w:ascii="Times New Roman" w:cs="Times New Roman" w:eastAsia="Times New Roman" w:hAnsi="Times New Roman"/>
          <w:sz w:val="17"/>
          <w:szCs w:val="17"/>
          <w:color w:val="auto"/>
        </w:rPr>
        <w:t>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9</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SUPPLEMENTAL INDENTURES</w:t>
      </w:r>
    </w:p>
    <w:p>
      <w:pPr>
        <w:spacing w:after="0" w:line="166" w:lineRule="exact"/>
        <w:rPr>
          <w:sz w:val="20"/>
          <w:szCs w:val="20"/>
          <w:color w:val="auto"/>
        </w:rPr>
      </w:pPr>
    </w:p>
    <w:p>
      <w:pPr>
        <w:jc w:val="both"/>
        <w:ind w:firstLine="496"/>
        <w:spacing w:after="0" w:line="262" w:lineRule="auto"/>
        <w:rPr>
          <w:sz w:val="20"/>
          <w:szCs w:val="20"/>
          <w:color w:val="auto"/>
        </w:rPr>
      </w:pPr>
      <w:r>
        <w:rPr>
          <w:rFonts w:ascii="Times New Roman" w:cs="Times New Roman" w:eastAsia="Times New Roman" w:hAnsi="Times New Roman"/>
          <w:sz w:val="17"/>
          <w:szCs w:val="17"/>
          <w:b w:val="1"/>
          <w:bCs w:val="1"/>
          <w:color w:val="auto"/>
        </w:rPr>
        <w:t>Section 9.01 Supplemental Indentures Without the Consent of Securityholders</w:t>
      </w:r>
      <w:r>
        <w:rPr>
          <w:rFonts w:ascii="Times New Roman" w:cs="Times New Roman" w:eastAsia="Times New Roman" w:hAnsi="Times New Roman"/>
          <w:sz w:val="17"/>
          <w:szCs w:val="17"/>
          <w:color w:val="auto"/>
        </w:rPr>
        <w:t>. In addition to any supplemental indenture otherwise authorized by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spacing w:after="0" w:line="129" w:lineRule="exact"/>
        <w:rPr>
          <w:sz w:val="20"/>
          <w:szCs w:val="20"/>
          <w:color w:val="auto"/>
        </w:rPr>
      </w:pPr>
    </w:p>
    <w:p>
      <w:pPr>
        <w:ind w:left="1360" w:hanging="364"/>
        <w:spacing w:after="0"/>
        <w:tabs>
          <w:tab w:leader="none" w:pos="1360" w:val="left"/>
        </w:tabs>
        <w:numPr>
          <w:ilvl w:val="0"/>
          <w:numId w:val="9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cure any ambiguity, defect, or inconsistency herein or in the Securities of any series;</w:t>
      </w:r>
    </w:p>
    <w:p>
      <w:pPr>
        <w:spacing w:after="0" w:line="166" w:lineRule="exact"/>
        <w:rPr>
          <w:rFonts w:ascii="Times New Roman" w:cs="Times New Roman" w:eastAsia="Times New Roman" w:hAnsi="Times New Roman"/>
          <w:sz w:val="17"/>
          <w:szCs w:val="17"/>
          <w:b w:val="1"/>
          <w:bCs w:val="1"/>
          <w:color w:val="auto"/>
        </w:rPr>
      </w:pPr>
    </w:p>
    <w:p>
      <w:pPr>
        <w:ind w:left="1360" w:hanging="364"/>
        <w:spacing w:after="0"/>
        <w:tabs>
          <w:tab w:leader="none" w:pos="1360" w:val="left"/>
        </w:tabs>
        <w:numPr>
          <w:ilvl w:val="0"/>
          <w:numId w:val="9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comply with Article Ten;</w:t>
      </w:r>
    </w:p>
    <w:p>
      <w:pPr>
        <w:spacing w:after="0" w:line="166" w:lineRule="exact"/>
        <w:rPr>
          <w:rFonts w:ascii="Times New Roman" w:cs="Times New Roman" w:eastAsia="Times New Roman" w:hAnsi="Times New Roman"/>
          <w:sz w:val="17"/>
          <w:szCs w:val="17"/>
          <w:b w:val="1"/>
          <w:bCs w:val="1"/>
          <w:color w:val="auto"/>
        </w:rPr>
      </w:pPr>
    </w:p>
    <w:p>
      <w:pPr>
        <w:ind w:left="1340" w:hanging="344"/>
        <w:spacing w:after="0"/>
        <w:tabs>
          <w:tab w:leader="none" w:pos="1340" w:val="left"/>
        </w:tabs>
        <w:numPr>
          <w:ilvl w:val="0"/>
          <w:numId w:val="9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provide for uncertificated Securities in addition to or in place of certificated Securities;</w:t>
      </w:r>
    </w:p>
    <w:p>
      <w:pPr>
        <w:spacing w:after="0" w:line="166" w:lineRule="exact"/>
        <w:rPr>
          <w:rFonts w:ascii="Times New Roman" w:cs="Times New Roman" w:eastAsia="Times New Roman" w:hAnsi="Times New Roman"/>
          <w:sz w:val="17"/>
          <w:szCs w:val="17"/>
          <w:b w:val="1"/>
          <w:bCs w:val="1"/>
          <w:color w:val="auto"/>
        </w:rPr>
      </w:pPr>
    </w:p>
    <w:p>
      <w:pPr>
        <w:jc w:val="both"/>
        <w:ind w:firstLine="996"/>
        <w:spacing w:after="0" w:line="274" w:lineRule="auto"/>
        <w:tabs>
          <w:tab w:leader="none" w:pos="1381" w:val="left"/>
        </w:tabs>
        <w:numPr>
          <w:ilvl w:val="0"/>
          <w:numId w:val="9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w:t>
      </w:r>
    </w:p>
    <w:p>
      <w:pPr>
        <w:spacing w:after="0" w:line="121" w:lineRule="exact"/>
        <w:rPr>
          <w:rFonts w:ascii="Times New Roman" w:cs="Times New Roman" w:eastAsia="Times New Roman" w:hAnsi="Times New Roman"/>
          <w:sz w:val="16"/>
          <w:szCs w:val="16"/>
          <w:b w:val="1"/>
          <w:bCs w:val="1"/>
          <w:color w:val="auto"/>
        </w:rPr>
      </w:pPr>
    </w:p>
    <w:p>
      <w:pPr>
        <w:ind w:firstLine="996"/>
        <w:spacing w:after="0" w:line="265" w:lineRule="auto"/>
        <w:tabs>
          <w:tab w:leader="none" w:pos="1352" w:val="left"/>
        </w:tabs>
        <w:numPr>
          <w:ilvl w:val="0"/>
          <w:numId w:val="9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add to, delete from, or revise the conditions, limitations, and restrictions on the authorized amount, terms, or purposes of issue, authentication, and delivery of Securities, as herein set forth;</w:t>
      </w:r>
    </w:p>
    <w:p>
      <w:pPr>
        <w:spacing w:after="0" w:line="126" w:lineRule="exact"/>
        <w:rPr>
          <w:rFonts w:ascii="Times New Roman" w:cs="Times New Roman" w:eastAsia="Times New Roman" w:hAnsi="Times New Roman"/>
          <w:sz w:val="17"/>
          <w:szCs w:val="17"/>
          <w:b w:val="1"/>
          <w:bCs w:val="1"/>
          <w:color w:val="auto"/>
        </w:rPr>
      </w:pPr>
    </w:p>
    <w:p>
      <w:pPr>
        <w:ind w:left="1320" w:hanging="324"/>
        <w:spacing w:after="0"/>
        <w:tabs>
          <w:tab w:leader="none" w:pos="1320" w:val="left"/>
        </w:tabs>
        <w:numPr>
          <w:ilvl w:val="0"/>
          <w:numId w:val="9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make any change that does not adversely affect the rights of any Securityholder in any material respect;</w:t>
      </w:r>
    </w:p>
    <w:p>
      <w:pPr>
        <w:spacing w:after="0" w:line="176" w:lineRule="exact"/>
        <w:rPr>
          <w:rFonts w:ascii="Times New Roman" w:cs="Times New Roman" w:eastAsia="Times New Roman" w:hAnsi="Times New Roman"/>
          <w:sz w:val="17"/>
          <w:szCs w:val="17"/>
          <w:b w:val="1"/>
          <w:bCs w:val="1"/>
          <w:color w:val="auto"/>
        </w:rPr>
      </w:pPr>
    </w:p>
    <w:p>
      <w:pPr>
        <w:jc w:val="both"/>
        <w:ind w:firstLine="996"/>
        <w:spacing w:after="0" w:line="253" w:lineRule="auto"/>
        <w:tabs>
          <w:tab w:leader="none" w:pos="1361" w:val="left"/>
        </w:tabs>
        <w:numPr>
          <w:ilvl w:val="0"/>
          <w:numId w:val="9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ectPr>
          <w:pgSz w:w="11900" w:h="16838" w:orient="portrait"/>
          <w:cols w:equalWidth="0" w:num="1">
            <w:col w:w="11280"/>
          </w:cols>
          <w:pgMar w:left="300" w:top="1287" w:right="319" w:bottom="1440" w:gutter="0" w:footer="0" w:header="0"/>
        </w:sectPr>
      </w:pPr>
    </w:p>
    <w:bookmarkStart w:id="84" w:name="page85"/>
    <w:bookmarkEnd w:id="84"/>
    <w:p>
      <w:pPr>
        <w:ind w:left="1360" w:hanging="364"/>
        <w:spacing w:after="0"/>
        <w:tabs>
          <w:tab w:leader="none" w:pos="1360" w:val="left"/>
        </w:tabs>
        <w:numPr>
          <w:ilvl w:val="0"/>
          <w:numId w:val="9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evidence and provide for the acceptance of appointment hereunder by a successor trustee; or</w:t>
      </w:r>
    </w:p>
    <w:p>
      <w:pPr>
        <w:spacing w:after="0" w:line="166" w:lineRule="exact"/>
        <w:rPr>
          <w:rFonts w:ascii="Times New Roman" w:cs="Times New Roman" w:eastAsia="Times New Roman" w:hAnsi="Times New Roman"/>
          <w:sz w:val="17"/>
          <w:szCs w:val="17"/>
          <w:b w:val="1"/>
          <w:bCs w:val="1"/>
          <w:color w:val="auto"/>
        </w:rPr>
      </w:pPr>
    </w:p>
    <w:p>
      <w:pPr>
        <w:ind w:left="1320" w:hanging="324"/>
        <w:spacing w:after="0"/>
        <w:tabs>
          <w:tab w:leader="none" w:pos="1320" w:val="left"/>
        </w:tabs>
        <w:numPr>
          <w:ilvl w:val="0"/>
          <w:numId w:val="9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to comply with any requirements of the Commission or any successor in connection with the qualification of this Indenture under the Trust Indenture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Act.</w:t>
      </w:r>
    </w:p>
    <w:p>
      <w:pPr>
        <w:spacing w:after="0" w:line="159"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7"/>
          <w:szCs w:val="17"/>
          <w:color w:val="auto"/>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137" w:lineRule="exact"/>
        <w:rPr>
          <w:sz w:val="20"/>
          <w:szCs w:val="20"/>
          <w:color w:val="auto"/>
        </w:rPr>
      </w:pPr>
    </w:p>
    <w:p>
      <w:pPr>
        <w:jc w:val="both"/>
        <w:ind w:firstLine="496"/>
        <w:spacing w:after="0" w:line="265" w:lineRule="auto"/>
        <w:rPr>
          <w:sz w:val="20"/>
          <w:szCs w:val="20"/>
          <w:color w:val="auto"/>
        </w:rPr>
      </w:pPr>
      <w:r>
        <w:rPr>
          <w:rFonts w:ascii="Times New Roman" w:cs="Times New Roman" w:eastAsia="Times New Roman" w:hAnsi="Times New Roman"/>
          <w:sz w:val="17"/>
          <w:szCs w:val="17"/>
          <w:color w:val="auto"/>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spacing w:after="0" w:line="133" w:lineRule="exact"/>
        <w:rPr>
          <w:sz w:val="20"/>
          <w:szCs w:val="20"/>
          <w:color w:val="auto"/>
        </w:rPr>
      </w:pPr>
    </w:p>
    <w:p>
      <w:pPr>
        <w:jc w:val="both"/>
        <w:ind w:firstLine="496"/>
        <w:spacing w:after="0" w:line="246" w:lineRule="auto"/>
        <w:rPr>
          <w:sz w:val="20"/>
          <w:szCs w:val="20"/>
          <w:color w:val="auto"/>
        </w:rPr>
      </w:pPr>
      <w:r>
        <w:rPr>
          <w:rFonts w:ascii="Times New Roman" w:cs="Times New Roman" w:eastAsia="Times New Roman" w:hAnsi="Times New Roman"/>
          <w:sz w:val="17"/>
          <w:szCs w:val="17"/>
          <w:b w:val="1"/>
          <w:bCs w:val="1"/>
          <w:color w:val="auto"/>
        </w:rPr>
        <w:t>Section 9.02 Supplemental Indentures With Consent of Securityholders</w:t>
      </w:r>
      <w:r>
        <w:rPr>
          <w:rFonts w:ascii="Times New Roman" w:cs="Times New Roman" w:eastAsia="Times New Roman" w:hAnsi="Times New Roman"/>
          <w:sz w:val="17"/>
          <w:szCs w:val="17"/>
          <w:color w:val="auto"/>
        </w:rPr>
        <w:t>. With the consent (evidenced as provided in Section 8.01) of the holders of not less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spacing w:after="0" w:line="145" w:lineRule="exact"/>
        <w:rPr>
          <w:sz w:val="20"/>
          <w:szCs w:val="20"/>
          <w:color w:val="auto"/>
        </w:rPr>
      </w:pPr>
    </w:p>
    <w:p>
      <w:pPr>
        <w:jc w:val="both"/>
        <w:ind w:firstLine="496"/>
        <w:spacing w:after="0" w:line="265" w:lineRule="auto"/>
        <w:rPr>
          <w:sz w:val="20"/>
          <w:szCs w:val="20"/>
          <w:color w:val="auto"/>
        </w:rPr>
      </w:pPr>
      <w:r>
        <w:rPr>
          <w:rFonts w:ascii="Times New Roman" w:cs="Times New Roman" w:eastAsia="Times New Roman" w:hAnsi="Times New Roman"/>
          <w:sz w:val="17"/>
          <w:szCs w:val="17"/>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spacing w:after="0" w:line="133" w:lineRule="exact"/>
        <w:rPr>
          <w:sz w:val="20"/>
          <w:szCs w:val="20"/>
          <w:color w:val="auto"/>
        </w:rPr>
      </w:pPr>
    </w:p>
    <w:p>
      <w:pPr>
        <w:jc w:val="both"/>
        <w:ind w:firstLine="496"/>
        <w:spacing w:after="0" w:line="248" w:lineRule="auto"/>
        <w:rPr>
          <w:sz w:val="20"/>
          <w:szCs w:val="20"/>
          <w:color w:val="auto"/>
        </w:rPr>
      </w:pPr>
      <w:r>
        <w:rPr>
          <w:rFonts w:ascii="Times New Roman" w:cs="Times New Roman" w:eastAsia="Times New Roman" w:hAnsi="Times New Roman"/>
          <w:sz w:val="17"/>
          <w:szCs w:val="17"/>
          <w:b w:val="1"/>
          <w:bCs w:val="1"/>
          <w:color w:val="auto"/>
        </w:rPr>
        <w:t>Section 9.03 Effect of Supplemental Indentures</w:t>
      </w:r>
      <w:r>
        <w:rPr>
          <w:rFonts w:ascii="Times New Roman" w:cs="Times New Roman" w:eastAsia="Times New Roman" w:hAnsi="Times New Roman"/>
          <w:sz w:val="17"/>
          <w:szCs w:val="17"/>
          <w:color w:val="auto"/>
        </w:rPr>
        <w:t>. Upon the execution of any supplemental indenture pursuant to the provisions of this Article or of Section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ectPr>
          <w:pgSz w:w="11900" w:h="16838" w:orient="portrait"/>
          <w:cols w:equalWidth="0" w:num="1">
            <w:col w:w="11280"/>
          </w:cols>
          <w:pgMar w:left="300" w:top="1287" w:right="319" w:bottom="1440" w:gutter="0" w:footer="0" w:header="0"/>
        </w:sectPr>
      </w:pPr>
    </w:p>
    <w:bookmarkStart w:id="85" w:name="page86"/>
    <w:bookmarkEnd w:id="85"/>
    <w:p>
      <w:pPr>
        <w:jc w:val="both"/>
        <w:ind w:firstLine="496"/>
        <w:spacing w:after="0" w:line="249" w:lineRule="auto"/>
        <w:rPr>
          <w:sz w:val="20"/>
          <w:szCs w:val="20"/>
          <w:color w:val="auto"/>
        </w:rPr>
      </w:pPr>
      <w:r>
        <w:rPr>
          <w:rFonts w:ascii="Times New Roman" w:cs="Times New Roman" w:eastAsia="Times New Roman" w:hAnsi="Times New Roman"/>
          <w:sz w:val="17"/>
          <w:szCs w:val="17"/>
          <w:b w:val="1"/>
          <w:bCs w:val="1"/>
          <w:color w:val="auto"/>
        </w:rPr>
        <w:t>Section 9.04 Securities Affected by Supplemental Indentures</w:t>
      </w:r>
      <w:r>
        <w:rPr>
          <w:rFonts w:ascii="Times New Roman" w:cs="Times New Roman" w:eastAsia="Times New Roman" w:hAnsi="Times New Roman"/>
          <w:sz w:val="17"/>
          <w:szCs w:val="17"/>
          <w:color w:val="auto"/>
        </w:rPr>
        <w:t>. Securities of any series affected by a supplemental indenture, authenticated and delivered after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execution of such supplemental indenture pursuant to the provisions of this Article or of Section 10.01,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spacing w:after="0" w:line="138" w:lineRule="exact"/>
        <w:rPr>
          <w:sz w:val="20"/>
          <w:szCs w:val="20"/>
          <w:color w:val="auto"/>
        </w:rPr>
      </w:pPr>
    </w:p>
    <w:p>
      <w:pPr>
        <w:jc w:val="both"/>
        <w:ind w:firstLine="496"/>
        <w:spacing w:after="0" w:line="247" w:lineRule="auto"/>
        <w:rPr>
          <w:sz w:val="20"/>
          <w:szCs w:val="20"/>
          <w:color w:val="auto"/>
        </w:rPr>
      </w:pPr>
      <w:r>
        <w:rPr>
          <w:rFonts w:ascii="Times New Roman" w:cs="Times New Roman" w:eastAsia="Times New Roman" w:hAnsi="Times New Roman"/>
          <w:sz w:val="17"/>
          <w:szCs w:val="17"/>
          <w:b w:val="1"/>
          <w:bCs w:val="1"/>
          <w:color w:val="auto"/>
        </w:rPr>
        <w:t>Section 9.05 Execution of Supplemental Indentures</w:t>
      </w:r>
      <w:r>
        <w:rPr>
          <w:rFonts w:ascii="Times New Roman" w:cs="Times New Roman" w:eastAsia="Times New Roman" w:hAnsi="Times New Roman"/>
          <w:sz w:val="17"/>
          <w:szCs w:val="17"/>
          <w:color w:val="auto"/>
        </w:rPr>
        <w:t>. Upon the request of the Company, accompanied by its Board Resolutions authorizing the execution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shall receive an Officer’s Certificate or an Opinion of Counsel as conclusive evidence that any supplemental indenture executed pursuant to this Article is authorized or permitted by the terms of this Article and that all conditions precedent to the execution of the supplemental indenture have been complied with; provided, however, that such Officer’s Certificate or Opinion of Counsel need not be provided in connection with the execution of a supplemental indenture that establishes the terms of a series of Securities pursuant to Section 2.01 hereof.</w:t>
      </w:r>
    </w:p>
    <w:p>
      <w:pPr>
        <w:spacing w:after="0" w:line="153" w:lineRule="exact"/>
        <w:rPr>
          <w:sz w:val="20"/>
          <w:szCs w:val="20"/>
          <w:color w:val="auto"/>
        </w:rPr>
      </w:pPr>
    </w:p>
    <w:p>
      <w:pPr>
        <w:jc w:val="both"/>
        <w:ind w:firstLine="496"/>
        <w:spacing w:after="0" w:line="268" w:lineRule="auto"/>
        <w:rPr>
          <w:sz w:val="20"/>
          <w:szCs w:val="20"/>
          <w:color w:val="auto"/>
        </w:rPr>
      </w:pPr>
      <w:r>
        <w:rPr>
          <w:rFonts w:ascii="Times New Roman" w:cs="Times New Roman" w:eastAsia="Times New Roman" w:hAnsi="Times New Roman"/>
          <w:sz w:val="16"/>
          <w:szCs w:val="16"/>
          <w:color w:val="auto"/>
        </w:rPr>
        <w:t>Promptly after the execution by the Company and the Trustee of any supplemental indenture pursuant to the provisions of this Section, the Company shall (or shall direct the Trustee to) send a notice, setting forth in general terms the substance of such supplemental indenture, to the Securityholders of all series affected thereby</w:t>
      </w:r>
    </w:p>
    <w:p>
      <w:pPr>
        <w:jc w:val="both"/>
        <w:spacing w:after="0" w:line="243" w:lineRule="auto"/>
        <w:rPr>
          <w:sz w:val="20"/>
          <w:szCs w:val="20"/>
          <w:color w:val="auto"/>
        </w:rPr>
      </w:pPr>
      <w:r>
        <w:rPr>
          <w:rFonts w:ascii="Times New Roman" w:cs="Times New Roman" w:eastAsia="Times New Roman" w:hAnsi="Times New Roman"/>
          <w:sz w:val="17"/>
          <w:szCs w:val="17"/>
          <w:color w:val="auto"/>
        </w:rPr>
        <w:t>.as their names and addresses appear upon the Security Register. Any failure of the Company to send, or cause the sending of, such notice, or any defect therein, shall not, however, in any way impair or affect the validity of any such supplemental indenture.</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10</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SUCCESSOR ENTITY</w:t>
      </w:r>
    </w:p>
    <w:p>
      <w:pPr>
        <w:spacing w:after="0" w:line="166"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7"/>
          <w:szCs w:val="17"/>
          <w:b w:val="1"/>
          <w:bCs w:val="1"/>
          <w:color w:val="auto"/>
        </w:rPr>
        <w:t xml:space="preserve">Section 10.01 Company May Consolidate, Etc. </w:t>
      </w:r>
      <w:r>
        <w:rPr>
          <w:rFonts w:ascii="Times New Roman" w:cs="Times New Roman" w:eastAsia="Times New Roman" w:hAnsi="Times New Roman"/>
          <w:sz w:val="17"/>
          <w:szCs w:val="17"/>
          <w:color w:val="auto"/>
        </w:rPr>
        <w:t>Nothing contained in this Indenture shall prevent any consolidation or merger of the Company with or into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Person (whether or not affiliated with the Company or its successor or successors); provided, however, the Company hereby covenants and agrees that, upon any such consolidation or merger (in each case,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ectPr>
          <w:pgSz w:w="11900" w:h="16838" w:orient="portrait"/>
          <w:cols w:equalWidth="0" w:num="1">
            <w:col w:w="11280"/>
          </w:cols>
          <w:pgMar w:left="300" w:top="1283" w:right="319" w:bottom="1440" w:gutter="0" w:footer="0" w:header="0"/>
        </w:sectPr>
      </w:pPr>
    </w:p>
    <w:bookmarkStart w:id="86" w:name="page87"/>
    <w:bookmarkEnd w:id="86"/>
    <w:p>
      <w:pPr>
        <w:jc w:val="both"/>
        <w:spacing w:after="0" w:line="267" w:lineRule="auto"/>
        <w:rPr>
          <w:sz w:val="20"/>
          <w:szCs w:val="20"/>
          <w:color w:val="auto"/>
        </w:rPr>
      </w:pPr>
      <w:r>
        <w:rPr>
          <w:rFonts w:ascii="Times New Roman" w:cs="Times New Roman" w:eastAsia="Times New Roman" w:hAnsi="Times New Roman"/>
          <w:sz w:val="16"/>
          <w:szCs w:val="16"/>
          <w:color w:val="auto"/>
        </w:rPr>
        <w:t>Company is not the survivor of such transaction) or any such sale, conveyance, transfer or other disposition (other than a sale, conveyance, transfer or other disposition to a Subsidiary of the Company),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reasonably satisfactory in form to the Trustee executed and delivered to the Trustee by the entity formed by such consolidation, or into which the Company shall have been merged, or by the entity which shall have acquired such property.</w:t>
      </w:r>
    </w:p>
    <w:p>
      <w:pPr>
        <w:spacing w:after="0" w:line="123" w:lineRule="exact"/>
        <w:rPr>
          <w:sz w:val="20"/>
          <w:szCs w:val="20"/>
          <w:color w:val="auto"/>
        </w:rPr>
      </w:pPr>
    </w:p>
    <w:p>
      <w:pPr>
        <w:ind w:left="500"/>
        <w:spacing w:after="0"/>
        <w:tabs>
          <w:tab w:leader="none" w:pos="1580" w:val="left"/>
        </w:tabs>
        <w:rPr>
          <w:sz w:val="20"/>
          <w:szCs w:val="20"/>
          <w:color w:val="auto"/>
        </w:rPr>
      </w:pPr>
      <w:r>
        <w:rPr>
          <w:rFonts w:ascii="Times New Roman" w:cs="Times New Roman" w:eastAsia="Times New Roman" w:hAnsi="Times New Roman"/>
          <w:sz w:val="17"/>
          <w:szCs w:val="17"/>
          <w:b w:val="1"/>
          <w:bCs w:val="1"/>
          <w:color w:val="auto"/>
        </w:rPr>
        <w:t>Section 10.02</w:t>
      </w:r>
      <w:r>
        <w:rPr>
          <w:sz w:val="20"/>
          <w:szCs w:val="20"/>
          <w:color w:val="auto"/>
        </w:rPr>
        <w:tab/>
      </w:r>
      <w:r>
        <w:rPr>
          <w:rFonts w:ascii="Times New Roman" w:cs="Times New Roman" w:eastAsia="Times New Roman" w:hAnsi="Times New Roman"/>
          <w:sz w:val="16"/>
          <w:szCs w:val="16"/>
          <w:b w:val="1"/>
          <w:bCs w:val="1"/>
          <w:color w:val="auto"/>
        </w:rPr>
        <w:t>Successor Entity Substituted</w:t>
      </w:r>
      <w:r>
        <w:rPr>
          <w:rFonts w:ascii="Times New Roman" w:cs="Times New Roman" w:eastAsia="Times New Roman" w:hAnsi="Times New Roman"/>
          <w:sz w:val="16"/>
          <w:szCs w:val="16"/>
          <w:color w:val="auto"/>
        </w:rPr>
        <w:t>.</w:t>
      </w:r>
    </w:p>
    <w:p>
      <w:pPr>
        <w:spacing w:after="0" w:line="170" w:lineRule="exact"/>
        <w:rPr>
          <w:sz w:val="20"/>
          <w:szCs w:val="20"/>
          <w:color w:val="auto"/>
        </w:rPr>
      </w:pPr>
    </w:p>
    <w:p>
      <w:pPr>
        <w:jc w:val="both"/>
        <w:ind w:firstLine="996"/>
        <w:spacing w:after="0" w:line="253" w:lineRule="auto"/>
        <w:tabs>
          <w:tab w:leader="none" w:pos="1444" w:val="left"/>
        </w:tabs>
        <w:numPr>
          <w:ilvl w:val="0"/>
          <w:numId w:val="9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case of any such consolidation, merger, sale, conveyance, transfer or other disposition and upon the assumption by the successor entity by supplemental indenture, executed and delivered to the Trustee and satisfactory in form to the Trustee, of the obligations set forth under Section 10.01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137" w:lineRule="exact"/>
        <w:rPr>
          <w:rFonts w:ascii="Times New Roman" w:cs="Times New Roman" w:eastAsia="Times New Roman" w:hAnsi="Times New Roman"/>
          <w:sz w:val="17"/>
          <w:szCs w:val="17"/>
          <w:b w:val="1"/>
          <w:bCs w:val="1"/>
          <w:color w:val="auto"/>
        </w:rPr>
      </w:pPr>
    </w:p>
    <w:p>
      <w:pPr>
        <w:ind w:firstLine="996"/>
        <w:spacing w:after="0" w:line="265" w:lineRule="auto"/>
        <w:tabs>
          <w:tab w:leader="none" w:pos="1464" w:val="left"/>
        </w:tabs>
        <w:numPr>
          <w:ilvl w:val="0"/>
          <w:numId w:val="9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case of any such consolidation, merger, sale, conveyance, transfer or other disposition, such changes in phraseology and form (but not in substance) may be made in the Securities thereafter to be issued as may be appropriate.</w:t>
      </w:r>
    </w:p>
    <w:p>
      <w:pPr>
        <w:spacing w:after="0" w:line="126" w:lineRule="exact"/>
        <w:rPr>
          <w:rFonts w:ascii="Times New Roman" w:cs="Times New Roman" w:eastAsia="Times New Roman" w:hAnsi="Times New Roman"/>
          <w:sz w:val="17"/>
          <w:szCs w:val="17"/>
          <w:b w:val="1"/>
          <w:bCs w:val="1"/>
          <w:color w:val="auto"/>
        </w:rPr>
      </w:pPr>
    </w:p>
    <w:p>
      <w:pPr>
        <w:jc w:val="both"/>
        <w:ind w:firstLine="996"/>
        <w:spacing w:after="0" w:line="259" w:lineRule="auto"/>
        <w:tabs>
          <w:tab w:leader="none" w:pos="1362" w:val="left"/>
        </w:tabs>
        <w:numPr>
          <w:ilvl w:val="0"/>
          <w:numId w:val="9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11</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SATISFACTION AND DISCHARGE</w:t>
      </w:r>
    </w:p>
    <w:p>
      <w:pPr>
        <w:spacing w:after="0" w:line="166"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7"/>
          <w:szCs w:val="17"/>
          <w:b w:val="1"/>
          <w:bCs w:val="1"/>
          <w:color w:val="auto"/>
        </w:rPr>
        <w:t>Section 11.01 Satisfaction and Discharge of Indenture</w:t>
      </w:r>
      <w:r>
        <w:rPr>
          <w:rFonts w:ascii="Times New Roman" w:cs="Times New Roman" w:eastAsia="Times New Roman" w:hAnsi="Times New Roman"/>
          <w:sz w:val="17"/>
          <w:szCs w:val="17"/>
          <w:color w:val="auto"/>
        </w:rPr>
        <w:t>. If at any time: (a) the Company shall have delivered to the Trustee for cancellation all Securities of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series theretofore authenticated and not delivered to the Trustee for cancellation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ectPr>
          <w:pgSz w:w="11900" w:h="16838" w:orient="portrait"/>
          <w:cols w:equalWidth="0" w:num="1">
            <w:col w:w="11280"/>
          </w:cols>
          <w:pgMar w:left="300" w:top="1287" w:right="319" w:bottom="1440" w:gutter="0" w:footer="0" w:header="0"/>
        </w:sectPr>
      </w:pPr>
    </w:p>
    <w:bookmarkStart w:id="87" w:name="page88"/>
    <w:bookmarkEnd w:id="87"/>
    <w:p>
      <w:pPr>
        <w:jc w:val="both"/>
        <w:spacing w:after="0" w:line="246" w:lineRule="auto"/>
        <w:rPr>
          <w:sz w:val="20"/>
          <w:szCs w:val="20"/>
          <w:color w:val="auto"/>
        </w:rPr>
      </w:pPr>
      <w:r>
        <w:rPr>
          <w:rFonts w:ascii="Times New Roman" w:cs="Times New Roman" w:eastAsia="Times New Roman" w:hAnsi="Times New Roman"/>
          <w:sz w:val="17"/>
          <w:szCs w:val="17"/>
          <w:color w:val="auto"/>
        </w:rPr>
        <w:t>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7.10, 11.05 and 13.04,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spacing w:after="0" w:line="151" w:lineRule="exact"/>
        <w:rPr>
          <w:sz w:val="20"/>
          <w:szCs w:val="20"/>
          <w:color w:val="auto"/>
        </w:rPr>
      </w:pPr>
    </w:p>
    <w:p>
      <w:pPr>
        <w:jc w:val="both"/>
        <w:ind w:firstLine="496"/>
        <w:spacing w:after="0" w:line="247" w:lineRule="auto"/>
        <w:rPr>
          <w:sz w:val="20"/>
          <w:szCs w:val="20"/>
          <w:color w:val="auto"/>
        </w:rPr>
      </w:pPr>
      <w:r>
        <w:rPr>
          <w:rFonts w:ascii="Times New Roman" w:cs="Times New Roman" w:eastAsia="Times New Roman" w:hAnsi="Times New Roman"/>
          <w:sz w:val="17"/>
          <w:szCs w:val="17"/>
          <w:b w:val="1"/>
          <w:bCs w:val="1"/>
          <w:color w:val="auto"/>
        </w:rPr>
        <w:t>Section 11.02 Discharge of Obligations</w:t>
      </w:r>
      <w:r>
        <w:rPr>
          <w:rFonts w:ascii="Times New Roman" w:cs="Times New Roman" w:eastAsia="Times New Roman" w:hAnsi="Times New Roman"/>
          <w:sz w:val="17"/>
          <w:szCs w:val="17"/>
          <w:color w:val="auto"/>
        </w:rPr>
        <w:t>. If at any time all such Securities of a particular series not heretofore delivered to the Trustee for cancellation or that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11.05 and 13.04 hereof that shall survive until such Securities shall mature and be paid.</w:t>
      </w:r>
    </w:p>
    <w:p>
      <w:pPr>
        <w:spacing w:after="0" w:line="1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Thereafter, Sections 7.06 and 11.05 shall survive.</w:t>
      </w:r>
    </w:p>
    <w:p>
      <w:pPr>
        <w:spacing w:after="0" w:line="162" w:lineRule="exact"/>
        <w:rPr>
          <w:sz w:val="20"/>
          <w:szCs w:val="20"/>
          <w:color w:val="auto"/>
        </w:rPr>
      </w:pPr>
    </w:p>
    <w:p>
      <w:pPr>
        <w:jc w:val="both"/>
        <w:ind w:firstLine="496"/>
        <w:spacing w:after="0" w:line="286" w:lineRule="auto"/>
        <w:rPr>
          <w:sz w:val="20"/>
          <w:szCs w:val="20"/>
          <w:color w:val="auto"/>
        </w:rPr>
      </w:pPr>
      <w:r>
        <w:rPr>
          <w:rFonts w:ascii="Times New Roman" w:cs="Times New Roman" w:eastAsia="Times New Roman" w:hAnsi="Times New Roman"/>
          <w:sz w:val="16"/>
          <w:szCs w:val="16"/>
          <w:b w:val="1"/>
          <w:bCs w:val="1"/>
          <w:color w:val="auto"/>
        </w:rPr>
        <w:t>Section 11.03 Deposited Moneys to be Held in Trust</w:t>
      </w:r>
      <w:r>
        <w:rPr>
          <w:rFonts w:ascii="Times New Roman" w:cs="Times New Roman" w:eastAsia="Times New Roman" w:hAnsi="Times New Roman"/>
          <w:sz w:val="16"/>
          <w:szCs w:val="16"/>
          <w:color w:val="auto"/>
        </w:rPr>
        <w:t>. All moneys or Governmental Obligations deposited with the Trustee pursuant to Sections 11.01 or 11.02</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spacing w:after="0" w:line="108"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7"/>
          <w:szCs w:val="17"/>
          <w:b w:val="1"/>
          <w:bCs w:val="1"/>
          <w:color w:val="auto"/>
        </w:rPr>
        <w:t>Section 11.04 Payment of Moneys Held by Paying Agents</w:t>
      </w:r>
      <w:r>
        <w:rPr>
          <w:rFonts w:ascii="Times New Roman" w:cs="Times New Roman" w:eastAsia="Times New Roman" w:hAnsi="Times New Roman"/>
          <w:sz w:val="17"/>
          <w:szCs w:val="17"/>
          <w:color w:val="auto"/>
        </w:rPr>
        <w:t>. In connection with the satisfaction and discharge of this Indenture all moneys or Governmental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pacing w:after="0" w:line="132" w:lineRule="exact"/>
        <w:rPr>
          <w:sz w:val="20"/>
          <w:szCs w:val="20"/>
          <w:color w:val="auto"/>
        </w:rPr>
      </w:pPr>
    </w:p>
    <w:p>
      <w:pPr>
        <w:jc w:val="both"/>
        <w:ind w:firstLine="496"/>
        <w:spacing w:after="0" w:line="283" w:lineRule="auto"/>
        <w:rPr>
          <w:sz w:val="20"/>
          <w:szCs w:val="20"/>
          <w:color w:val="auto"/>
        </w:rPr>
      </w:pPr>
      <w:r>
        <w:rPr>
          <w:rFonts w:ascii="Times New Roman" w:cs="Times New Roman" w:eastAsia="Times New Roman" w:hAnsi="Times New Roman"/>
          <w:sz w:val="17"/>
          <w:szCs w:val="17"/>
          <w:b w:val="1"/>
          <w:bCs w:val="1"/>
          <w:color w:val="auto"/>
        </w:rPr>
        <w:t>Section 11.05 Repayment to Company</w:t>
      </w:r>
      <w:r>
        <w:rPr>
          <w:rFonts w:ascii="Times New Roman" w:cs="Times New Roman" w:eastAsia="Times New Roman" w:hAnsi="Times New Roman"/>
          <w:sz w:val="17"/>
          <w:szCs w:val="17"/>
          <w:color w:val="auto"/>
        </w:rPr>
        <w:t>. Any moneys or Governmental Obligations deposited with any paying agent or the Trustee, or then held by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in trust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ectPr>
          <w:pgSz w:w="11900" w:h="16838" w:orient="portrait"/>
          <w:cols w:equalWidth="0" w:num="1">
            <w:col w:w="11280"/>
          </w:cols>
          <w:pgMar w:left="300" w:top="1287" w:right="319" w:bottom="1440" w:gutter="0" w:footer="0" w:header="0"/>
        </w:sectPr>
      </w:pPr>
    </w:p>
    <w:bookmarkStart w:id="88" w:name="page89"/>
    <w:bookmarkEnd w:id="88"/>
    <w:p>
      <w:pPr>
        <w:jc w:val="both"/>
        <w:spacing w:after="0" w:line="248" w:lineRule="auto"/>
        <w:rPr>
          <w:sz w:val="20"/>
          <w:szCs w:val="20"/>
          <w:color w:val="auto"/>
        </w:rPr>
      </w:pPr>
      <w:r>
        <w:rPr>
          <w:rFonts w:ascii="Times New Roman" w:cs="Times New Roman" w:eastAsia="Times New Roman" w:hAnsi="Times New Roman"/>
          <w:sz w:val="17"/>
          <w:szCs w:val="17"/>
          <w:color w:val="auto"/>
        </w:rPr>
        <w:t>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12</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IMMUNITY OF INCORPORATORS, STOCKHOLDERS, OFFICERS AND DIRECTORS</w:t>
      </w:r>
    </w:p>
    <w:p>
      <w:pPr>
        <w:spacing w:after="0" w:line="177" w:lineRule="exact"/>
        <w:rPr>
          <w:sz w:val="20"/>
          <w:szCs w:val="20"/>
          <w:color w:val="auto"/>
        </w:rPr>
      </w:pPr>
    </w:p>
    <w:p>
      <w:pPr>
        <w:jc w:val="both"/>
        <w:ind w:firstLine="496"/>
        <w:spacing w:after="0" w:line="245" w:lineRule="auto"/>
        <w:rPr>
          <w:sz w:val="20"/>
          <w:szCs w:val="20"/>
          <w:color w:val="auto"/>
        </w:rPr>
      </w:pPr>
      <w:r>
        <w:rPr>
          <w:rFonts w:ascii="Times New Roman" w:cs="Times New Roman" w:eastAsia="Times New Roman" w:hAnsi="Times New Roman"/>
          <w:sz w:val="17"/>
          <w:szCs w:val="17"/>
          <w:b w:val="1"/>
          <w:bCs w:val="1"/>
          <w:color w:val="auto"/>
        </w:rPr>
        <w:t>Section 12.01 No Recourse</w:t>
      </w:r>
      <w:r>
        <w:rPr>
          <w:rFonts w:ascii="Times New Roman" w:cs="Times New Roman" w:eastAsia="Times New Roman" w:hAnsi="Times New Roman"/>
          <w:sz w:val="17"/>
          <w:szCs w:val="17"/>
          <w:color w:val="auto"/>
        </w:rPr>
        <w:t>. No recourse under or upon any obligation, covenant or agreement of this Indenture, or of any Security, or for any claim based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13</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MISCELLANEOUS PROVISIONS</w:t>
      </w:r>
    </w:p>
    <w:p>
      <w:pPr>
        <w:spacing w:after="0" w:line="166" w:lineRule="exact"/>
        <w:rPr>
          <w:sz w:val="20"/>
          <w:szCs w:val="20"/>
          <w:color w:val="auto"/>
        </w:rPr>
      </w:pPr>
    </w:p>
    <w:p>
      <w:pPr>
        <w:jc w:val="both"/>
        <w:ind w:firstLine="496"/>
        <w:spacing w:after="0" w:line="270" w:lineRule="auto"/>
        <w:rPr>
          <w:sz w:val="20"/>
          <w:szCs w:val="20"/>
          <w:color w:val="auto"/>
        </w:rPr>
      </w:pPr>
      <w:r>
        <w:rPr>
          <w:rFonts w:ascii="Times New Roman" w:cs="Times New Roman" w:eastAsia="Times New Roman" w:hAnsi="Times New Roman"/>
          <w:sz w:val="17"/>
          <w:szCs w:val="17"/>
          <w:b w:val="1"/>
          <w:bCs w:val="1"/>
          <w:color w:val="auto"/>
        </w:rPr>
        <w:t>Section 13.01 Effect on Successors and Assigns</w:t>
      </w:r>
      <w:r>
        <w:rPr>
          <w:rFonts w:ascii="Times New Roman" w:cs="Times New Roman" w:eastAsia="Times New Roman" w:hAnsi="Times New Roman"/>
          <w:sz w:val="17"/>
          <w:szCs w:val="17"/>
          <w:color w:val="auto"/>
        </w:rPr>
        <w:t>. All the covenants, stipulations, promises and agreements in this Indenture made by or on behalf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shall bind its successors and assigns, whether so expressed or not.</w:t>
      </w:r>
    </w:p>
    <w:p>
      <w:pPr>
        <w:spacing w:after="0" w:line="119" w:lineRule="exact"/>
        <w:rPr>
          <w:sz w:val="20"/>
          <w:szCs w:val="20"/>
          <w:color w:val="auto"/>
        </w:rPr>
      </w:pPr>
    </w:p>
    <w:p>
      <w:pPr>
        <w:jc w:val="both"/>
        <w:ind w:firstLine="496"/>
        <w:spacing w:after="0" w:line="283" w:lineRule="auto"/>
        <w:rPr>
          <w:sz w:val="20"/>
          <w:szCs w:val="20"/>
          <w:color w:val="auto"/>
        </w:rPr>
      </w:pPr>
      <w:r>
        <w:rPr>
          <w:rFonts w:ascii="Times New Roman" w:cs="Times New Roman" w:eastAsia="Times New Roman" w:hAnsi="Times New Roman"/>
          <w:sz w:val="17"/>
          <w:szCs w:val="17"/>
          <w:b w:val="1"/>
          <w:bCs w:val="1"/>
          <w:color w:val="auto"/>
        </w:rPr>
        <w:t>Section 13.02 Actions by Successor</w:t>
      </w:r>
      <w:r>
        <w:rPr>
          <w:rFonts w:ascii="Times New Roman" w:cs="Times New Roman" w:eastAsia="Times New Roman" w:hAnsi="Times New Roman"/>
          <w:sz w:val="17"/>
          <w:szCs w:val="17"/>
          <w:color w:val="auto"/>
        </w:rPr>
        <w:t>. Any act or proceeding by any provision of this Indenture authorized or required to be done or performed by any board,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committee or officer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ectPr>
          <w:pgSz w:w="11900" w:h="16838" w:orient="portrait"/>
          <w:cols w:equalWidth="0" w:num="1">
            <w:col w:w="11280"/>
          </w:cols>
          <w:pgMar w:left="300" w:top="1287" w:right="319" w:bottom="1440" w:gutter="0" w:footer="0" w:header="0"/>
        </w:sectPr>
      </w:pPr>
    </w:p>
    <w:bookmarkStart w:id="89" w:name="page90"/>
    <w:bookmarkEnd w:id="89"/>
    <w:p>
      <w:pPr>
        <w:jc w:val="both"/>
        <w:spacing w:after="0" w:line="265" w:lineRule="auto"/>
        <w:rPr>
          <w:sz w:val="20"/>
          <w:szCs w:val="20"/>
          <w:color w:val="auto"/>
        </w:rPr>
      </w:pPr>
      <w:r>
        <w:rPr>
          <w:rFonts w:ascii="Times New Roman" w:cs="Times New Roman" w:eastAsia="Times New Roman" w:hAnsi="Times New Roman"/>
          <w:sz w:val="17"/>
          <w:szCs w:val="17"/>
          <w:color w:val="auto"/>
        </w:rPr>
        <w:t>the Company shall and may be done and performed with like force and effect by the corresponding board, committee or officer of any corporation that shall at the time be the lawful successor of the Company.</w:t>
      </w:r>
    </w:p>
    <w:p>
      <w:pPr>
        <w:spacing w:after="0" w:line="123" w:lineRule="exact"/>
        <w:rPr>
          <w:sz w:val="20"/>
          <w:szCs w:val="20"/>
          <w:color w:val="auto"/>
        </w:rPr>
      </w:pPr>
    </w:p>
    <w:p>
      <w:pPr>
        <w:jc w:val="both"/>
        <w:ind w:firstLine="496"/>
        <w:spacing w:after="0" w:line="262" w:lineRule="auto"/>
        <w:rPr>
          <w:sz w:val="20"/>
          <w:szCs w:val="20"/>
          <w:color w:val="auto"/>
        </w:rPr>
      </w:pPr>
      <w:r>
        <w:rPr>
          <w:rFonts w:ascii="Times New Roman" w:cs="Times New Roman" w:eastAsia="Times New Roman" w:hAnsi="Times New Roman"/>
          <w:sz w:val="17"/>
          <w:szCs w:val="17"/>
          <w:b w:val="1"/>
          <w:bCs w:val="1"/>
          <w:color w:val="auto"/>
        </w:rPr>
        <w:t>Section 13.03 Surrender of Company Powers</w:t>
      </w:r>
      <w:r>
        <w:rPr>
          <w:rFonts w:ascii="Times New Roman" w:cs="Times New Roman" w:eastAsia="Times New Roman" w:hAnsi="Times New Roman"/>
          <w:sz w:val="17"/>
          <w:szCs w:val="17"/>
          <w:color w:val="auto"/>
        </w:rPr>
        <w:t>. The Company by instrument in writing executed by authority of its Board of Directors and delivered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Trustee may surrender any of the powers reserved to the Company, and thereupon such power so surrendered shall terminate both as to the Company and as to any successor corporation.</w:t>
      </w:r>
    </w:p>
    <w:p>
      <w:pPr>
        <w:spacing w:after="0" w:line="125" w:lineRule="exact"/>
        <w:rPr>
          <w:sz w:val="20"/>
          <w:szCs w:val="20"/>
          <w:color w:val="auto"/>
        </w:rPr>
      </w:pPr>
    </w:p>
    <w:p>
      <w:pPr>
        <w:jc w:val="both"/>
        <w:ind w:firstLine="496"/>
        <w:spacing w:after="0" w:line="249" w:lineRule="auto"/>
        <w:rPr>
          <w:sz w:val="20"/>
          <w:szCs w:val="20"/>
          <w:color w:val="auto"/>
        </w:rPr>
      </w:pPr>
      <w:r>
        <w:rPr>
          <w:rFonts w:ascii="Times New Roman" w:cs="Times New Roman" w:eastAsia="Times New Roman" w:hAnsi="Times New Roman"/>
          <w:sz w:val="17"/>
          <w:szCs w:val="17"/>
          <w:b w:val="1"/>
          <w:bCs w:val="1"/>
          <w:color w:val="auto"/>
        </w:rPr>
        <w:t>Section 13.04 Notices</w:t>
      </w:r>
      <w:r>
        <w:rPr>
          <w:rFonts w:ascii="Times New Roman" w:cs="Times New Roman" w:eastAsia="Times New Roman" w:hAnsi="Times New Roman"/>
          <w:sz w:val="17"/>
          <w:szCs w:val="17"/>
          <w:color w:val="auto"/>
        </w:rPr>
        <w:t>. Except as otherwise expressly provided herein, any notice, request or demand that by any provision of this Indenture is required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permitted to be given, made or served by the Trustee, the Security Registrar, any paying or other agent under this Indenture or by the holders of Securities or by any other Person pursuant to this Indenture to or on the Company may be given or served by being deposited in first class mail, postage prepaid, addressed (until another address is filed in writing by the Company with the Trustee), as follows: </w:t>
      </w:r>
      <w:r>
        <w:rPr>
          <w:rFonts w:ascii="Times New Roman" w:cs="Times New Roman" w:eastAsia="Times New Roman" w:hAnsi="Times New Roman"/>
          <w:sz w:val="17"/>
          <w:szCs w:val="17"/>
          <w:color w:val="auto"/>
          <w:highlight w:val="white"/>
        </w:rPr>
        <w:t>. Any notice, election, request or demand by the Company or any Securityholder or by any other Person</w:t>
      </w:r>
      <w:r>
        <w:rPr>
          <w:rFonts w:ascii="Times New Roman" w:cs="Times New Roman" w:eastAsia="Times New Roman" w:hAnsi="Times New Roman"/>
          <w:sz w:val="17"/>
          <w:szCs w:val="17"/>
          <w:color w:val="auto"/>
        </w:rPr>
        <w:t xml:space="preserve"> pursuant to this Indenture to or upon the Trustee shall be deemed to have been sufficiently given or made, for all purposes, if given or made in writing at the Corporate Trust Office of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2663190</wp:posOffset>
            </wp:positionH>
            <wp:positionV relativeFrom="paragraph">
              <wp:posOffset>-276860</wp:posOffset>
            </wp:positionV>
            <wp:extent cx="26035"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26035" cy="6350"/>
                    </a:xfrm>
                    <a:prstGeom prst="rect">
                      <a:avLst/>
                    </a:prstGeom>
                    <a:noFill/>
                  </pic:spPr>
                </pic:pic>
              </a:graphicData>
            </a:graphic>
          </wp:anchor>
        </w:drawing>
      </w:r>
    </w:p>
    <w:p>
      <w:pPr>
        <w:spacing w:after="0" w:line="118" w:lineRule="exact"/>
        <w:rPr>
          <w:sz w:val="20"/>
          <w:szCs w:val="20"/>
          <w:color w:val="auto"/>
        </w:rPr>
      </w:pPr>
    </w:p>
    <w:p>
      <w:pPr>
        <w:jc w:val="both"/>
        <w:ind w:firstLine="496"/>
        <w:spacing w:after="0" w:line="270" w:lineRule="auto"/>
        <w:rPr>
          <w:sz w:val="20"/>
          <w:szCs w:val="20"/>
          <w:color w:val="auto"/>
        </w:rPr>
      </w:pPr>
      <w:r>
        <w:rPr>
          <w:rFonts w:ascii="Times New Roman" w:cs="Times New Roman" w:eastAsia="Times New Roman" w:hAnsi="Times New Roman"/>
          <w:sz w:val="17"/>
          <w:szCs w:val="17"/>
          <w:b w:val="1"/>
          <w:bCs w:val="1"/>
          <w:color w:val="auto"/>
        </w:rPr>
        <w:t>Section 13.05 Governing Law; Jury Trial Waiver</w:t>
      </w:r>
      <w:r>
        <w:rPr>
          <w:rFonts w:ascii="Times New Roman" w:cs="Times New Roman" w:eastAsia="Times New Roman" w:hAnsi="Times New Roman"/>
          <w:sz w:val="17"/>
          <w:szCs w:val="17"/>
          <w:color w:val="auto"/>
        </w:rPr>
        <w:t>. This Indenture and each Security shall be governed by, and construed in accordance with, the internal laws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State of New York, except to the extent that the Trust Indenture Act is applicable.</w:t>
      </w:r>
    </w:p>
    <w:p>
      <w:pPr>
        <w:spacing w:after="0" w:line="123"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7"/>
          <w:szCs w:val="17"/>
          <w:color w:val="auto"/>
        </w:rPr>
        <w:t>EACH PARTY HERETO, AND EACH HOLDER OF A SECURITY BY ACCEPTANCE THEREOF, HEREBY WAIVES, TO THE FULLEST EXTENT PERMITTED BY APPLICABLE LAW, ANY RIGHT IT MAY HAVE TO A TRIAL BY JURY IN RESPECT OF ANY LITIGATION DIRECTLY OR INDIRECTLY ARISING OUT OF, UNDER OR IN CONNECTION WITH THIS INDENTURE.</w:t>
      </w:r>
    </w:p>
    <w:p>
      <w:pPr>
        <w:spacing w:after="0" w:line="128" w:lineRule="exact"/>
        <w:rPr>
          <w:sz w:val="20"/>
          <w:szCs w:val="20"/>
          <w:color w:val="auto"/>
        </w:rPr>
      </w:pPr>
    </w:p>
    <w:p>
      <w:pPr>
        <w:jc w:val="both"/>
        <w:ind w:firstLine="496"/>
        <w:spacing w:after="0" w:line="270" w:lineRule="auto"/>
        <w:rPr>
          <w:sz w:val="20"/>
          <w:szCs w:val="20"/>
          <w:color w:val="auto"/>
        </w:rPr>
      </w:pPr>
      <w:r>
        <w:rPr>
          <w:rFonts w:ascii="Times New Roman" w:cs="Times New Roman" w:eastAsia="Times New Roman" w:hAnsi="Times New Roman"/>
          <w:sz w:val="17"/>
          <w:szCs w:val="17"/>
          <w:b w:val="1"/>
          <w:bCs w:val="1"/>
          <w:color w:val="auto"/>
        </w:rPr>
        <w:t>Section 13.06 Treatment of Securities as Debt</w:t>
      </w:r>
      <w:r>
        <w:rPr>
          <w:rFonts w:ascii="Times New Roman" w:cs="Times New Roman" w:eastAsia="Times New Roman" w:hAnsi="Times New Roman"/>
          <w:sz w:val="17"/>
          <w:szCs w:val="17"/>
          <w:color w:val="auto"/>
        </w:rPr>
        <w:t>. It is intended that the Securities will be treated as indebtedness and not as equity for federal income tax</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purposes. The provisions of this Indenture shall be interpreted to further this intention.</w:t>
      </w:r>
    </w:p>
    <w:p>
      <w:pPr>
        <w:spacing w:after="0" w:line="119" w:lineRule="exact"/>
        <w:rPr>
          <w:sz w:val="20"/>
          <w:szCs w:val="20"/>
          <w:color w:val="auto"/>
        </w:rPr>
      </w:pPr>
    </w:p>
    <w:p>
      <w:pPr>
        <w:ind w:left="500"/>
        <w:spacing w:after="0"/>
        <w:tabs>
          <w:tab w:leader="none" w:pos="1580" w:val="left"/>
        </w:tabs>
        <w:rPr>
          <w:sz w:val="20"/>
          <w:szCs w:val="20"/>
          <w:color w:val="auto"/>
        </w:rPr>
      </w:pPr>
      <w:r>
        <w:rPr>
          <w:rFonts w:ascii="Times New Roman" w:cs="Times New Roman" w:eastAsia="Times New Roman" w:hAnsi="Times New Roman"/>
          <w:sz w:val="17"/>
          <w:szCs w:val="17"/>
          <w:b w:val="1"/>
          <w:bCs w:val="1"/>
          <w:color w:val="auto"/>
        </w:rPr>
        <w:t>Section 13.07</w:t>
      </w:r>
      <w:r>
        <w:rPr>
          <w:sz w:val="20"/>
          <w:szCs w:val="20"/>
          <w:color w:val="auto"/>
        </w:rPr>
        <w:tab/>
      </w:r>
      <w:r>
        <w:rPr>
          <w:rFonts w:ascii="Times New Roman" w:cs="Times New Roman" w:eastAsia="Times New Roman" w:hAnsi="Times New Roman"/>
          <w:sz w:val="16"/>
          <w:szCs w:val="16"/>
          <w:b w:val="1"/>
          <w:bCs w:val="1"/>
          <w:color w:val="auto"/>
        </w:rPr>
        <w:t>Certificates and Opinions as to Conditions Precedent</w:t>
      </w:r>
      <w:r>
        <w:rPr>
          <w:rFonts w:ascii="Times New Roman" w:cs="Times New Roman" w:eastAsia="Times New Roman" w:hAnsi="Times New Roman"/>
          <w:sz w:val="16"/>
          <w:szCs w:val="16"/>
          <w:color w:val="auto"/>
        </w:rPr>
        <w:t>.</w:t>
      </w:r>
    </w:p>
    <w:p>
      <w:pPr>
        <w:spacing w:after="0" w:line="181" w:lineRule="exact"/>
        <w:rPr>
          <w:sz w:val="20"/>
          <w:szCs w:val="20"/>
          <w:color w:val="auto"/>
        </w:rPr>
      </w:pPr>
    </w:p>
    <w:p>
      <w:pPr>
        <w:jc w:val="both"/>
        <w:ind w:firstLine="996"/>
        <w:spacing w:after="0" w:line="266" w:lineRule="auto"/>
        <w:tabs>
          <w:tab w:leader="none" w:pos="1372" w:val="left"/>
        </w:tabs>
        <w:numPr>
          <w:ilvl w:val="0"/>
          <w:numId w:val="9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Upon any application or demand by the Company to the Trustee to take any action under any of the provisions of this Indenture, the Company shall furnish to the Trustee an Officer’s Certificate stating that all conditions precedent provided for in this Indenture (other than the certificate to be delivered pursuant to Section 13.12) relating to the proposed action have been complied with and, if requested,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ectPr>
          <w:pgSz w:w="11900" w:h="16838" w:orient="portrait"/>
          <w:cols w:equalWidth="0" w:num="1">
            <w:col w:w="11280"/>
          </w:cols>
          <w:pgMar w:left="300" w:top="1287" w:right="319" w:bottom="1440" w:gutter="0" w:footer="0" w:header="0"/>
        </w:sectPr>
      </w:pPr>
    </w:p>
    <w:bookmarkStart w:id="90" w:name="page91"/>
    <w:bookmarkEnd w:id="90"/>
    <w:p>
      <w:pPr>
        <w:jc w:val="both"/>
        <w:ind w:firstLine="996"/>
        <w:spacing w:after="0" w:line="248" w:lineRule="auto"/>
        <w:tabs>
          <w:tab w:leader="none" w:pos="1371" w:val="left"/>
        </w:tabs>
        <w:numPr>
          <w:ilvl w:val="0"/>
          <w:numId w:val="9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Each certificate or opinion provided for in this Indenture and delivered to the Trustee with respect to compliance with a condition or covenant in this Indenture (other than the certificate to be delivered pursuant to Section 13.12 of this Indenture or Section 314(a)(1) of the Trust Indenture Act)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spacing w:after="0" w:line="139" w:lineRule="exact"/>
        <w:rPr>
          <w:sz w:val="20"/>
          <w:szCs w:val="20"/>
          <w:color w:val="auto"/>
        </w:rPr>
      </w:pPr>
    </w:p>
    <w:p>
      <w:pPr>
        <w:jc w:val="both"/>
        <w:ind w:firstLine="496"/>
        <w:spacing w:after="0" w:line="276" w:lineRule="auto"/>
        <w:rPr>
          <w:sz w:val="20"/>
          <w:szCs w:val="20"/>
          <w:color w:val="auto"/>
        </w:rPr>
      </w:pPr>
      <w:r>
        <w:rPr>
          <w:rFonts w:ascii="Times New Roman" w:cs="Times New Roman" w:eastAsia="Times New Roman" w:hAnsi="Times New Roman"/>
          <w:sz w:val="16"/>
          <w:szCs w:val="16"/>
          <w:b w:val="1"/>
          <w:bCs w:val="1"/>
          <w:color w:val="auto"/>
        </w:rPr>
        <w:t>Section 13.08 Payments on Business Days</w:t>
      </w:r>
      <w:r>
        <w:rPr>
          <w:rFonts w:ascii="Times New Roman" w:cs="Times New Roman" w:eastAsia="Times New Roman" w:hAnsi="Times New Roman"/>
          <w:sz w:val="16"/>
          <w:szCs w:val="16"/>
          <w:color w:val="auto"/>
        </w:rPr>
        <w:t>. Except as provided pursuant to Section 2.01 pursuant to a Board Resolution, and set forth in an Officer’s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spacing w:after="0" w:line="115" w:lineRule="exact"/>
        <w:rPr>
          <w:sz w:val="20"/>
          <w:szCs w:val="20"/>
          <w:color w:val="auto"/>
        </w:rPr>
      </w:pPr>
    </w:p>
    <w:p>
      <w:pPr>
        <w:jc w:val="both"/>
        <w:ind w:firstLine="496"/>
        <w:spacing w:after="0" w:line="270" w:lineRule="auto"/>
        <w:rPr>
          <w:sz w:val="20"/>
          <w:szCs w:val="20"/>
          <w:color w:val="auto"/>
        </w:rPr>
      </w:pPr>
      <w:r>
        <w:rPr>
          <w:rFonts w:ascii="Times New Roman" w:cs="Times New Roman" w:eastAsia="Times New Roman" w:hAnsi="Times New Roman"/>
          <w:sz w:val="17"/>
          <w:szCs w:val="17"/>
          <w:b w:val="1"/>
          <w:bCs w:val="1"/>
          <w:color w:val="auto"/>
        </w:rPr>
        <w:t>Section 13.09 Conflict with Trust Indenture Act</w:t>
      </w:r>
      <w:r>
        <w:rPr>
          <w:rFonts w:ascii="Times New Roman" w:cs="Times New Roman" w:eastAsia="Times New Roman" w:hAnsi="Times New Roman"/>
          <w:sz w:val="17"/>
          <w:szCs w:val="17"/>
          <w:color w:val="auto"/>
        </w:rPr>
        <w:t>. If and to the extent that any provision of this Indenture limits, qualifies or conflicts with the duties imposed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by Section 318(c) of the Trust Indenture Act, such imposed duties shall control.</w:t>
      </w:r>
    </w:p>
    <w:p>
      <w:pPr>
        <w:spacing w:after="0" w:line="119"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7"/>
          <w:szCs w:val="17"/>
          <w:b w:val="1"/>
          <w:bCs w:val="1"/>
          <w:color w:val="auto"/>
        </w:rPr>
        <w:t>Section 13.10 Counterparts</w:t>
      </w:r>
      <w:r>
        <w:rPr>
          <w:rFonts w:ascii="Times New Roman" w:cs="Times New Roman" w:eastAsia="Times New Roman" w:hAnsi="Times New Roman"/>
          <w:sz w:val="17"/>
          <w:szCs w:val="17"/>
          <w:color w:val="auto"/>
        </w:rPr>
        <w:t>. This Indenture may be executed in any number of counterparts, each of which shall be an original, but such counterparts shall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31" w:lineRule="exact"/>
        <w:rPr>
          <w:sz w:val="20"/>
          <w:szCs w:val="20"/>
          <w:color w:val="auto"/>
        </w:rPr>
      </w:pPr>
    </w:p>
    <w:p>
      <w:pPr>
        <w:jc w:val="both"/>
        <w:ind w:firstLine="496"/>
        <w:spacing w:after="0" w:line="279" w:lineRule="auto"/>
        <w:rPr>
          <w:sz w:val="20"/>
          <w:szCs w:val="20"/>
          <w:color w:val="auto"/>
        </w:rPr>
      </w:pPr>
      <w:r>
        <w:rPr>
          <w:rFonts w:ascii="Times New Roman" w:cs="Times New Roman" w:eastAsia="Times New Roman" w:hAnsi="Times New Roman"/>
          <w:sz w:val="16"/>
          <w:szCs w:val="16"/>
          <w:b w:val="1"/>
          <w:bCs w:val="1"/>
          <w:color w:val="auto"/>
        </w:rPr>
        <w:t>Section 13.11 Separability</w:t>
      </w:r>
      <w:r>
        <w:rPr>
          <w:rFonts w:ascii="Times New Roman" w:cs="Times New Roman" w:eastAsia="Times New Roman" w:hAnsi="Times New Roman"/>
          <w:sz w:val="16"/>
          <w:szCs w:val="16"/>
          <w:color w:val="auto"/>
        </w:rPr>
        <w:t>. In case any one or more of the provisions contained in this Indenture or in the Securities of any series shall for any reason be held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24" w:lineRule="exact"/>
        <w:rPr>
          <w:sz w:val="20"/>
          <w:szCs w:val="20"/>
          <w:color w:val="auto"/>
        </w:rPr>
      </w:pPr>
    </w:p>
    <w:p>
      <w:pPr>
        <w:jc w:val="both"/>
        <w:ind w:firstLine="496"/>
        <w:spacing w:after="0" w:line="271" w:lineRule="auto"/>
        <w:rPr>
          <w:sz w:val="20"/>
          <w:szCs w:val="20"/>
          <w:color w:val="auto"/>
        </w:rPr>
      </w:pPr>
      <w:r>
        <w:rPr>
          <w:rFonts w:ascii="Times New Roman" w:cs="Times New Roman" w:eastAsia="Times New Roman" w:hAnsi="Times New Roman"/>
          <w:sz w:val="16"/>
          <w:szCs w:val="16"/>
          <w:b w:val="1"/>
          <w:bCs w:val="1"/>
          <w:color w:val="auto"/>
        </w:rPr>
        <w:t>Section 13.12 Compliance Certificates</w:t>
      </w:r>
      <w:r>
        <w:rPr>
          <w:rFonts w:ascii="Times New Roman" w:cs="Times New Roman" w:eastAsia="Times New Roman" w:hAnsi="Times New Roman"/>
          <w:sz w:val="16"/>
          <w:szCs w:val="16"/>
          <w:color w:val="auto"/>
        </w:rPr>
        <w:t>. The Company shall deliver to the Trustee, within 120 days after the end of each fiscal year during which any Securities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ectPr>
          <w:pgSz w:w="11900" w:h="16838" w:orient="portrait"/>
          <w:cols w:equalWidth="0" w:num="1">
            <w:col w:w="11280"/>
          </w:cols>
          <w:pgMar w:left="300" w:top="1287" w:right="319" w:bottom="1440" w:gutter="0" w:footer="0" w:header="0"/>
        </w:sectPr>
      </w:pPr>
    </w:p>
    <w:bookmarkStart w:id="91" w:name="page92"/>
    <w:bookmarkEnd w:id="91"/>
    <w:p>
      <w:pPr>
        <w:jc w:val="both"/>
        <w:spacing w:after="0" w:line="253" w:lineRule="auto"/>
        <w:rPr>
          <w:sz w:val="20"/>
          <w:szCs w:val="20"/>
          <w:color w:val="auto"/>
        </w:rPr>
      </w:pPr>
      <w:r>
        <w:rPr>
          <w:rFonts w:ascii="Times New Roman" w:cs="Times New Roman" w:eastAsia="Times New Roman" w:hAnsi="Times New Roman"/>
          <w:sz w:val="17"/>
          <w:szCs w:val="17"/>
          <w:color w:val="auto"/>
        </w:rPr>
        <w:t>covenants under this Indenture. For purposes of this Section 13.12,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w:t>
      </w:r>
    </w:p>
    <w:p>
      <w:pPr>
        <w:spacing w:after="0" w:line="143"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7"/>
          <w:szCs w:val="17"/>
          <w:b w:val="1"/>
          <w:bCs w:val="1"/>
          <w:color w:val="auto"/>
        </w:rPr>
        <w:t>Section 13.13 USA Patriot Act</w:t>
      </w:r>
      <w:r>
        <w:rPr>
          <w:rFonts w:ascii="Times New Roman" w:cs="Times New Roman" w:eastAsia="Times New Roman" w:hAnsi="Times New Roman"/>
          <w:sz w:val="17"/>
          <w:szCs w:val="17"/>
          <w:color w:val="auto"/>
        </w:rPr>
        <w:t>. The parties hereto acknowledge that in accordance with Section 326 of the U.S.A. Patriot Act, the Trustee, like all financial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34" w:lineRule="exact"/>
        <w:rPr>
          <w:sz w:val="20"/>
          <w:szCs w:val="20"/>
          <w:color w:val="auto"/>
        </w:rPr>
      </w:pPr>
    </w:p>
    <w:p>
      <w:pPr>
        <w:jc w:val="both"/>
        <w:ind w:firstLine="496"/>
        <w:spacing w:after="0" w:line="249" w:lineRule="auto"/>
        <w:rPr>
          <w:sz w:val="20"/>
          <w:szCs w:val="20"/>
          <w:color w:val="auto"/>
        </w:rPr>
      </w:pPr>
      <w:r>
        <w:rPr>
          <w:rFonts w:ascii="Times New Roman" w:cs="Times New Roman" w:eastAsia="Times New Roman" w:hAnsi="Times New Roman"/>
          <w:sz w:val="17"/>
          <w:szCs w:val="17"/>
          <w:b w:val="1"/>
          <w:bCs w:val="1"/>
          <w:color w:val="auto"/>
        </w:rPr>
        <w:t>Section 13.14 Force Majeure</w:t>
      </w:r>
      <w:r>
        <w:rPr>
          <w:rFonts w:ascii="Times New Roman" w:cs="Times New Roman" w:eastAsia="Times New Roman" w:hAnsi="Times New Roman"/>
          <w:sz w:val="17"/>
          <w:szCs w:val="17"/>
          <w:color w:val="auto"/>
        </w:rPr>
        <w:t>. In no event shall the Trustee, the Security Registrar, any paying agent or any other agent under this Indenture be responsible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or utilities, communications or computer (software and hardware) services; it being understood that the Trustee, the Security Registrar, any paying agent or any other agent under this Indenture shall use reasonable efforts which are consistent with accepted practices in the banking industry to resume performance as soon as practicable under the circumstances.</w:t>
      </w:r>
    </w:p>
    <w:p>
      <w:pPr>
        <w:spacing w:after="0" w:line="138" w:lineRule="exact"/>
        <w:rPr>
          <w:sz w:val="20"/>
          <w:szCs w:val="20"/>
          <w:color w:val="auto"/>
        </w:rPr>
      </w:pPr>
    </w:p>
    <w:p>
      <w:pPr>
        <w:jc w:val="both"/>
        <w:ind w:firstLine="496"/>
        <w:spacing w:after="0" w:line="283" w:lineRule="auto"/>
        <w:rPr>
          <w:sz w:val="20"/>
          <w:szCs w:val="20"/>
          <w:color w:val="auto"/>
        </w:rPr>
      </w:pPr>
      <w:r>
        <w:rPr>
          <w:rFonts w:ascii="Times New Roman" w:cs="Times New Roman" w:eastAsia="Times New Roman" w:hAnsi="Times New Roman"/>
          <w:sz w:val="17"/>
          <w:szCs w:val="17"/>
          <w:b w:val="1"/>
          <w:bCs w:val="1"/>
          <w:color w:val="auto"/>
        </w:rPr>
        <w:t xml:space="preserve">Section 13.15 Table of Contents; Headings. </w:t>
      </w:r>
      <w:r>
        <w:rPr>
          <w:rFonts w:ascii="Times New Roman" w:cs="Times New Roman" w:eastAsia="Times New Roman" w:hAnsi="Times New Roman"/>
          <w:sz w:val="17"/>
          <w:szCs w:val="17"/>
          <w:color w:val="auto"/>
        </w:rPr>
        <w:t>The table of contents and headings of the articles and sections of this Indenture have been inserted for convenience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reference only, are not intended to be considered a part hereof, and will not modify or restrict any of the terms or provisions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ectPr>
          <w:pgSz w:w="11900" w:h="16838" w:orient="portrait"/>
          <w:cols w:equalWidth="0" w:num="1">
            <w:col w:w="11280"/>
          </w:cols>
          <w:pgMar w:left="300" w:top="1287" w:right="319" w:bottom="1440" w:gutter="0" w:footer="0" w:header="0"/>
        </w:sectPr>
      </w:pPr>
    </w:p>
    <w:bookmarkStart w:id="92" w:name="page93"/>
    <w:bookmarkEnd w:id="92"/>
    <w:p>
      <w:pPr>
        <w:ind w:left="300"/>
        <w:spacing w:after="0"/>
        <w:rPr>
          <w:sz w:val="20"/>
          <w:szCs w:val="20"/>
          <w:color w:val="auto"/>
        </w:rPr>
      </w:pPr>
      <w:r>
        <w:rPr>
          <w:rFonts w:ascii="Times New Roman" w:cs="Times New Roman" w:eastAsia="Times New Roman" w:hAnsi="Times New Roman"/>
          <w:sz w:val="16"/>
          <w:szCs w:val="16"/>
          <w:b w:val="1"/>
          <w:bCs w:val="1"/>
          <w:color w:val="auto"/>
        </w:rPr>
        <w:t>IN WITNESS WHEREOF</w:t>
      </w:r>
      <w:r>
        <w:rPr>
          <w:rFonts w:ascii="Times New Roman" w:cs="Times New Roman" w:eastAsia="Times New Roman" w:hAnsi="Times New Roman"/>
          <w:sz w:val="16"/>
          <w:szCs w:val="16"/>
          <w:color w:val="auto"/>
        </w:rPr>
        <w:t>, the parties hereto have caused this Indenture to be duly executed all as of the day and year first above written.</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ACUMEN PHARMACEUTICALS, INC.</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3479800</wp:posOffset>
            </wp:positionH>
            <wp:positionV relativeFrom="paragraph">
              <wp:posOffset>13970</wp:posOffset>
            </wp:positionV>
            <wp:extent cx="3467100"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3467100" cy="6350"/>
                    </a:xfrm>
                    <a:prstGeom prst="rect">
                      <a:avLst/>
                    </a:prstGeom>
                    <a:noFill/>
                  </pic:spPr>
                </pic:pic>
              </a:graphicData>
            </a:graphic>
          </wp:anchor>
        </w:drawing>
      </w:r>
    </w:p>
    <w:p>
      <w:pPr>
        <w:spacing w:after="0" w:line="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Title:</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[TRUSTEE], as Trustee</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3479800</wp:posOffset>
            </wp:positionH>
            <wp:positionV relativeFrom="paragraph">
              <wp:posOffset>13970</wp:posOffset>
            </wp:positionV>
            <wp:extent cx="3467100"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3467100" cy="6350"/>
                    </a:xfrm>
                    <a:prstGeom prst="rect">
                      <a:avLst/>
                    </a:prstGeom>
                    <a:noFill/>
                  </pic:spPr>
                </pic:pic>
              </a:graphicData>
            </a:graphic>
          </wp:anchor>
        </w:drawing>
      </w:r>
    </w:p>
    <w:p>
      <w:pPr>
        <w:spacing w:after="0" w:line="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Acumen Pharmaceuticals, Inc. Indenture</w:t>
      </w:r>
      <w:r>
        <w:rPr>
          <w:rFonts w:ascii="Times New Roman" w:cs="Times New Roman" w:eastAsia="Times New Roman" w:hAnsi="Times New Roman"/>
          <w:sz w:val="17"/>
          <w:szCs w:val="17"/>
          <w:color w:val="auto"/>
        </w:rPr>
        <w:t>]</w:t>
      </w:r>
    </w:p>
    <w:p>
      <w:pPr>
        <w:sectPr>
          <w:pgSz w:w="11900" w:h="16838" w:orient="portrait"/>
          <w:cols w:equalWidth="0" w:num="1">
            <w:col w:w="9959"/>
          </w:cols>
          <w:pgMar w:left="500" w:top="1283" w:right="1440"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19"/>
        </w:trPr>
        <w:tc>
          <w:tcPr>
            <w:tcW w:w="4040" w:type="dxa"/>
            <w:vAlign w:val="bottom"/>
          </w:tcPr>
          <w:p>
            <w:pPr>
              <w:spacing w:after="0"/>
              <w:rPr>
                <w:sz w:val="19"/>
                <w:szCs w:val="19"/>
                <w:color w:val="auto"/>
              </w:rPr>
            </w:pPr>
          </w:p>
        </w:tc>
        <w:tc>
          <w:tcPr>
            <w:tcW w:w="7240" w:type="dxa"/>
            <w:vAlign w:val="bottom"/>
            <w:gridSpan w:val="3"/>
          </w:tcPr>
          <w:p>
            <w:pPr>
              <w:ind w:left="380"/>
              <w:spacing w:after="0"/>
              <w:rPr>
                <w:sz w:val="20"/>
                <w:szCs w:val="20"/>
                <w:color w:val="auto"/>
              </w:rPr>
            </w:pPr>
            <w:r>
              <w:rPr>
                <w:rFonts w:ascii="Times New Roman" w:cs="Times New Roman" w:eastAsia="Times New Roman" w:hAnsi="Times New Roman"/>
                <w:sz w:val="17"/>
                <w:szCs w:val="17"/>
                <w:b w:val="1"/>
                <w:bCs w:val="1"/>
                <w:color w:val="auto"/>
              </w:rPr>
              <w:t>CROSS-REFERENCE TABLE (1)</w:t>
            </w:r>
          </w:p>
        </w:tc>
      </w:tr>
      <w:tr>
        <w:trPr>
          <w:trHeight w:val="383"/>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Section of Trust Indenture Act of 1939, as Amended</w:t>
            </w:r>
          </w:p>
        </w:tc>
        <w:tc>
          <w:tcPr>
            <w:tcW w:w="41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Section of Indenture</w:t>
            </w:r>
          </w:p>
        </w:tc>
      </w:tr>
      <w:tr>
        <w:trPr>
          <w:trHeight w:val="219"/>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310(a)</w:t>
            </w:r>
          </w:p>
        </w:tc>
        <w:tc>
          <w:tcPr>
            <w:tcW w:w="7240" w:type="dxa"/>
            <w:vAlign w:val="bottom"/>
            <w:gridSpan w:val="3"/>
          </w:tcPr>
          <w:p>
            <w:pPr>
              <w:jc w:val="center"/>
              <w:ind w:left="4157"/>
              <w:spacing w:after="0"/>
              <w:rPr>
                <w:sz w:val="20"/>
                <w:szCs w:val="20"/>
                <w:color w:val="auto"/>
              </w:rPr>
            </w:pPr>
            <w:r>
              <w:rPr>
                <w:rFonts w:ascii="Times New Roman" w:cs="Times New Roman" w:eastAsia="Times New Roman" w:hAnsi="Times New Roman"/>
                <w:sz w:val="17"/>
                <w:szCs w:val="17"/>
                <w:color w:val="auto"/>
                <w:w w:val="93"/>
              </w:rPr>
              <w:t>7.09</w:t>
            </w:r>
          </w:p>
        </w:tc>
      </w:tr>
      <w:tr>
        <w:trPr>
          <w:trHeight w:val="207"/>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310(b)</w:t>
            </w:r>
          </w:p>
        </w:tc>
        <w:tc>
          <w:tcPr>
            <w:tcW w:w="7240" w:type="dxa"/>
            <w:vAlign w:val="bottom"/>
            <w:gridSpan w:val="3"/>
          </w:tcPr>
          <w:p>
            <w:pPr>
              <w:jc w:val="center"/>
              <w:ind w:left="4157"/>
              <w:spacing w:after="0"/>
              <w:rPr>
                <w:sz w:val="20"/>
                <w:szCs w:val="20"/>
                <w:color w:val="auto"/>
              </w:rPr>
            </w:pPr>
            <w:r>
              <w:rPr>
                <w:rFonts w:ascii="Times New Roman" w:cs="Times New Roman" w:eastAsia="Times New Roman" w:hAnsi="Times New Roman"/>
                <w:sz w:val="17"/>
                <w:szCs w:val="17"/>
                <w:color w:val="auto"/>
                <w:w w:val="93"/>
              </w:rPr>
              <w:t>7.08</w:t>
            </w:r>
          </w:p>
        </w:tc>
      </w:tr>
      <w:tr>
        <w:trPr>
          <w:trHeight w:val="207"/>
        </w:trPr>
        <w:tc>
          <w:tcPr>
            <w:tcW w:w="4040" w:type="dxa"/>
            <w:vAlign w:val="bottom"/>
          </w:tcPr>
          <w:p>
            <w:pPr>
              <w:spacing w:after="0"/>
              <w:rPr>
                <w:sz w:val="17"/>
                <w:szCs w:val="17"/>
                <w:color w:val="auto"/>
              </w:rPr>
            </w:pPr>
          </w:p>
        </w:tc>
        <w:tc>
          <w:tcPr>
            <w:tcW w:w="7240" w:type="dxa"/>
            <w:vAlign w:val="bottom"/>
            <w:gridSpan w:val="3"/>
          </w:tcPr>
          <w:p>
            <w:pPr>
              <w:jc w:val="center"/>
              <w:ind w:left="4157"/>
              <w:spacing w:after="0"/>
              <w:rPr>
                <w:sz w:val="20"/>
                <w:szCs w:val="20"/>
                <w:color w:val="auto"/>
              </w:rPr>
            </w:pPr>
            <w:r>
              <w:rPr>
                <w:rFonts w:ascii="Times New Roman" w:cs="Times New Roman" w:eastAsia="Times New Roman" w:hAnsi="Times New Roman"/>
                <w:sz w:val="17"/>
                <w:szCs w:val="17"/>
                <w:color w:val="auto"/>
                <w:w w:val="93"/>
              </w:rPr>
              <w:t>7.10</w:t>
            </w:r>
          </w:p>
        </w:tc>
      </w:tr>
      <w:tr>
        <w:trPr>
          <w:trHeight w:val="207"/>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310(c)</w:t>
            </w:r>
          </w:p>
        </w:tc>
        <w:tc>
          <w:tcPr>
            <w:tcW w:w="4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Inapplicable</w:t>
            </w:r>
          </w:p>
        </w:tc>
      </w:tr>
      <w:tr>
        <w:trPr>
          <w:trHeight w:val="207"/>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311(a)</w:t>
            </w:r>
          </w:p>
        </w:tc>
        <w:tc>
          <w:tcPr>
            <w:tcW w:w="7240" w:type="dxa"/>
            <w:vAlign w:val="bottom"/>
            <w:gridSpan w:val="3"/>
          </w:tcPr>
          <w:p>
            <w:pPr>
              <w:jc w:val="center"/>
              <w:ind w:left="4157"/>
              <w:spacing w:after="0"/>
              <w:rPr>
                <w:sz w:val="20"/>
                <w:szCs w:val="20"/>
                <w:color w:val="auto"/>
              </w:rPr>
            </w:pPr>
            <w:r>
              <w:rPr>
                <w:rFonts w:ascii="Times New Roman" w:cs="Times New Roman" w:eastAsia="Times New Roman" w:hAnsi="Times New Roman"/>
                <w:sz w:val="17"/>
                <w:szCs w:val="17"/>
                <w:color w:val="auto"/>
                <w:w w:val="93"/>
              </w:rPr>
              <w:t>7.13</w:t>
            </w:r>
          </w:p>
        </w:tc>
      </w:tr>
      <w:tr>
        <w:trPr>
          <w:trHeight w:val="207"/>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311(b)</w:t>
            </w:r>
          </w:p>
        </w:tc>
        <w:tc>
          <w:tcPr>
            <w:tcW w:w="7240" w:type="dxa"/>
            <w:vAlign w:val="bottom"/>
            <w:gridSpan w:val="3"/>
          </w:tcPr>
          <w:p>
            <w:pPr>
              <w:jc w:val="center"/>
              <w:ind w:left="4157"/>
              <w:spacing w:after="0"/>
              <w:rPr>
                <w:sz w:val="20"/>
                <w:szCs w:val="20"/>
                <w:color w:val="auto"/>
              </w:rPr>
            </w:pPr>
            <w:r>
              <w:rPr>
                <w:rFonts w:ascii="Times New Roman" w:cs="Times New Roman" w:eastAsia="Times New Roman" w:hAnsi="Times New Roman"/>
                <w:sz w:val="17"/>
                <w:szCs w:val="17"/>
                <w:color w:val="auto"/>
                <w:w w:val="93"/>
              </w:rPr>
              <w:t>7.13</w:t>
            </w:r>
          </w:p>
        </w:tc>
      </w:tr>
      <w:tr>
        <w:trPr>
          <w:trHeight w:val="207"/>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311(c)</w:t>
            </w:r>
          </w:p>
        </w:tc>
        <w:tc>
          <w:tcPr>
            <w:tcW w:w="4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Inapplicable</w:t>
            </w:r>
          </w:p>
        </w:tc>
      </w:tr>
      <w:tr>
        <w:trPr>
          <w:trHeight w:val="207"/>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312(a)</w:t>
            </w:r>
          </w:p>
        </w:tc>
        <w:tc>
          <w:tcPr>
            <w:tcW w:w="7240" w:type="dxa"/>
            <w:vAlign w:val="bottom"/>
            <w:gridSpan w:val="3"/>
          </w:tcPr>
          <w:p>
            <w:pPr>
              <w:jc w:val="center"/>
              <w:ind w:left="4157"/>
              <w:spacing w:after="0"/>
              <w:rPr>
                <w:sz w:val="20"/>
                <w:szCs w:val="20"/>
                <w:color w:val="auto"/>
              </w:rPr>
            </w:pPr>
            <w:r>
              <w:rPr>
                <w:rFonts w:ascii="Times New Roman" w:cs="Times New Roman" w:eastAsia="Times New Roman" w:hAnsi="Times New Roman"/>
                <w:sz w:val="17"/>
                <w:szCs w:val="17"/>
                <w:color w:val="auto"/>
                <w:w w:val="93"/>
              </w:rPr>
              <w:t>5.01</w:t>
            </w:r>
          </w:p>
        </w:tc>
      </w:tr>
      <w:tr>
        <w:trPr>
          <w:trHeight w:val="207"/>
        </w:trPr>
        <w:tc>
          <w:tcPr>
            <w:tcW w:w="404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5.02(a)</w:t>
            </w:r>
          </w:p>
        </w:tc>
      </w:tr>
      <w:tr>
        <w:trPr>
          <w:trHeight w:val="207"/>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312(b)</w:t>
            </w:r>
          </w:p>
        </w:tc>
        <w:tc>
          <w:tcPr>
            <w:tcW w:w="4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5.02(c)</w:t>
            </w:r>
          </w:p>
        </w:tc>
      </w:tr>
      <w:tr>
        <w:trPr>
          <w:trHeight w:val="207"/>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312(c)</w:t>
            </w:r>
          </w:p>
        </w:tc>
        <w:tc>
          <w:tcPr>
            <w:tcW w:w="4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5.02(c)</w:t>
            </w:r>
          </w:p>
        </w:tc>
      </w:tr>
      <w:tr>
        <w:trPr>
          <w:trHeight w:val="207"/>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313(a)</w:t>
            </w:r>
          </w:p>
        </w:tc>
        <w:tc>
          <w:tcPr>
            <w:tcW w:w="4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5.04(a)</w:t>
            </w:r>
          </w:p>
        </w:tc>
      </w:tr>
      <w:tr>
        <w:trPr>
          <w:trHeight w:val="207"/>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313(b)</w:t>
            </w:r>
          </w:p>
        </w:tc>
        <w:tc>
          <w:tcPr>
            <w:tcW w:w="4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5.04(b)</w:t>
            </w:r>
          </w:p>
        </w:tc>
      </w:tr>
      <w:tr>
        <w:trPr>
          <w:trHeight w:val="207"/>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313(c)</w:t>
            </w:r>
          </w:p>
        </w:tc>
        <w:tc>
          <w:tcPr>
            <w:tcW w:w="4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5.04(a)</w:t>
            </w:r>
          </w:p>
        </w:tc>
      </w:tr>
      <w:tr>
        <w:trPr>
          <w:trHeight w:val="207"/>
        </w:trPr>
        <w:tc>
          <w:tcPr>
            <w:tcW w:w="404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5.04(b)</w:t>
            </w:r>
          </w:p>
        </w:tc>
      </w:tr>
      <w:tr>
        <w:trPr>
          <w:trHeight w:val="207"/>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313(d)</w:t>
            </w:r>
          </w:p>
        </w:tc>
        <w:tc>
          <w:tcPr>
            <w:tcW w:w="4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5.04(c)</w:t>
            </w:r>
          </w:p>
        </w:tc>
      </w:tr>
      <w:tr>
        <w:trPr>
          <w:trHeight w:val="207"/>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314(a)</w:t>
            </w:r>
          </w:p>
        </w:tc>
        <w:tc>
          <w:tcPr>
            <w:tcW w:w="7240" w:type="dxa"/>
            <w:vAlign w:val="bottom"/>
            <w:gridSpan w:val="3"/>
          </w:tcPr>
          <w:p>
            <w:pPr>
              <w:jc w:val="center"/>
              <w:ind w:left="4157"/>
              <w:spacing w:after="0"/>
              <w:rPr>
                <w:sz w:val="20"/>
                <w:szCs w:val="20"/>
                <w:color w:val="auto"/>
              </w:rPr>
            </w:pPr>
            <w:r>
              <w:rPr>
                <w:rFonts w:ascii="Times New Roman" w:cs="Times New Roman" w:eastAsia="Times New Roman" w:hAnsi="Times New Roman"/>
                <w:sz w:val="17"/>
                <w:szCs w:val="17"/>
                <w:color w:val="auto"/>
                <w:w w:val="93"/>
              </w:rPr>
              <w:t>5.03</w:t>
            </w:r>
          </w:p>
        </w:tc>
      </w:tr>
      <w:tr>
        <w:trPr>
          <w:trHeight w:val="207"/>
        </w:trPr>
        <w:tc>
          <w:tcPr>
            <w:tcW w:w="4040" w:type="dxa"/>
            <w:vAlign w:val="bottom"/>
          </w:tcPr>
          <w:p>
            <w:pPr>
              <w:spacing w:after="0"/>
              <w:rPr>
                <w:sz w:val="17"/>
                <w:szCs w:val="17"/>
                <w:color w:val="auto"/>
              </w:rPr>
            </w:pPr>
          </w:p>
        </w:tc>
        <w:tc>
          <w:tcPr>
            <w:tcW w:w="7240" w:type="dxa"/>
            <w:vAlign w:val="bottom"/>
            <w:gridSpan w:val="3"/>
          </w:tcPr>
          <w:p>
            <w:pPr>
              <w:jc w:val="center"/>
              <w:ind w:left="4157"/>
              <w:spacing w:after="0"/>
              <w:rPr>
                <w:sz w:val="20"/>
                <w:szCs w:val="20"/>
                <w:color w:val="auto"/>
              </w:rPr>
            </w:pPr>
            <w:r>
              <w:rPr>
                <w:rFonts w:ascii="Times New Roman" w:cs="Times New Roman" w:eastAsia="Times New Roman" w:hAnsi="Times New Roman"/>
                <w:sz w:val="17"/>
                <w:szCs w:val="17"/>
                <w:color w:val="auto"/>
                <w:w w:val="93"/>
              </w:rPr>
              <w:t>13.12</w:t>
            </w:r>
          </w:p>
        </w:tc>
      </w:tr>
      <w:tr>
        <w:trPr>
          <w:trHeight w:val="207"/>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314(b)</w:t>
            </w:r>
          </w:p>
        </w:tc>
        <w:tc>
          <w:tcPr>
            <w:tcW w:w="4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Inapplicable</w:t>
            </w:r>
          </w:p>
        </w:tc>
      </w:tr>
      <w:tr>
        <w:trPr>
          <w:trHeight w:val="207"/>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314(c)</w:t>
            </w:r>
          </w:p>
        </w:tc>
        <w:tc>
          <w:tcPr>
            <w:tcW w:w="4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13.07(a)</w:t>
            </w:r>
          </w:p>
        </w:tc>
      </w:tr>
      <w:tr>
        <w:trPr>
          <w:trHeight w:val="207"/>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314(d)</w:t>
            </w:r>
          </w:p>
        </w:tc>
        <w:tc>
          <w:tcPr>
            <w:tcW w:w="4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Inapplicable</w:t>
            </w:r>
          </w:p>
        </w:tc>
      </w:tr>
      <w:tr>
        <w:trPr>
          <w:trHeight w:val="207"/>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314(e)</w:t>
            </w:r>
          </w:p>
        </w:tc>
        <w:tc>
          <w:tcPr>
            <w:tcW w:w="4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13.07(b)</w:t>
            </w:r>
          </w:p>
        </w:tc>
      </w:tr>
      <w:tr>
        <w:trPr>
          <w:trHeight w:val="207"/>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314(f)</w:t>
            </w:r>
          </w:p>
        </w:tc>
        <w:tc>
          <w:tcPr>
            <w:tcW w:w="4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Inapplicable</w:t>
            </w:r>
          </w:p>
        </w:tc>
      </w:tr>
      <w:tr>
        <w:trPr>
          <w:trHeight w:val="207"/>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315(a)</w:t>
            </w:r>
          </w:p>
        </w:tc>
        <w:tc>
          <w:tcPr>
            <w:tcW w:w="4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7.01(a)</w:t>
            </w:r>
          </w:p>
        </w:tc>
      </w:tr>
      <w:tr>
        <w:trPr>
          <w:trHeight w:val="207"/>
        </w:trPr>
        <w:tc>
          <w:tcPr>
            <w:tcW w:w="404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7.01(b)</w:t>
            </w:r>
          </w:p>
        </w:tc>
      </w:tr>
      <w:tr>
        <w:trPr>
          <w:trHeight w:val="207"/>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315(b)</w:t>
            </w:r>
          </w:p>
        </w:tc>
        <w:tc>
          <w:tcPr>
            <w:tcW w:w="7240" w:type="dxa"/>
            <w:vAlign w:val="bottom"/>
            <w:gridSpan w:val="3"/>
          </w:tcPr>
          <w:p>
            <w:pPr>
              <w:jc w:val="center"/>
              <w:ind w:left="4157"/>
              <w:spacing w:after="0"/>
              <w:rPr>
                <w:sz w:val="20"/>
                <w:szCs w:val="20"/>
                <w:color w:val="auto"/>
              </w:rPr>
            </w:pPr>
            <w:r>
              <w:rPr>
                <w:rFonts w:ascii="Times New Roman" w:cs="Times New Roman" w:eastAsia="Times New Roman" w:hAnsi="Times New Roman"/>
                <w:sz w:val="17"/>
                <w:szCs w:val="17"/>
                <w:color w:val="auto"/>
                <w:w w:val="93"/>
              </w:rPr>
              <w:t>7.14</w:t>
            </w:r>
          </w:p>
        </w:tc>
      </w:tr>
      <w:tr>
        <w:trPr>
          <w:trHeight w:val="207"/>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315(c)</w:t>
            </w:r>
          </w:p>
        </w:tc>
        <w:tc>
          <w:tcPr>
            <w:tcW w:w="7240" w:type="dxa"/>
            <w:vAlign w:val="bottom"/>
            <w:gridSpan w:val="3"/>
          </w:tcPr>
          <w:p>
            <w:pPr>
              <w:jc w:val="center"/>
              <w:ind w:left="4157"/>
              <w:spacing w:after="0"/>
              <w:rPr>
                <w:sz w:val="20"/>
                <w:szCs w:val="20"/>
                <w:color w:val="auto"/>
              </w:rPr>
            </w:pPr>
            <w:r>
              <w:rPr>
                <w:rFonts w:ascii="Times New Roman" w:cs="Times New Roman" w:eastAsia="Times New Roman" w:hAnsi="Times New Roman"/>
                <w:sz w:val="17"/>
                <w:szCs w:val="17"/>
                <w:color w:val="auto"/>
                <w:w w:val="93"/>
              </w:rPr>
              <w:t>7.01</w:t>
            </w:r>
          </w:p>
        </w:tc>
      </w:tr>
      <w:tr>
        <w:trPr>
          <w:trHeight w:val="207"/>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315(d)</w:t>
            </w:r>
          </w:p>
        </w:tc>
        <w:tc>
          <w:tcPr>
            <w:tcW w:w="4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7.01(b)</w:t>
            </w:r>
          </w:p>
        </w:tc>
      </w:tr>
      <w:tr>
        <w:trPr>
          <w:trHeight w:val="207"/>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315(e)</w:t>
            </w:r>
          </w:p>
        </w:tc>
        <w:tc>
          <w:tcPr>
            <w:tcW w:w="7240" w:type="dxa"/>
            <w:vAlign w:val="bottom"/>
            <w:gridSpan w:val="3"/>
          </w:tcPr>
          <w:p>
            <w:pPr>
              <w:jc w:val="center"/>
              <w:ind w:left="4157"/>
              <w:spacing w:after="0"/>
              <w:rPr>
                <w:sz w:val="20"/>
                <w:szCs w:val="20"/>
                <w:color w:val="auto"/>
              </w:rPr>
            </w:pPr>
            <w:r>
              <w:rPr>
                <w:rFonts w:ascii="Times New Roman" w:cs="Times New Roman" w:eastAsia="Times New Roman" w:hAnsi="Times New Roman"/>
                <w:sz w:val="17"/>
                <w:szCs w:val="17"/>
                <w:color w:val="auto"/>
                <w:w w:val="93"/>
              </w:rPr>
              <w:t>6.07</w:t>
            </w:r>
          </w:p>
        </w:tc>
      </w:tr>
      <w:tr>
        <w:trPr>
          <w:trHeight w:val="207"/>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316(a)</w:t>
            </w:r>
          </w:p>
        </w:tc>
        <w:tc>
          <w:tcPr>
            <w:tcW w:w="7240" w:type="dxa"/>
            <w:vAlign w:val="bottom"/>
            <w:gridSpan w:val="3"/>
          </w:tcPr>
          <w:p>
            <w:pPr>
              <w:jc w:val="center"/>
              <w:ind w:left="4157"/>
              <w:spacing w:after="0"/>
              <w:rPr>
                <w:sz w:val="20"/>
                <w:szCs w:val="20"/>
                <w:color w:val="auto"/>
              </w:rPr>
            </w:pPr>
            <w:r>
              <w:rPr>
                <w:rFonts w:ascii="Times New Roman" w:cs="Times New Roman" w:eastAsia="Times New Roman" w:hAnsi="Times New Roman"/>
                <w:sz w:val="17"/>
                <w:szCs w:val="17"/>
                <w:color w:val="auto"/>
                <w:w w:val="93"/>
              </w:rPr>
              <w:t>6.06</w:t>
            </w:r>
          </w:p>
        </w:tc>
      </w:tr>
      <w:tr>
        <w:trPr>
          <w:trHeight w:val="207"/>
        </w:trPr>
        <w:tc>
          <w:tcPr>
            <w:tcW w:w="4040" w:type="dxa"/>
            <w:vAlign w:val="bottom"/>
          </w:tcPr>
          <w:p>
            <w:pPr>
              <w:spacing w:after="0"/>
              <w:rPr>
                <w:sz w:val="17"/>
                <w:szCs w:val="17"/>
                <w:color w:val="auto"/>
              </w:rPr>
            </w:pPr>
          </w:p>
        </w:tc>
        <w:tc>
          <w:tcPr>
            <w:tcW w:w="7240" w:type="dxa"/>
            <w:vAlign w:val="bottom"/>
            <w:gridSpan w:val="3"/>
          </w:tcPr>
          <w:p>
            <w:pPr>
              <w:jc w:val="center"/>
              <w:ind w:left="4157"/>
              <w:spacing w:after="0"/>
              <w:rPr>
                <w:sz w:val="20"/>
                <w:szCs w:val="20"/>
                <w:color w:val="auto"/>
              </w:rPr>
            </w:pPr>
            <w:r>
              <w:rPr>
                <w:rFonts w:ascii="Times New Roman" w:cs="Times New Roman" w:eastAsia="Times New Roman" w:hAnsi="Times New Roman"/>
                <w:sz w:val="17"/>
                <w:szCs w:val="17"/>
                <w:color w:val="auto"/>
                <w:w w:val="93"/>
              </w:rPr>
              <w:t>8.04</w:t>
            </w:r>
          </w:p>
        </w:tc>
      </w:tr>
      <w:tr>
        <w:trPr>
          <w:trHeight w:val="207"/>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316(b)</w:t>
            </w:r>
          </w:p>
        </w:tc>
        <w:tc>
          <w:tcPr>
            <w:tcW w:w="7240" w:type="dxa"/>
            <w:vAlign w:val="bottom"/>
            <w:gridSpan w:val="3"/>
          </w:tcPr>
          <w:p>
            <w:pPr>
              <w:jc w:val="center"/>
              <w:ind w:left="4157"/>
              <w:spacing w:after="0"/>
              <w:rPr>
                <w:sz w:val="20"/>
                <w:szCs w:val="20"/>
                <w:color w:val="auto"/>
              </w:rPr>
            </w:pPr>
            <w:r>
              <w:rPr>
                <w:rFonts w:ascii="Times New Roman" w:cs="Times New Roman" w:eastAsia="Times New Roman" w:hAnsi="Times New Roman"/>
                <w:sz w:val="17"/>
                <w:szCs w:val="17"/>
                <w:color w:val="auto"/>
                <w:w w:val="93"/>
              </w:rPr>
              <w:t>6.04</w:t>
            </w:r>
          </w:p>
        </w:tc>
      </w:tr>
      <w:tr>
        <w:trPr>
          <w:trHeight w:val="207"/>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316(c)</w:t>
            </w:r>
          </w:p>
        </w:tc>
        <w:tc>
          <w:tcPr>
            <w:tcW w:w="7240" w:type="dxa"/>
            <w:vAlign w:val="bottom"/>
            <w:gridSpan w:val="3"/>
          </w:tcPr>
          <w:p>
            <w:pPr>
              <w:jc w:val="center"/>
              <w:ind w:left="4157"/>
              <w:spacing w:after="0"/>
              <w:rPr>
                <w:sz w:val="20"/>
                <w:szCs w:val="20"/>
                <w:color w:val="auto"/>
              </w:rPr>
            </w:pPr>
            <w:r>
              <w:rPr>
                <w:rFonts w:ascii="Times New Roman" w:cs="Times New Roman" w:eastAsia="Times New Roman" w:hAnsi="Times New Roman"/>
                <w:sz w:val="17"/>
                <w:szCs w:val="17"/>
                <w:color w:val="auto"/>
                <w:w w:val="93"/>
              </w:rPr>
              <w:t>8.01</w:t>
            </w:r>
          </w:p>
        </w:tc>
      </w:tr>
      <w:tr>
        <w:trPr>
          <w:trHeight w:val="207"/>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317(a)</w:t>
            </w:r>
          </w:p>
        </w:tc>
        <w:tc>
          <w:tcPr>
            <w:tcW w:w="7240" w:type="dxa"/>
            <w:vAlign w:val="bottom"/>
            <w:gridSpan w:val="3"/>
          </w:tcPr>
          <w:p>
            <w:pPr>
              <w:jc w:val="center"/>
              <w:ind w:left="4157"/>
              <w:spacing w:after="0"/>
              <w:rPr>
                <w:sz w:val="20"/>
                <w:szCs w:val="20"/>
                <w:color w:val="auto"/>
              </w:rPr>
            </w:pPr>
            <w:r>
              <w:rPr>
                <w:rFonts w:ascii="Times New Roman" w:cs="Times New Roman" w:eastAsia="Times New Roman" w:hAnsi="Times New Roman"/>
                <w:sz w:val="17"/>
                <w:szCs w:val="17"/>
                <w:color w:val="auto"/>
                <w:w w:val="93"/>
              </w:rPr>
              <w:t>6.02</w:t>
            </w:r>
          </w:p>
        </w:tc>
      </w:tr>
      <w:tr>
        <w:trPr>
          <w:trHeight w:val="207"/>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317(b)</w:t>
            </w:r>
          </w:p>
        </w:tc>
        <w:tc>
          <w:tcPr>
            <w:tcW w:w="7240" w:type="dxa"/>
            <w:vAlign w:val="bottom"/>
            <w:gridSpan w:val="3"/>
          </w:tcPr>
          <w:p>
            <w:pPr>
              <w:jc w:val="center"/>
              <w:ind w:left="4157"/>
              <w:spacing w:after="0"/>
              <w:rPr>
                <w:sz w:val="20"/>
                <w:szCs w:val="20"/>
                <w:color w:val="auto"/>
              </w:rPr>
            </w:pPr>
            <w:r>
              <w:rPr>
                <w:rFonts w:ascii="Times New Roman" w:cs="Times New Roman" w:eastAsia="Times New Roman" w:hAnsi="Times New Roman"/>
                <w:sz w:val="17"/>
                <w:szCs w:val="17"/>
                <w:color w:val="auto"/>
                <w:w w:val="93"/>
              </w:rPr>
              <w:t>4.03</w:t>
            </w:r>
          </w:p>
        </w:tc>
      </w:tr>
      <w:tr>
        <w:trPr>
          <w:trHeight w:val="215"/>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318(a)</w:t>
            </w:r>
          </w:p>
        </w:tc>
        <w:tc>
          <w:tcPr>
            <w:tcW w:w="7240" w:type="dxa"/>
            <w:vAlign w:val="bottom"/>
            <w:gridSpan w:val="3"/>
          </w:tcPr>
          <w:p>
            <w:pPr>
              <w:jc w:val="center"/>
              <w:ind w:left="4157"/>
              <w:spacing w:after="0"/>
              <w:rPr>
                <w:sz w:val="20"/>
                <w:szCs w:val="20"/>
                <w:color w:val="auto"/>
              </w:rPr>
            </w:pPr>
            <w:r>
              <w:rPr>
                <w:rFonts w:ascii="Times New Roman" w:cs="Times New Roman" w:eastAsia="Times New Roman" w:hAnsi="Times New Roman"/>
                <w:sz w:val="17"/>
                <w:szCs w:val="17"/>
                <w:color w:val="auto"/>
                <w:w w:val="93"/>
              </w:rPr>
              <w:t>13.09</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(1)This Cross-Reference Table does not constitute part of the Indenture and shall not have any bearing on the interpretation of any of its terms or provisions.</w:t>
      </w:r>
    </w:p>
    <w:p>
      <w:pPr>
        <w:sectPr>
          <w:pgSz w:w="11900" w:h="16838" w:orient="portrait"/>
          <w:cols w:equalWidth="0" w:num="1">
            <w:col w:w="11280"/>
          </w:cols>
          <w:pgMar w:left="300" w:top="1283" w:right="31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4"/>
          <w:szCs w:val="14"/>
          <w:b w:val="1"/>
          <w:bCs w:val="1"/>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ACUMEN PHARMACEUTICALS, INC.</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AND</w:t>
      </w:r>
    </w:p>
    <w:p>
      <w:pPr>
        <w:spacing w:after="0" w:line="16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7"/>
          <w:szCs w:val="17"/>
          <w:b w:val="1"/>
          <w:bCs w:val="1"/>
          <w:color w:val="auto"/>
        </w:rPr>
        <w:t>_____________, AS WARRANT AGENT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COMMON STOCK</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WARRANT AGREEMENT</w:t>
      </w:r>
    </w:p>
    <w:p>
      <w:pPr>
        <w:spacing w:after="0" w:line="16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b w:val="1"/>
          <w:bCs w:val="1"/>
          <w:color w:val="auto"/>
        </w:rPr>
        <w:t>DATED AS OF __________</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ACUMEN PHARMACEUTICALS, INC. FORM OF COMMON STOCK WARRANT AGREEMENT</w:t>
      </w:r>
    </w:p>
    <w:p>
      <w:pPr>
        <w:spacing w:after="0" w:line="166" w:lineRule="exact"/>
        <w:rPr>
          <w:sz w:val="20"/>
          <w:szCs w:val="20"/>
          <w:color w:val="auto"/>
        </w:rPr>
      </w:pPr>
    </w:p>
    <w:p>
      <w:pPr>
        <w:ind w:right="20" w:firstLine="496"/>
        <w:spacing w:after="0" w:line="262" w:lineRule="auto"/>
        <w:rPr>
          <w:sz w:val="20"/>
          <w:szCs w:val="20"/>
          <w:color w:val="auto"/>
        </w:rPr>
      </w:pPr>
      <w:r>
        <w:rPr>
          <w:rFonts w:ascii="Times New Roman" w:cs="Times New Roman" w:eastAsia="Times New Roman" w:hAnsi="Times New Roman"/>
          <w:sz w:val="17"/>
          <w:szCs w:val="17"/>
          <w:color w:val="auto"/>
        </w:rPr>
        <w:t xml:space="preserve">This </w:t>
      </w:r>
      <w:r>
        <w:rPr>
          <w:rFonts w:ascii="Times New Roman" w:cs="Times New Roman" w:eastAsia="Times New Roman" w:hAnsi="Times New Roman"/>
          <w:sz w:val="17"/>
          <w:szCs w:val="17"/>
          <w:b w:val="1"/>
          <w:bCs w:val="1"/>
          <w:color w:val="auto"/>
        </w:rPr>
        <w:t>COMMON STOCK WARRANT AGREEMENT</w:t>
      </w:r>
      <w:r>
        <w:rPr>
          <w:rFonts w:ascii="Times New Roman" w:cs="Times New Roman" w:eastAsia="Times New Roman" w:hAnsi="Times New Roman"/>
          <w:sz w:val="17"/>
          <w:szCs w:val="17"/>
          <w:color w:val="auto"/>
        </w:rPr>
        <w:t xml:space="preserve"> (this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xml:space="preserve">”), dated as of [•], between </w:t>
      </w:r>
      <w:r>
        <w:rPr>
          <w:rFonts w:ascii="Times New Roman" w:cs="Times New Roman" w:eastAsia="Times New Roman" w:hAnsi="Times New Roman"/>
          <w:sz w:val="17"/>
          <w:szCs w:val="17"/>
          <w:b w:val="1"/>
          <w:bCs w:val="1"/>
          <w:color w:val="auto"/>
        </w:rPr>
        <w:t>ACUMEN PHARMACEUTICALS, INC.</w:t>
      </w:r>
      <w:r>
        <w:rPr>
          <w:rFonts w:ascii="Times New Roman" w:cs="Times New Roman" w:eastAsia="Times New Roman" w:hAnsi="Times New Roman"/>
          <w:sz w:val="17"/>
          <w:szCs w:val="17"/>
          <w:color w:val="auto"/>
        </w:rPr>
        <w:t>, a Delaware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and [•], a [corporation] [national banking association] organized and existing under the laws of [•] and having a corporate trust office in [•], as warrant agent (the “</w:t>
      </w:r>
      <w:r>
        <w:rPr>
          <w:rFonts w:ascii="Times New Roman" w:cs="Times New Roman" w:eastAsia="Times New Roman" w:hAnsi="Times New Roman"/>
          <w:sz w:val="17"/>
          <w:szCs w:val="17"/>
          <w:b w:val="1"/>
          <w:bCs w:val="1"/>
          <w:i w:val="1"/>
          <w:iCs w:val="1"/>
          <w:color w:val="auto"/>
        </w:rPr>
        <w:t>Warrant Agent</w:t>
      </w:r>
      <w:r>
        <w:rPr>
          <w:rFonts w:ascii="Times New Roman" w:cs="Times New Roman" w:eastAsia="Times New Roman" w:hAnsi="Times New Roman"/>
          <w:sz w:val="17"/>
          <w:szCs w:val="17"/>
          <w:color w:val="auto"/>
        </w:rPr>
        <w:t>”).</w:t>
      </w:r>
    </w:p>
    <w:p>
      <w:pPr>
        <w:spacing w:after="0" w:line="125" w:lineRule="exact"/>
        <w:rPr>
          <w:sz w:val="20"/>
          <w:szCs w:val="20"/>
          <w:color w:val="auto"/>
        </w:rPr>
      </w:pPr>
    </w:p>
    <w:p>
      <w:pPr>
        <w:ind w:firstLine="496"/>
        <w:spacing w:after="0" w:line="251"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Company proposes to sell [If Warrants are sold with other securities —[title of such other securities being offered] (the “</w:t>
      </w:r>
      <w:r>
        <w:rPr>
          <w:rFonts w:ascii="Times New Roman" w:cs="Times New Roman" w:eastAsia="Times New Roman" w:hAnsi="Times New Roman"/>
          <w:sz w:val="17"/>
          <w:szCs w:val="17"/>
          <w:b w:val="1"/>
          <w:bCs w:val="1"/>
          <w:i w:val="1"/>
          <w:iCs w:val="1"/>
          <w:color w:val="auto"/>
        </w:rPr>
        <w:t>Other Securities</w:t>
      </w:r>
      <w:r>
        <w:rPr>
          <w:rFonts w:ascii="Times New Roman" w:cs="Times New Roman" w:eastAsia="Times New Roman" w:hAnsi="Times New Roman"/>
          <w:sz w:val="17"/>
          <w:szCs w:val="17"/>
          <w:color w:val="auto"/>
        </w:rPr>
        <w:t>”)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warrant certificates evidencing one or more warrants (the “</w:t>
      </w:r>
      <w:r>
        <w:rPr>
          <w:rFonts w:ascii="Times New Roman" w:cs="Times New Roman" w:eastAsia="Times New Roman" w:hAnsi="Times New Roman"/>
          <w:sz w:val="17"/>
          <w:szCs w:val="17"/>
          <w:b w:val="1"/>
          <w:bCs w:val="1"/>
          <w:i w:val="1"/>
          <w:iCs w:val="1"/>
          <w:color w:val="auto"/>
        </w:rPr>
        <w:t>Warrants</w:t>
      </w:r>
      <w:r>
        <w:rPr>
          <w:rFonts w:ascii="Times New Roman" w:cs="Times New Roman" w:eastAsia="Times New Roman" w:hAnsi="Times New Roman"/>
          <w:sz w:val="17"/>
          <w:szCs w:val="17"/>
          <w:color w:val="auto"/>
        </w:rPr>
        <w:t>” or, individually, a “</w:t>
      </w:r>
      <w:r>
        <w:rPr>
          <w:rFonts w:ascii="Times New Roman" w:cs="Times New Roman" w:eastAsia="Times New Roman" w:hAnsi="Times New Roman"/>
          <w:sz w:val="17"/>
          <w:szCs w:val="17"/>
          <w:b w:val="1"/>
          <w:bCs w:val="1"/>
          <w:i w:val="1"/>
          <w:iCs w:val="1"/>
          <w:color w:val="auto"/>
        </w:rPr>
        <w:t>Warrant</w:t>
      </w:r>
      <w:r>
        <w:rPr>
          <w:rFonts w:ascii="Times New Roman" w:cs="Times New Roman" w:eastAsia="Times New Roman" w:hAnsi="Times New Roman"/>
          <w:sz w:val="17"/>
          <w:szCs w:val="17"/>
          <w:color w:val="auto"/>
        </w:rPr>
        <w:t>”) representing the right to purchase Common Stock of the Company, par value $0.0001 per share (the “</w:t>
      </w:r>
      <w:r>
        <w:rPr>
          <w:rFonts w:ascii="Times New Roman" w:cs="Times New Roman" w:eastAsia="Times New Roman" w:hAnsi="Times New Roman"/>
          <w:sz w:val="17"/>
          <w:szCs w:val="17"/>
          <w:b w:val="1"/>
          <w:bCs w:val="1"/>
          <w:i w:val="1"/>
          <w:iCs w:val="1"/>
          <w:color w:val="auto"/>
        </w:rPr>
        <w:t>Warrant Securities</w:t>
      </w:r>
      <w:r>
        <w:rPr>
          <w:rFonts w:ascii="Times New Roman" w:cs="Times New Roman" w:eastAsia="Times New Roman" w:hAnsi="Times New Roman"/>
          <w:sz w:val="17"/>
          <w:szCs w:val="17"/>
          <w:color w:val="auto"/>
        </w:rPr>
        <w:t>”), such warrant certificates and other warrant certificates issued pursuant to this Agreement being herein called the “</w:t>
      </w:r>
      <w:r>
        <w:rPr>
          <w:rFonts w:ascii="Times New Roman" w:cs="Times New Roman" w:eastAsia="Times New Roman" w:hAnsi="Times New Roman"/>
          <w:sz w:val="17"/>
          <w:szCs w:val="17"/>
          <w:b w:val="1"/>
          <w:bCs w:val="1"/>
          <w:i w:val="1"/>
          <w:iCs w:val="1"/>
          <w:color w:val="auto"/>
        </w:rPr>
        <w:t>Warrant Certificates</w:t>
      </w:r>
      <w:r>
        <w:rPr>
          <w:rFonts w:ascii="Times New Roman" w:cs="Times New Roman" w:eastAsia="Times New Roman" w:hAnsi="Times New Roman"/>
          <w:sz w:val="17"/>
          <w:szCs w:val="17"/>
          <w:color w:val="auto"/>
        </w:rPr>
        <w:t>”; and</w:t>
      </w:r>
    </w:p>
    <w:p>
      <w:pPr>
        <w:spacing w:after="0" w:line="144" w:lineRule="exact"/>
        <w:rPr>
          <w:sz w:val="20"/>
          <w:szCs w:val="20"/>
          <w:color w:val="auto"/>
        </w:rPr>
      </w:pPr>
    </w:p>
    <w:p>
      <w:pPr>
        <w:ind w:firstLine="496"/>
        <w:spacing w:after="0" w:line="279"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the Company desires the Warrant Agent to act on behalf of the Company, and the Warrant Agent is willing so to act, in connection with the issuance,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registration, transfer, exchange, exercise and replacement of the Warrant Certificates, and in this Agreement wishes to set forth, among other things, the form and provisions of the Warrant Certificates and the terms and conditions on which they may be issued, registered, transferred, exchanged, exercised and replaced.</w:t>
      </w:r>
    </w:p>
    <w:p>
      <w:pPr>
        <w:spacing w:after="0" w:line="1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NOW THEREFORE</w:t>
      </w:r>
      <w:r>
        <w:rPr>
          <w:rFonts w:ascii="Times New Roman" w:cs="Times New Roman" w:eastAsia="Times New Roman" w:hAnsi="Times New Roman"/>
          <w:sz w:val="17"/>
          <w:szCs w:val="17"/>
          <w:color w:val="auto"/>
        </w:rPr>
        <w:t>, in consideration of the premises and of the mutual agreements herein contained, the parties hereto agree as follows: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1</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ISSUANCE OF WARRANTS AND EXECUTION AND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DELIVERY OF WARRANT CERTIFICATES</w:t>
      </w:r>
    </w:p>
    <w:p>
      <w:pPr>
        <w:spacing w:after="0" w:line="144" w:lineRule="exact"/>
        <w:rPr>
          <w:sz w:val="20"/>
          <w:szCs w:val="20"/>
          <w:color w:val="auto"/>
        </w:rPr>
      </w:pPr>
    </w:p>
    <w:p>
      <w:pPr>
        <w:ind w:right="220" w:firstLine="496"/>
        <w:spacing w:after="0" w:line="255" w:lineRule="auto"/>
        <w:rPr>
          <w:sz w:val="20"/>
          <w:szCs w:val="20"/>
          <w:color w:val="auto"/>
        </w:rPr>
      </w:pPr>
      <w:r>
        <w:rPr>
          <w:rFonts w:ascii="Times New Roman" w:cs="Times New Roman" w:eastAsia="Times New Roman" w:hAnsi="Times New Roman"/>
          <w:sz w:val="17"/>
          <w:szCs w:val="17"/>
          <w:b w:val="1"/>
          <w:bCs w:val="1"/>
          <w:color w:val="auto"/>
        </w:rPr>
        <w:t>1.1. Issuance of Warrants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If Warrants alone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—Upon issuance, each Warrant Certificate shall evidence one or more Warrants.] [</w:t>
      </w:r>
      <w:r>
        <w:rPr>
          <w:rFonts w:ascii="Times New Roman" w:cs="Times New Roman" w:eastAsia="Times New Roman" w:hAnsi="Times New Roman"/>
          <w:sz w:val="17"/>
          <w:szCs w:val="17"/>
          <w:b w:val="1"/>
          <w:bCs w:val="1"/>
          <w:i w:val="1"/>
          <w:iCs w:val="1"/>
          <w:color w:val="auto"/>
        </w:rPr>
        <w:t>If Other Securities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i w:val="1"/>
          <w:iCs w:val="1"/>
          <w:color w:val="auto"/>
        </w:rPr>
        <w:t xml:space="preserve">Warrants </w:t>
      </w:r>
      <w:r>
        <w:rPr>
          <w:rFonts w:ascii="Times New Roman" w:cs="Times New Roman" w:eastAsia="Times New Roman" w:hAnsi="Times New Roman"/>
          <w:sz w:val="17"/>
          <w:szCs w:val="17"/>
          <w:color w:val="auto"/>
        </w:rPr>
        <w:t>—Warrant Certificates will be issued in connection with the issuance of the Other Securities but shall be separately transferable and each Warrant Certificate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shall evidence one or more Warrants.] Each Warrant evidenced thereby shall represent the right, subject to the provisions contained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80"/>
          </w:cols>
          <w:pgMar w:left="300" w:top="123" w:right="319" w:bottom="1440" w:gutter="0" w:footer="0" w:header="0"/>
        </w:sectPr>
      </w:pPr>
    </w:p>
    <w:bookmarkStart w:id="95" w:name="page96"/>
    <w:bookmarkEnd w:id="95"/>
    <w:p>
      <w:pPr>
        <w:ind w:right="500"/>
        <w:spacing w:after="0" w:line="270" w:lineRule="auto"/>
        <w:rPr>
          <w:sz w:val="20"/>
          <w:szCs w:val="20"/>
          <w:color w:val="auto"/>
        </w:rPr>
      </w:pPr>
      <w:r>
        <w:rPr>
          <w:rFonts w:ascii="Times New Roman" w:cs="Times New Roman" w:eastAsia="Times New Roman" w:hAnsi="Times New Roman"/>
          <w:sz w:val="17"/>
          <w:szCs w:val="17"/>
          <w:color w:val="auto"/>
        </w:rPr>
        <w:t>and therein, to purchase one Warrant Security. [</w:t>
      </w:r>
      <w:r>
        <w:rPr>
          <w:rFonts w:ascii="Times New Roman" w:cs="Times New Roman" w:eastAsia="Times New Roman" w:hAnsi="Times New Roman"/>
          <w:sz w:val="17"/>
          <w:szCs w:val="17"/>
          <w:b w:val="1"/>
          <w:bCs w:val="1"/>
          <w:i w:val="1"/>
          <w:iCs w:val="1"/>
          <w:color w:val="auto"/>
        </w:rPr>
        <w:t>If Other Securities and Warrants</w:t>
      </w:r>
      <w:r>
        <w:rPr>
          <w:rFonts w:ascii="Times New Roman" w:cs="Times New Roman" w:eastAsia="Times New Roman" w:hAnsi="Times New Roman"/>
          <w:sz w:val="17"/>
          <w:szCs w:val="17"/>
          <w:color w:val="auto"/>
        </w:rPr>
        <w:t xml:space="preserve"> —Warrant Certificates will be issued with the Other Securities and each Warrant Certificate will evidence [•] Warrants for each [$[•] principal amount] [[•] shares] of Other Securities issued.]</w:t>
      </w:r>
    </w:p>
    <w:p>
      <w:pPr>
        <w:spacing w:after="0" w:line="119" w:lineRule="exact"/>
        <w:rPr>
          <w:sz w:val="20"/>
          <w:szCs w:val="20"/>
          <w:color w:val="auto"/>
        </w:rPr>
      </w:pPr>
    </w:p>
    <w:p>
      <w:pPr>
        <w:ind w:right="60" w:firstLine="496"/>
        <w:spacing w:after="0" w:line="247" w:lineRule="auto"/>
        <w:rPr>
          <w:sz w:val="20"/>
          <w:szCs w:val="20"/>
          <w:color w:val="auto"/>
        </w:rPr>
      </w:pPr>
      <w:r>
        <w:rPr>
          <w:rFonts w:ascii="Times New Roman" w:cs="Times New Roman" w:eastAsia="Times New Roman" w:hAnsi="Times New Roman"/>
          <w:sz w:val="17"/>
          <w:szCs w:val="17"/>
          <w:b w:val="1"/>
          <w:bCs w:val="1"/>
          <w:color w:val="auto"/>
        </w:rPr>
        <w:t>1.2. Execution and Delivery of Warrant Certificates</w:t>
      </w:r>
      <w:r>
        <w:rPr>
          <w:rFonts w:ascii="Times New Roman" w:cs="Times New Roman" w:eastAsia="Times New Roman" w:hAnsi="Times New Roman"/>
          <w:sz w:val="17"/>
          <w:szCs w:val="17"/>
          <w:color w:val="auto"/>
        </w:rPr>
        <w:t>. Each Warrant Certificate, whenever issued, shall be in registered form substantially in the form set forth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in </w:t>
      </w:r>
      <w:r>
        <w:rPr>
          <w:rFonts w:ascii="Times New Roman" w:cs="Times New Roman" w:eastAsia="Times New Roman" w:hAnsi="Times New Roman"/>
          <w:sz w:val="17"/>
          <w:szCs w:val="17"/>
          <w:b w:val="1"/>
          <w:bCs w:val="1"/>
          <w:color w:val="auto"/>
        </w:rPr>
        <w:t>Exhibit A</w:t>
      </w:r>
      <w:r>
        <w:rPr>
          <w:rFonts w:ascii="Times New Roman" w:cs="Times New Roman" w:eastAsia="Times New Roman" w:hAnsi="Times New Roman"/>
          <w:sz w:val="17"/>
          <w:szCs w:val="17"/>
          <w:color w:val="auto"/>
        </w:rPr>
        <w:t xml:space="preserve"> hereto, shall 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on which the Warrants may be listed, or to conform to usage. The Warrant Certificates shall be signed on behalf of the Company by any of its present or future chief executive officers, presidents, senior vice presidents, vice presidents, chief financial officers, chief legal officers, treasurers, assistant treasurers, controllers, assistant controllers, secretaries or assistant secretaries under its corporate seal reproduced thereon. Such signatures may be manual or facsimile signatures of such authorized officers and may be imprinted or otherwise reproduced on the Warrant Certificates. The seal of the Company may be in the form of a facsimile thereof and may be impressed, affixed, imprinted or otherwise reproduced on the Warrant Certificates.</w:t>
      </w:r>
    </w:p>
    <w:p>
      <w:pPr>
        <w:spacing w:after="0" w:line="143" w:lineRule="exact"/>
        <w:rPr>
          <w:sz w:val="20"/>
          <w:szCs w:val="20"/>
          <w:color w:val="auto"/>
        </w:rPr>
      </w:pPr>
    </w:p>
    <w:p>
      <w:pPr>
        <w:ind w:right="480" w:firstLine="496"/>
        <w:spacing w:after="0" w:line="259" w:lineRule="auto"/>
        <w:rPr>
          <w:sz w:val="20"/>
          <w:szCs w:val="20"/>
          <w:color w:val="auto"/>
        </w:rPr>
      </w:pPr>
      <w:r>
        <w:rPr>
          <w:rFonts w:ascii="Times New Roman" w:cs="Times New Roman" w:eastAsia="Times New Roman" w:hAnsi="Times New Roman"/>
          <w:sz w:val="17"/>
          <w:szCs w:val="17"/>
          <w:color w:val="auto"/>
        </w:rPr>
        <w:t>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w:t>
      </w:r>
    </w:p>
    <w:p>
      <w:pPr>
        <w:spacing w:after="0" w:line="132" w:lineRule="exact"/>
        <w:rPr>
          <w:sz w:val="20"/>
          <w:szCs w:val="20"/>
          <w:color w:val="auto"/>
        </w:rPr>
      </w:pPr>
    </w:p>
    <w:p>
      <w:pPr>
        <w:ind w:firstLine="496"/>
        <w:spacing w:after="0" w:line="250" w:lineRule="auto"/>
        <w:rPr>
          <w:sz w:val="20"/>
          <w:szCs w:val="20"/>
          <w:color w:val="auto"/>
        </w:rPr>
      </w:pPr>
      <w:r>
        <w:rPr>
          <w:rFonts w:ascii="Times New Roman" w:cs="Times New Roman" w:eastAsia="Times New Roman" w:hAnsi="Times New Roman"/>
          <w:sz w:val="17"/>
          <w:szCs w:val="17"/>
          <w:color w:val="auto"/>
        </w:rPr>
        <w:t>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w:t>
      </w:r>
    </w:p>
    <w:p>
      <w:pPr>
        <w:spacing w:after="0" w:line="136" w:lineRule="exact"/>
        <w:rPr>
          <w:sz w:val="20"/>
          <w:szCs w:val="20"/>
          <w:color w:val="auto"/>
        </w:rPr>
      </w:pPr>
    </w:p>
    <w:p>
      <w:pPr>
        <w:ind w:right="660" w:firstLine="496"/>
        <w:spacing w:after="0" w:line="270" w:lineRule="auto"/>
        <w:rPr>
          <w:sz w:val="20"/>
          <w:szCs w:val="20"/>
          <w:color w:val="auto"/>
        </w:rPr>
      </w:pPr>
      <w:r>
        <w:rPr>
          <w:rFonts w:ascii="Times New Roman" w:cs="Times New Roman" w:eastAsia="Times New Roman" w:hAnsi="Times New Roman"/>
          <w:sz w:val="17"/>
          <w:szCs w:val="17"/>
          <w:color w:val="auto"/>
        </w:rPr>
        <w:t>The term “</w:t>
      </w:r>
      <w:r>
        <w:rPr>
          <w:rFonts w:ascii="Times New Roman" w:cs="Times New Roman" w:eastAsia="Times New Roman" w:hAnsi="Times New Roman"/>
          <w:sz w:val="17"/>
          <w:szCs w:val="17"/>
          <w:b w:val="1"/>
          <w:bCs w:val="1"/>
          <w:i w:val="1"/>
          <w:iCs w:val="1"/>
          <w:color w:val="auto"/>
        </w:rPr>
        <w:t>holder</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i w:val="1"/>
          <w:iCs w:val="1"/>
          <w:color w:val="auto"/>
        </w:rPr>
        <w:t>holder of a Warrant Certificate</w:t>
      </w:r>
      <w:r>
        <w:rPr>
          <w:rFonts w:ascii="Times New Roman" w:cs="Times New Roman" w:eastAsia="Times New Roman" w:hAnsi="Times New Roman"/>
          <w:sz w:val="17"/>
          <w:szCs w:val="17"/>
          <w:color w:val="auto"/>
        </w:rPr>
        <w:t>” as used herein shall mean any person in whose name at the time any Warrant Certificate shall be registered upon the books to be maintained by the Warrant Agent for that purpose.</w:t>
      </w:r>
    </w:p>
    <w:p>
      <w:pPr>
        <w:spacing w:after="0" w:line="119" w:lineRule="exact"/>
        <w:rPr>
          <w:sz w:val="20"/>
          <w:szCs w:val="20"/>
          <w:color w:val="auto"/>
        </w:rPr>
      </w:pPr>
    </w:p>
    <w:p>
      <w:pPr>
        <w:ind w:firstLine="496"/>
        <w:spacing w:after="0" w:line="262" w:lineRule="auto"/>
        <w:rPr>
          <w:sz w:val="20"/>
          <w:szCs w:val="20"/>
          <w:color w:val="auto"/>
        </w:rPr>
      </w:pPr>
      <w:r>
        <w:rPr>
          <w:rFonts w:ascii="Times New Roman" w:cs="Times New Roman" w:eastAsia="Times New Roman" w:hAnsi="Times New Roman"/>
          <w:sz w:val="17"/>
          <w:szCs w:val="17"/>
          <w:b w:val="1"/>
          <w:bCs w:val="1"/>
          <w:color w:val="auto"/>
        </w:rPr>
        <w:t>1.3. Issuance of Warrant Certificates</w:t>
      </w:r>
      <w:r>
        <w:rPr>
          <w:rFonts w:ascii="Times New Roman" w:cs="Times New Roman" w:eastAsia="Times New Roman" w:hAnsi="Times New Roman"/>
          <w:sz w:val="17"/>
          <w:szCs w:val="17"/>
          <w:color w:val="auto"/>
        </w:rPr>
        <w:t>. Warrant Certificates evidencing the right to purchase Warrant Securities may be executed by the Company and delivered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the Warrant Agent upon the execution of this Agreement or from time to time thereafter. The Warrant Agent shall, upon receipt of Warrant Certificates duly executed on behalf of the Company, countersign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80"/>
          </w:cols>
          <w:pgMar w:left="300" w:top="1118" w:right="319" w:bottom="1440" w:gutter="0" w:footer="0" w:header="0"/>
        </w:sectPr>
      </w:pPr>
    </w:p>
    <w:bookmarkStart w:id="96" w:name="page97"/>
    <w:bookmarkEnd w:id="96"/>
    <w:p>
      <w:pPr>
        <w:jc w:val="center"/>
        <w:ind w:right="4260"/>
        <w:spacing w:after="0"/>
        <w:rPr>
          <w:sz w:val="20"/>
          <w:szCs w:val="20"/>
          <w:color w:val="auto"/>
        </w:rPr>
      </w:pPr>
      <w:r>
        <w:rPr>
          <w:rFonts w:ascii="Times New Roman" w:cs="Times New Roman" w:eastAsia="Times New Roman" w:hAnsi="Times New Roman"/>
          <w:sz w:val="16"/>
          <w:szCs w:val="16"/>
          <w:color w:val="auto"/>
        </w:rPr>
        <w:t>such Warrant Certificates and shall deliver such Warrant Certificates to or upon the order of the Company.</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2</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WARRANT PRICE, DURATION AND EXERCISE OF WARRANTS</w:t>
      </w:r>
    </w:p>
    <w:p>
      <w:pPr>
        <w:spacing w:after="0" w:line="177" w:lineRule="exact"/>
        <w:rPr>
          <w:sz w:val="20"/>
          <w:szCs w:val="20"/>
          <w:color w:val="auto"/>
        </w:rPr>
      </w:pPr>
    </w:p>
    <w:p>
      <w:pPr>
        <w:ind w:firstLine="496"/>
        <w:spacing w:after="0" w:line="251" w:lineRule="auto"/>
        <w:rPr>
          <w:sz w:val="20"/>
          <w:szCs w:val="20"/>
          <w:color w:val="auto"/>
        </w:rPr>
      </w:pPr>
      <w:r>
        <w:rPr>
          <w:rFonts w:ascii="Times New Roman" w:cs="Times New Roman" w:eastAsia="Times New Roman" w:hAnsi="Times New Roman"/>
          <w:sz w:val="17"/>
          <w:szCs w:val="17"/>
          <w:b w:val="1"/>
          <w:bCs w:val="1"/>
          <w:color w:val="auto"/>
        </w:rPr>
        <w:t>2.1. Warrant Price</w:t>
      </w:r>
      <w:r>
        <w:rPr>
          <w:rFonts w:ascii="Times New Roman" w:cs="Times New Roman" w:eastAsia="Times New Roman" w:hAnsi="Times New Roman"/>
          <w:sz w:val="17"/>
          <w:szCs w:val="17"/>
          <w:color w:val="auto"/>
        </w:rPr>
        <w:t>. During the period specified in Section 2.2, each Warrant shall, subject to the terms of this Agreement and the applicable Warrant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Certificate, entitle the holder thereof to purchase the number of Warrant Securities specified in the applicable Warrant Certificate at an exercise price of $[•] per Warrant Security, subject to adjustment upon the occurrence of certain events, as hereinafter provided. Such purchase price per Warrant Security is referred to in this Agreement as the “</w:t>
      </w:r>
      <w:r>
        <w:rPr>
          <w:rFonts w:ascii="Times New Roman" w:cs="Times New Roman" w:eastAsia="Times New Roman" w:hAnsi="Times New Roman"/>
          <w:sz w:val="17"/>
          <w:szCs w:val="17"/>
          <w:b w:val="1"/>
          <w:bCs w:val="1"/>
          <w:i w:val="1"/>
          <w:iCs w:val="1"/>
          <w:color w:val="auto"/>
        </w:rPr>
        <w:t>Warrant Price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w:t>
      </w:r>
    </w:p>
    <w:p>
      <w:pPr>
        <w:spacing w:after="0" w:line="134" w:lineRule="exact"/>
        <w:rPr>
          <w:sz w:val="20"/>
          <w:szCs w:val="20"/>
          <w:color w:val="auto"/>
        </w:rPr>
      </w:pPr>
    </w:p>
    <w:p>
      <w:pPr>
        <w:ind w:right="60" w:firstLine="496"/>
        <w:spacing w:after="0" w:line="255" w:lineRule="auto"/>
        <w:rPr>
          <w:sz w:val="20"/>
          <w:szCs w:val="20"/>
          <w:color w:val="auto"/>
        </w:rPr>
      </w:pPr>
      <w:r>
        <w:rPr>
          <w:rFonts w:ascii="Times New Roman" w:cs="Times New Roman" w:eastAsia="Times New Roman" w:hAnsi="Times New Roman"/>
          <w:sz w:val="17"/>
          <w:szCs w:val="17"/>
          <w:b w:val="1"/>
          <w:bCs w:val="1"/>
          <w:color w:val="auto"/>
        </w:rPr>
        <w:t>2.2. 2.2 Duration of Warrants</w:t>
      </w:r>
      <w:r>
        <w:rPr>
          <w:rFonts w:ascii="Times New Roman" w:cs="Times New Roman" w:eastAsia="Times New Roman" w:hAnsi="Times New Roman"/>
          <w:sz w:val="17"/>
          <w:szCs w:val="17"/>
          <w:color w:val="auto"/>
        </w:rPr>
        <w:t>. Each Warrant may be exercised in whole or in part at any time, as specified herein, on or after [the date thereof] [•] and at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before [•] p.m., [City] time, on [•] or such later date as the Company may designate by notice to the Warrant Agent and the holders of Warrant Certificates mailed to their addresses as set forth in the record books of the Warrant Agent (the “</w:t>
      </w:r>
      <w:r>
        <w:rPr>
          <w:rFonts w:ascii="Times New Roman" w:cs="Times New Roman" w:eastAsia="Times New Roman" w:hAnsi="Times New Roman"/>
          <w:sz w:val="17"/>
          <w:szCs w:val="17"/>
          <w:b w:val="1"/>
          <w:bCs w:val="1"/>
          <w:i w:val="1"/>
          <w:iCs w:val="1"/>
          <w:color w:val="auto"/>
        </w:rPr>
        <w:t>Expiration Date</w:t>
      </w:r>
      <w:r>
        <w:rPr>
          <w:rFonts w:ascii="Times New Roman" w:cs="Times New Roman" w:eastAsia="Times New Roman" w:hAnsi="Times New Roman"/>
          <w:sz w:val="17"/>
          <w:szCs w:val="17"/>
          <w:color w:val="auto"/>
        </w:rPr>
        <w:t>”). Each Warrant not exercised at or before [•] p.m., [City] time, on the Expiration Date shall become void, and all rights of the holder of the Warrant Certificate evidencing such Warrant under this Agreement shall cease.</w:t>
      </w:r>
    </w:p>
    <w:p>
      <w:pPr>
        <w:spacing w:after="0" w:line="131"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2.3.</w:t>
      </w:r>
      <w:r>
        <w:rPr>
          <w:sz w:val="20"/>
          <w:szCs w:val="20"/>
          <w:color w:val="auto"/>
        </w:rPr>
        <w:tab/>
      </w:r>
      <w:r>
        <w:rPr>
          <w:rFonts w:ascii="Times New Roman" w:cs="Times New Roman" w:eastAsia="Times New Roman" w:hAnsi="Times New Roman"/>
          <w:sz w:val="16"/>
          <w:szCs w:val="16"/>
          <w:b w:val="1"/>
          <w:bCs w:val="1"/>
          <w:color w:val="auto"/>
        </w:rPr>
        <w:t>Exercise of Warrants</w:t>
      </w:r>
      <w:r>
        <w:rPr>
          <w:rFonts w:ascii="Times New Roman" w:cs="Times New Roman" w:eastAsia="Times New Roman" w:hAnsi="Times New Roman"/>
          <w:sz w:val="16"/>
          <w:szCs w:val="16"/>
          <w:color w:val="auto"/>
        </w:rPr>
        <w:t>.</w:t>
      </w:r>
    </w:p>
    <w:p>
      <w:pPr>
        <w:spacing w:after="0" w:line="170" w:lineRule="exact"/>
        <w:rPr>
          <w:sz w:val="20"/>
          <w:szCs w:val="20"/>
          <w:color w:val="auto"/>
        </w:rPr>
      </w:pPr>
    </w:p>
    <w:p>
      <w:pPr>
        <w:ind w:firstLine="996"/>
        <w:spacing w:after="0" w:line="246" w:lineRule="auto"/>
        <w:tabs>
          <w:tab w:leader="none" w:pos="1351" w:val="left"/>
        </w:tabs>
        <w:numPr>
          <w:ilvl w:val="0"/>
          <w:numId w:val="9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During the period specified in Section 2.2, the Warrants may be exercised to purchase a whole number of Warrant Securities in registered form by providing certain information as set forth on the reverse side of the Warrant Certificate and by paying in full, in lawful money of the United States of America, [in cash or by certified check or official bank check in New York Clearing House funds] [by bank wire transfer in immediately available funds] the Warrant Price for each Warrant Security with respect to which a Warrant is being exercised to the Warrant Agent at its corporate trust office, provided that such exercise is subject to receipt within five business days of such payment by the Warrant Agent of the Warrant Certificate with the form of election to purchase Warrant Securities set forth on the reverse side of the Warrant Certificate properly completed and duly executed. The date on which payment in full of the Warrant Price is received by the Warrant Agent shall, subject to receipt of the Warrant Certificate as aforesaid, be deemed to be the date on which the Warrant is exercised; provided, however, that if, at the date of receipt of such Warrant Certificates and payment in full of the Warrant Price, the transfer books for the Warrant Securities purchasable upon the exercise of such Warrants shall be closed, no such receipt of such Warrant Certificates and no such payment of such Warrant Price shall be effective to constitute the person so designated to be named as the holder of record of such Warrant Securities on such date, but shall be effective to constitute such person as the holder of record of such Warrant Securities for all purposes at the opening of business on the next succeeding day on which the transfer books for the Warrant Securities purchasable upon the exercise of such Warrants shall be opened, and the certificates for the Warrant Securities in respect of which such Warrants are then exercised shall be issuable as of the date on such next succeeding day on which the transfer books shall next be opened, and until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80"/>
          </w:cols>
          <w:pgMar w:left="300" w:top="1122" w:right="319" w:bottom="1440" w:gutter="0" w:footer="0" w:header="0"/>
        </w:sectPr>
      </w:pPr>
    </w:p>
    <w:bookmarkStart w:id="97" w:name="page98"/>
    <w:bookmarkEnd w:id="97"/>
    <w:p>
      <w:pPr>
        <w:ind w:right="120"/>
        <w:spacing w:after="0" w:line="276" w:lineRule="auto"/>
        <w:rPr>
          <w:sz w:val="20"/>
          <w:szCs w:val="20"/>
          <w:color w:val="auto"/>
        </w:rPr>
      </w:pPr>
      <w:r>
        <w:rPr>
          <w:rFonts w:ascii="Times New Roman" w:cs="Times New Roman" w:eastAsia="Times New Roman" w:hAnsi="Times New Roman"/>
          <w:sz w:val="16"/>
          <w:szCs w:val="16"/>
          <w:color w:val="auto"/>
        </w:rPr>
        <w:t>such date the Company shall be under no duty to deliver any certificate for such Warrant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w:t>
      </w:r>
    </w:p>
    <w:p>
      <w:pPr>
        <w:spacing w:after="0" w:line="131" w:lineRule="exact"/>
        <w:rPr>
          <w:sz w:val="20"/>
          <w:szCs w:val="20"/>
          <w:color w:val="auto"/>
        </w:rPr>
      </w:pPr>
    </w:p>
    <w:p>
      <w:pPr>
        <w:ind w:right="20" w:firstLine="996"/>
        <w:spacing w:after="0" w:line="249" w:lineRule="auto"/>
        <w:tabs>
          <w:tab w:leader="none" w:pos="1360" w:val="left"/>
        </w:tabs>
        <w:numPr>
          <w:ilvl w:val="0"/>
          <w:numId w:val="9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Warrant Agent shall, from time to time, as promptly as practicable, advise the Company of (i) the number of Warrant Securities with respect to which Warrants were exercised, (ii) the instructions of each holder of the Warrant Certificates evidencing such Warrants with respect to delivery of the Warrant Securities to which such holder is entitled upon such exercise, (iii) delivery of Warrant Certificates evidencing the balance, if any, of the Warrants for the remaining Warrant Securities after such exercise, and (iv) such other information as the Company shall reasonably require.</w:t>
      </w:r>
    </w:p>
    <w:p>
      <w:pPr>
        <w:spacing w:after="0" w:line="140" w:lineRule="exact"/>
        <w:rPr>
          <w:rFonts w:ascii="Times New Roman" w:cs="Times New Roman" w:eastAsia="Times New Roman" w:hAnsi="Times New Roman"/>
          <w:sz w:val="17"/>
          <w:szCs w:val="17"/>
          <w:b w:val="1"/>
          <w:bCs w:val="1"/>
          <w:color w:val="auto"/>
        </w:rPr>
      </w:pPr>
    </w:p>
    <w:p>
      <w:pPr>
        <w:ind w:right="100" w:firstLine="996"/>
        <w:spacing w:after="0" w:line="274" w:lineRule="auto"/>
        <w:tabs>
          <w:tab w:leader="none" w:pos="1342" w:val="left"/>
        </w:tabs>
        <w:numPr>
          <w:ilvl w:val="0"/>
          <w:numId w:val="9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soon as practicable after the exercise of any Warrant, the Company shall issue to or upon the order of the holder of the Warrant Certificate evidencing such Warrant the Warrant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Securities remaining unexercised.</w:t>
      </w:r>
    </w:p>
    <w:p>
      <w:pPr>
        <w:spacing w:after="0" w:line="121" w:lineRule="exact"/>
        <w:rPr>
          <w:rFonts w:ascii="Times New Roman" w:cs="Times New Roman" w:eastAsia="Times New Roman" w:hAnsi="Times New Roman"/>
          <w:sz w:val="16"/>
          <w:szCs w:val="16"/>
          <w:b w:val="1"/>
          <w:bCs w:val="1"/>
          <w:color w:val="auto"/>
        </w:rPr>
      </w:pPr>
    </w:p>
    <w:p>
      <w:pPr>
        <w:ind w:right="180" w:firstLine="996"/>
        <w:spacing w:after="0" w:line="276" w:lineRule="auto"/>
        <w:tabs>
          <w:tab w:leader="none" w:pos="1360" w:val="left"/>
        </w:tabs>
        <w:numPr>
          <w:ilvl w:val="0"/>
          <w:numId w:val="9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shall not be required to pay any stamp or other tax or other governmental charge required to be paid in connection with any transfer involved in the issue of the Warrant Securities, and in the event that any such transfer is involved, the Company shall not be required to issue or deliver any Warrant Security until such tax or other charge shall have been paid or it has been established to the Company’s satisfaction that no such tax or other charge is due.</w:t>
      </w:r>
    </w:p>
    <w:p>
      <w:pPr>
        <w:spacing w:after="0" w:line="130" w:lineRule="exact"/>
        <w:rPr>
          <w:rFonts w:ascii="Times New Roman" w:cs="Times New Roman" w:eastAsia="Times New Roman" w:hAnsi="Times New Roman"/>
          <w:sz w:val="16"/>
          <w:szCs w:val="16"/>
          <w:b w:val="1"/>
          <w:bCs w:val="1"/>
          <w:color w:val="auto"/>
        </w:rPr>
      </w:pPr>
    </w:p>
    <w:p>
      <w:pPr>
        <w:ind w:right="160" w:firstLine="996"/>
        <w:spacing w:after="0" w:line="265" w:lineRule="auto"/>
        <w:tabs>
          <w:tab w:leader="none" w:pos="1342" w:val="left"/>
        </w:tabs>
        <w:numPr>
          <w:ilvl w:val="0"/>
          <w:numId w:val="9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Prior to the issuance of any Warrants there shall have been reserved, and the Company shall at all times through the Expiration Date keep reserved, out of its authorized but unissued Warrant Securities, a number of shares sufficient to provide for the exercise of the Warrants.</w:t>
      </w:r>
    </w:p>
    <w:p>
      <w:pPr>
        <w:spacing w:after="0" w:line="1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b w:val="1"/>
          <w:bCs w:val="1"/>
          <w:color w:val="auto"/>
        </w:rPr>
        <w:t>ARTICLE 3</w:t>
      </w:r>
    </w:p>
    <w:p>
      <w:pPr>
        <w:spacing w:after="0" w:line="166"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7"/>
          <w:szCs w:val="17"/>
          <w:b w:val="1"/>
          <w:bCs w:val="1"/>
          <w:color w:val="auto"/>
        </w:rPr>
        <w:t>OTHER PROVISIONS RELATING TO RIGHTS OF HOLDERS OF</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WARRANT CERTIFICATES</w:t>
      </w:r>
    </w:p>
    <w:p>
      <w:pPr>
        <w:spacing w:after="0" w:line="155" w:lineRule="exact"/>
        <w:rPr>
          <w:sz w:val="20"/>
          <w:szCs w:val="20"/>
          <w:color w:val="auto"/>
        </w:rPr>
      </w:pPr>
    </w:p>
    <w:p>
      <w:pPr>
        <w:ind w:firstLine="496"/>
        <w:spacing w:after="0" w:line="279" w:lineRule="auto"/>
        <w:rPr>
          <w:sz w:val="20"/>
          <w:szCs w:val="20"/>
          <w:color w:val="auto"/>
        </w:rPr>
      </w:pPr>
      <w:r>
        <w:rPr>
          <w:rFonts w:ascii="Times New Roman" w:cs="Times New Roman" w:eastAsia="Times New Roman" w:hAnsi="Times New Roman"/>
          <w:sz w:val="16"/>
          <w:szCs w:val="16"/>
          <w:b w:val="1"/>
          <w:bCs w:val="1"/>
          <w:color w:val="auto"/>
        </w:rPr>
        <w:t>3.1. No Rights as Warrant Securityholder Conferred by Warrants or Warrant Certificates</w:t>
      </w:r>
      <w:r>
        <w:rPr>
          <w:rFonts w:ascii="Times New Roman" w:cs="Times New Roman" w:eastAsia="Times New Roman" w:hAnsi="Times New Roman"/>
          <w:sz w:val="16"/>
          <w:szCs w:val="16"/>
          <w:color w:val="auto"/>
        </w:rPr>
        <w:t>. No Warrant Certificate or Warrant evidenced thereby shall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entitle the holder thereof to any of the rights of a holder of Warrant Securities, including, without limitation, the right to receive the payment of dividends or distributions, if any, on the Warrant Securities or to exercise any voting rights, except to the extent expressly set forth in this Agreement or the applicable Warrant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40"/>
          </w:cols>
          <w:pgMar w:left="300" w:top="1122" w:right="359" w:bottom="1440" w:gutter="0" w:footer="0" w:header="0"/>
        </w:sectPr>
      </w:pPr>
    </w:p>
    <w:bookmarkStart w:id="98" w:name="page99"/>
    <w:bookmarkEnd w:id="98"/>
    <w:p>
      <w:pPr>
        <w:ind w:right="20" w:firstLine="496"/>
        <w:spacing w:after="0" w:line="246" w:lineRule="auto"/>
        <w:rPr>
          <w:sz w:val="20"/>
          <w:szCs w:val="20"/>
          <w:color w:val="auto"/>
        </w:rPr>
      </w:pPr>
      <w:r>
        <w:rPr>
          <w:rFonts w:ascii="Times New Roman" w:cs="Times New Roman" w:eastAsia="Times New Roman" w:hAnsi="Times New Roman"/>
          <w:sz w:val="17"/>
          <w:szCs w:val="17"/>
          <w:b w:val="1"/>
          <w:bCs w:val="1"/>
          <w:color w:val="auto"/>
        </w:rPr>
        <w:t>3.2. Lost, Stolen, Mutilated or Destroyed Warrant Certificates</w:t>
      </w:r>
      <w:r>
        <w:rPr>
          <w:rFonts w:ascii="Times New Roman" w:cs="Times New Roman" w:eastAsia="Times New Roman" w:hAnsi="Times New Roman"/>
          <w:sz w:val="17"/>
          <w:szCs w:val="17"/>
          <w:color w:val="auto"/>
        </w:rPr>
        <w:t>. Upon receipt by the Warrant Agent of evidence reasonably satisfactory to it and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number of Warrant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w:t>
      </w:r>
    </w:p>
    <w:p>
      <w:pPr>
        <w:spacing w:after="0" w:line="140" w:lineRule="exact"/>
        <w:rPr>
          <w:sz w:val="20"/>
          <w:szCs w:val="20"/>
          <w:color w:val="auto"/>
        </w:rPr>
      </w:pPr>
    </w:p>
    <w:p>
      <w:pPr>
        <w:ind w:firstLine="496"/>
        <w:spacing w:after="0" w:line="276" w:lineRule="auto"/>
        <w:rPr>
          <w:sz w:val="20"/>
          <w:szCs w:val="20"/>
          <w:color w:val="auto"/>
        </w:rPr>
      </w:pPr>
      <w:r>
        <w:rPr>
          <w:rFonts w:ascii="Times New Roman" w:cs="Times New Roman" w:eastAsia="Times New Roman" w:hAnsi="Times New Roman"/>
          <w:sz w:val="16"/>
          <w:szCs w:val="16"/>
          <w:b w:val="1"/>
          <w:bCs w:val="1"/>
          <w:color w:val="auto"/>
        </w:rPr>
        <w:t>3.3. Holder of Warrant Certificate May Enforce Rights</w:t>
      </w:r>
      <w:r>
        <w:rPr>
          <w:rFonts w:ascii="Times New Roman" w:cs="Times New Roman" w:eastAsia="Times New Roman" w:hAnsi="Times New Roman"/>
          <w:sz w:val="16"/>
          <w:szCs w:val="16"/>
          <w:color w:val="auto"/>
        </w:rPr>
        <w:t>. Notwithstanding any of the provisions of this Agreement, any holder of a Warrant Certificate,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without the consent of the Warrant Agent, the holder of any Warrant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 and in this Agreement.</w:t>
      </w:r>
    </w:p>
    <w:p>
      <w:pPr>
        <w:spacing w:after="0" w:line="115" w:lineRule="exact"/>
        <w:rPr>
          <w:sz w:val="20"/>
          <w:szCs w:val="20"/>
          <w:color w:val="auto"/>
        </w:rPr>
      </w:pPr>
    </w:p>
    <w:p>
      <w:pPr>
        <w:ind w:left="500"/>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3.4.</w:t>
      </w:r>
      <w:r>
        <w:rPr>
          <w:sz w:val="20"/>
          <w:szCs w:val="20"/>
          <w:color w:val="auto"/>
        </w:rPr>
        <w:tab/>
      </w:r>
      <w:r>
        <w:rPr>
          <w:rFonts w:ascii="Times New Roman" w:cs="Times New Roman" w:eastAsia="Times New Roman" w:hAnsi="Times New Roman"/>
          <w:sz w:val="16"/>
          <w:szCs w:val="16"/>
          <w:b w:val="1"/>
          <w:bCs w:val="1"/>
          <w:color w:val="auto"/>
        </w:rPr>
        <w:t>Adjustments</w:t>
      </w:r>
      <w:r>
        <w:rPr>
          <w:rFonts w:ascii="Times New Roman" w:cs="Times New Roman" w:eastAsia="Times New Roman" w:hAnsi="Times New Roman"/>
          <w:sz w:val="16"/>
          <w:szCs w:val="16"/>
          <w:color w:val="auto"/>
        </w:rPr>
        <w:t>.</w:t>
      </w:r>
    </w:p>
    <w:p>
      <w:pPr>
        <w:spacing w:after="0" w:line="170" w:lineRule="exact"/>
        <w:rPr>
          <w:sz w:val="20"/>
          <w:szCs w:val="20"/>
          <w:color w:val="auto"/>
        </w:rPr>
      </w:pPr>
    </w:p>
    <w:p>
      <w:pPr>
        <w:ind w:right="80" w:firstLine="996"/>
        <w:spacing w:after="0" w:line="250" w:lineRule="auto"/>
        <w:tabs>
          <w:tab w:leader="none" w:pos="1351" w:val="left"/>
        </w:tabs>
        <w:numPr>
          <w:ilvl w:val="0"/>
          <w:numId w:val="9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case the Company shall at any time subdivide its outstanding shares of Common Stock into a greater number of shares, the Warrant Price in effect immediately prior to such subdivision shall be proportionately reduced and the number of Warrant Securities purchasable under the Warrants shall be proportionately increased. Conversely, in case the outstanding shares of Common Stock of the Company shall be combined into a smaller number of shares, the Warrant Price in effect immediately prior to such combination shall be proportionately increased and the number of Warrant Securities purchasable under the Warrants shall be proportionately decreased.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80"/>
          </w:cols>
          <w:pgMar w:left="300" w:top="1118" w:right="319" w:bottom="1440" w:gutter="0" w:footer="0" w:header="0"/>
        </w:sectPr>
      </w:pPr>
    </w:p>
    <w:bookmarkStart w:id="99" w:name="page100"/>
    <w:bookmarkEnd w:id="99"/>
    <w:p>
      <w:pPr>
        <w:ind w:left="-20" w:right="140" w:firstLine="996"/>
        <w:spacing w:after="0" w:line="265" w:lineRule="auto"/>
        <w:tabs>
          <w:tab w:leader="none" w:pos="1382" w:val="left"/>
        </w:tabs>
        <w:numPr>
          <w:ilvl w:val="0"/>
          <w:numId w:val="9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at any time or from time to time the holders of Common Stock (or any shares of stock or other securities at the time receivable upon the exercise of the Warrants) shall have received or become entitled to receive, without payment therefor,</w:t>
      </w:r>
    </w:p>
    <w:p>
      <w:pPr>
        <w:spacing w:after="0" w:line="126" w:lineRule="exact"/>
        <w:rPr>
          <w:rFonts w:ascii="Times New Roman" w:cs="Times New Roman" w:eastAsia="Times New Roman" w:hAnsi="Times New Roman"/>
          <w:sz w:val="17"/>
          <w:szCs w:val="17"/>
          <w:b w:val="1"/>
          <w:bCs w:val="1"/>
          <w:color w:val="auto"/>
        </w:rPr>
      </w:pPr>
    </w:p>
    <w:p>
      <w:pPr>
        <w:ind w:left="-20" w:right="400" w:firstLine="1492"/>
        <w:spacing w:after="0" w:line="310" w:lineRule="auto"/>
        <w:tabs>
          <w:tab w:leader="none" w:pos="1791" w:val="left"/>
        </w:tabs>
        <w:numPr>
          <w:ilvl w:val="1"/>
          <w:numId w:val="9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Common Stock or any shares of stock or other securities which are at any time directly or indirectly convertible into or exchangeable for Common Stock, or any rights or options to subscribe for, purchase or otherwise acquire any of the foregoing by way of dividend or other distribution;</w:t>
      </w:r>
    </w:p>
    <w:p>
      <w:pPr>
        <w:spacing w:after="0" w:line="93" w:lineRule="exact"/>
        <w:rPr>
          <w:rFonts w:ascii="Times New Roman" w:cs="Times New Roman" w:eastAsia="Times New Roman" w:hAnsi="Times New Roman"/>
          <w:sz w:val="16"/>
          <w:szCs w:val="16"/>
          <w:b w:val="1"/>
          <w:bCs w:val="1"/>
          <w:color w:val="auto"/>
        </w:rPr>
      </w:pPr>
    </w:p>
    <w:p>
      <w:pPr>
        <w:ind w:left="1840" w:hanging="368"/>
        <w:spacing w:after="0"/>
        <w:tabs>
          <w:tab w:leader="none" w:pos="1840" w:val="left"/>
        </w:tabs>
        <w:numPr>
          <w:ilvl w:val="1"/>
          <w:numId w:val="9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cash paid or payable otherwise than as a cash dividend paid or payable out of the Company’s current or retained earnings;</w:t>
      </w:r>
    </w:p>
    <w:p>
      <w:pPr>
        <w:spacing w:after="0" w:line="166" w:lineRule="exact"/>
        <w:rPr>
          <w:rFonts w:ascii="Times New Roman" w:cs="Times New Roman" w:eastAsia="Times New Roman" w:hAnsi="Times New Roman"/>
          <w:sz w:val="17"/>
          <w:szCs w:val="17"/>
          <w:b w:val="1"/>
          <w:bCs w:val="1"/>
          <w:color w:val="auto"/>
        </w:rPr>
      </w:pPr>
    </w:p>
    <w:p>
      <w:pPr>
        <w:ind w:left="1880" w:hanging="408"/>
        <w:spacing w:after="0"/>
        <w:tabs>
          <w:tab w:leader="none" w:pos="1880" w:val="left"/>
        </w:tabs>
        <w:numPr>
          <w:ilvl w:val="1"/>
          <w:numId w:val="9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evidence of the Company’s indebtedness or rights to subscribe for or purchase the Company’s indebtedness; or</w:t>
      </w:r>
    </w:p>
    <w:p>
      <w:pPr>
        <w:spacing w:after="0" w:line="166" w:lineRule="exact"/>
        <w:rPr>
          <w:rFonts w:ascii="Times New Roman" w:cs="Times New Roman" w:eastAsia="Times New Roman" w:hAnsi="Times New Roman"/>
          <w:sz w:val="17"/>
          <w:szCs w:val="17"/>
          <w:b w:val="1"/>
          <w:bCs w:val="1"/>
          <w:color w:val="auto"/>
        </w:rPr>
      </w:pPr>
    </w:p>
    <w:p>
      <w:pPr>
        <w:ind w:left="-20" w:firstLine="1492"/>
        <w:spacing w:after="0" w:line="247" w:lineRule="auto"/>
        <w:tabs>
          <w:tab w:leader="none" w:pos="1873" w:val="left"/>
        </w:tabs>
        <w:numPr>
          <w:ilvl w:val="1"/>
          <w:numId w:val="9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Common Stock or additional stock or other securities or property (including cash) by way of spinoff, split-up, reclassification, combination of shares or similar corporate rearrangement (other than shares of Common Stock issued as a stock split or adjustments in respect of which shall be covered by the terms of Section 3.4(a) above), then and in each such case, the holder of each Warrant shall, upon the exercise of the Warrant, be entitled to receive, in addition to the number of Warrant Securities receivable thereupon, and without payment of any additional consideration therefore, the amount of stock and other securities and property (including cash and indebtedness or rights to subscribe for or purchase indebtedness) which such holder would hold on the date of such exercise had such holder been the holder of record of such Warrant Securities as of the date on which holders of Common Stock received or became entitled to receive such shares or all other additional stock and other securities and property.</w:t>
      </w:r>
    </w:p>
    <w:p>
      <w:pPr>
        <w:spacing w:after="0" w:line="142" w:lineRule="exact"/>
        <w:rPr>
          <w:rFonts w:ascii="Times New Roman" w:cs="Times New Roman" w:eastAsia="Times New Roman" w:hAnsi="Times New Roman"/>
          <w:sz w:val="17"/>
          <w:szCs w:val="17"/>
          <w:b w:val="1"/>
          <w:bCs w:val="1"/>
          <w:color w:val="auto"/>
        </w:rPr>
      </w:pPr>
    </w:p>
    <w:p>
      <w:pPr>
        <w:ind w:left="-20" w:right="20" w:firstLine="996"/>
        <w:spacing w:after="0" w:line="246" w:lineRule="auto"/>
        <w:tabs>
          <w:tab w:leader="none" w:pos="1322" w:val="left"/>
        </w:tabs>
        <w:numPr>
          <w:ilvl w:val="0"/>
          <w:numId w:val="9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case of (i) any reclassification, capital reorganization, or change in the Common Stock of the Company (other than as a result of a subdivision, combination, or stock dividend provided for in Section 3.4(a) or Section 3.4(b) above), (ii) share exchange, merger or similar transaction of the Company with or into another person or entity (other than a share exchange, merger or similar transaction in which the Company is the acquiring or surviving corporation and which does not result in any change in the Common Stock other than the issuance of additional shares of Common Stock) or (iii) the sale, exchange, lease, transfer or other disposition of all or substantially all of the properties and assets of the Company as an entirety (in any such case, a “</w:t>
      </w:r>
      <w:r>
        <w:rPr>
          <w:rFonts w:ascii="Times New Roman" w:cs="Times New Roman" w:eastAsia="Times New Roman" w:hAnsi="Times New Roman"/>
          <w:sz w:val="17"/>
          <w:szCs w:val="17"/>
          <w:b w:val="1"/>
          <w:bCs w:val="1"/>
          <w:i w:val="1"/>
          <w:iCs w:val="1"/>
          <w:color w:val="auto"/>
        </w:rPr>
        <w:t>Reorganization Event</w:t>
      </w:r>
      <w:r>
        <w:rPr>
          <w:rFonts w:ascii="Times New Roman" w:cs="Times New Roman" w:eastAsia="Times New Roman" w:hAnsi="Times New Roman"/>
          <w:sz w:val="17"/>
          <w:szCs w:val="17"/>
          <w:color w:val="auto"/>
        </w:rPr>
        <w:t>”), then, as a condition of such Reorganization Event, lawful provisions shall be made, and duly executed documents evidencing the same from the Company or its successor shall be delivered to the holders of the Warrants, so that the holders of the Warrants shall have the right at any time prior to the expiration of the Warrants to purchase, at a total price equal to that payable upon the exercise of the Warrants, the kind and amount of shares of stock and other securities and property receivable in connection with such Reorganization Event by a holder of the same number of Warrant Securities as were purchasable by the holders of the Warrants immediately prior to such Reorganization Event. In any such case appropriate provisions shall be made with respect to the rights and interests of the holders of the Warrants so that the provisions hereof shall thereafter be applicable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40"/>
          </w:cols>
          <w:pgMar w:left="320" w:top="1122" w:right="339" w:bottom="1440" w:gutter="0" w:footer="0" w:header="0"/>
        </w:sectPr>
      </w:pPr>
    </w:p>
    <w:bookmarkStart w:id="100" w:name="page101"/>
    <w:bookmarkEnd w:id="100"/>
    <w:p>
      <w:pPr>
        <w:ind w:right="20"/>
        <w:spacing w:after="0" w:line="246" w:lineRule="auto"/>
        <w:rPr>
          <w:sz w:val="20"/>
          <w:szCs w:val="20"/>
          <w:color w:val="auto"/>
        </w:rPr>
      </w:pPr>
      <w:r>
        <w:rPr>
          <w:rFonts w:ascii="Times New Roman" w:cs="Times New Roman" w:eastAsia="Times New Roman" w:hAnsi="Times New Roman"/>
          <w:sz w:val="17"/>
          <w:szCs w:val="17"/>
          <w:color w:val="auto"/>
        </w:rPr>
        <w:t>any shares of stock or other securities and property deliverable upon exercise the Warrants, and appropriate adjustments shall be made to the Warrant Price payable hereunder provided the aggregate purchase price shall remain the same. In the case of any transaction described in clauses (ii) and (iii) above, the Company shall thereupon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w:t>
      </w:r>
    </w:p>
    <w:p>
      <w:pPr>
        <w:spacing w:after="0" w:line="147" w:lineRule="exact"/>
        <w:rPr>
          <w:sz w:val="20"/>
          <w:szCs w:val="20"/>
          <w:color w:val="auto"/>
        </w:rPr>
      </w:pPr>
    </w:p>
    <w:p>
      <w:pPr>
        <w:ind w:right="40" w:firstLine="996"/>
        <w:spacing w:after="0" w:line="253" w:lineRule="auto"/>
        <w:tabs>
          <w:tab w:leader="none" w:pos="1360" w:val="left"/>
        </w:tabs>
        <w:numPr>
          <w:ilvl w:val="0"/>
          <w:numId w:val="9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may, at its option, at any time until the Expiration Date, reduce the then current Warrant Price to any amount deemed appropriate by the Board of Directors of the Company for any period not exceeding twenty consecutive days (as evidenced in a resolution adopted by such Board of Directors), but only upon giving the notices required by Section 3.5 at least ten days prior to taking such action.</w:t>
      </w:r>
    </w:p>
    <w:p>
      <w:pPr>
        <w:spacing w:after="0" w:line="136" w:lineRule="exact"/>
        <w:rPr>
          <w:rFonts w:ascii="Times New Roman" w:cs="Times New Roman" w:eastAsia="Times New Roman" w:hAnsi="Times New Roman"/>
          <w:sz w:val="17"/>
          <w:szCs w:val="17"/>
          <w:b w:val="1"/>
          <w:bCs w:val="1"/>
          <w:color w:val="auto"/>
        </w:rPr>
      </w:pPr>
    </w:p>
    <w:p>
      <w:pPr>
        <w:ind w:right="40" w:firstLine="996"/>
        <w:spacing w:after="0" w:line="259" w:lineRule="auto"/>
        <w:tabs>
          <w:tab w:leader="none" w:pos="1342" w:val="left"/>
        </w:tabs>
        <w:numPr>
          <w:ilvl w:val="0"/>
          <w:numId w:val="9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Except as herein otherwise expressly provided, no adjustment in the Warrant Price shall be made by reason of the issuance of shares of Common Stock, or securities convertible into or exchangeable for shares of Common Stock, or securities carrying the right to purchase any of the foregoing or for any other reason whatsoever.</w:t>
      </w:r>
    </w:p>
    <w:p>
      <w:pPr>
        <w:spacing w:after="0" w:line="132" w:lineRule="exact"/>
        <w:rPr>
          <w:rFonts w:ascii="Times New Roman" w:cs="Times New Roman" w:eastAsia="Times New Roman" w:hAnsi="Times New Roman"/>
          <w:sz w:val="17"/>
          <w:szCs w:val="17"/>
          <w:b w:val="1"/>
          <w:bCs w:val="1"/>
          <w:color w:val="auto"/>
        </w:rPr>
      </w:pPr>
    </w:p>
    <w:p>
      <w:pPr>
        <w:ind w:firstLine="996"/>
        <w:spacing w:after="0" w:line="264" w:lineRule="auto"/>
        <w:tabs>
          <w:tab w:leader="none" w:pos="1323" w:val="left"/>
        </w:tabs>
        <w:numPr>
          <w:ilvl w:val="0"/>
          <w:numId w:val="9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No fractional Warrant Securities shall be issued upon the exercise of Warrants. If more than one Warrant shall be exercised at one time by the same holder, the number of full Warrant Securities which shall be issuable upon such exercise shall be computed on the basis of the aggregate number of Warrant Securities purchased pursuant to the Warrants so exercised. Instead of any fractional Warrant Security which would otherwise be issuable upon exercise of any Warrant, the Company shall pay a cash adjustment in respect of such fraction in an amount equal to the same fraction of the last reported sale price (or bid price if there were no sales) per Warrant Security, in either case as reported on the principal registered national securities exchange on which the Warrant Securities are listed or admitted to trading on the business day that next precedes the day of exercise or, if the Warrant Securities are not then listed or admitted to trading on any registered national securities exchange, the average of the closing high bid and low asked prices as reported on the OTC Bulletin Board Service (the “</w:t>
      </w:r>
      <w:r>
        <w:rPr>
          <w:rFonts w:ascii="Times New Roman" w:cs="Times New Roman" w:eastAsia="Times New Roman" w:hAnsi="Times New Roman"/>
          <w:sz w:val="16"/>
          <w:szCs w:val="16"/>
          <w:b w:val="1"/>
          <w:bCs w:val="1"/>
          <w:i w:val="1"/>
          <w:iCs w:val="1"/>
          <w:color w:val="auto"/>
        </w:rPr>
        <w:t>OTC Bulletin Board</w:t>
      </w:r>
      <w:r>
        <w:rPr>
          <w:rFonts w:ascii="Times New Roman" w:cs="Times New Roman" w:eastAsia="Times New Roman" w:hAnsi="Times New Roman"/>
          <w:sz w:val="16"/>
          <w:szCs w:val="16"/>
          <w:color w:val="auto"/>
        </w:rPr>
        <w:t>”) operated by the Financial Industry Regulatory Authority, Inc. (“</w:t>
      </w:r>
      <w:r>
        <w:rPr>
          <w:rFonts w:ascii="Times New Roman" w:cs="Times New Roman" w:eastAsia="Times New Roman" w:hAnsi="Times New Roman"/>
          <w:sz w:val="16"/>
          <w:szCs w:val="16"/>
          <w:b w:val="1"/>
          <w:bCs w:val="1"/>
          <w:i w:val="1"/>
          <w:iCs w:val="1"/>
          <w:color w:val="auto"/>
        </w:rPr>
        <w:t>FINRA</w:t>
      </w:r>
      <w:r>
        <w:rPr>
          <w:rFonts w:ascii="Times New Roman" w:cs="Times New Roman" w:eastAsia="Times New Roman" w:hAnsi="Times New Roman"/>
          <w:sz w:val="16"/>
          <w:szCs w:val="16"/>
          <w:color w:val="auto"/>
        </w:rPr>
        <w:t>” ) or, if not available on the OTC Bulletin Board, then the average of the closing high bid and low asked prices as reported on any other U.S. quotation medium or inter-dealer quotation system on such date, or if on any such date the Warrant Securities are not listed or admitted to trading on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60"/>
          </w:cols>
          <w:pgMar w:left="300" w:top="1122" w:right="339" w:bottom="1440" w:gutter="0" w:footer="0" w:header="0"/>
        </w:sectPr>
      </w:pPr>
    </w:p>
    <w:bookmarkStart w:id="101" w:name="page102"/>
    <w:bookmarkEnd w:id="101"/>
    <w:p>
      <w:pPr>
        <w:ind w:right="180"/>
        <w:spacing w:after="0" w:line="253" w:lineRule="auto"/>
        <w:rPr>
          <w:sz w:val="20"/>
          <w:szCs w:val="20"/>
          <w:color w:val="auto"/>
        </w:rPr>
      </w:pPr>
      <w:r>
        <w:rPr>
          <w:rFonts w:ascii="Times New Roman" w:cs="Times New Roman" w:eastAsia="Times New Roman" w:hAnsi="Times New Roman"/>
          <w:sz w:val="17"/>
          <w:szCs w:val="17"/>
          <w:color w:val="auto"/>
        </w:rPr>
        <w:t>registered national securities exchange, are not included in the OTC Bulletin Board, and are not quoted on any other U.S. quotation medium or inter-dealer quotation system, an amount equal to the same fraction of the average of the closing bid and asked prices as furnished by any FINRA member firm selected from time to time by the Company for that purpose at the close of business on the business day that next precedes the day of exercise.</w:t>
      </w:r>
    </w:p>
    <w:p>
      <w:pPr>
        <w:spacing w:after="0" w:line="147" w:lineRule="exact"/>
        <w:rPr>
          <w:sz w:val="20"/>
          <w:szCs w:val="20"/>
          <w:color w:val="auto"/>
        </w:rPr>
      </w:pPr>
    </w:p>
    <w:p>
      <w:pPr>
        <w:ind w:right="320" w:firstLine="996"/>
        <w:spacing w:after="0" w:line="253" w:lineRule="auto"/>
        <w:tabs>
          <w:tab w:leader="none" w:pos="1351" w:val="left"/>
        </w:tabs>
        <w:numPr>
          <w:ilvl w:val="0"/>
          <w:numId w:val="10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Whenever the Warrant Price then in effect is adjusted as herein provided, the Company shall mail to each holder of the Warrants at such holder’s address as it shall appear on the books of the Company a statement setting forth the adjusted Warrant Price then and thereafter effective under the provisions hereof, together with the facts, in reasonable detail, upon which such adjustment is based.</w:t>
      </w:r>
    </w:p>
    <w:p>
      <w:pPr>
        <w:spacing w:after="0" w:line="136" w:lineRule="exact"/>
        <w:rPr>
          <w:rFonts w:ascii="Times New Roman" w:cs="Times New Roman" w:eastAsia="Times New Roman" w:hAnsi="Times New Roman"/>
          <w:sz w:val="17"/>
          <w:szCs w:val="17"/>
          <w:b w:val="1"/>
          <w:bCs w:val="1"/>
          <w:color w:val="auto"/>
        </w:rPr>
      </w:pPr>
    </w:p>
    <w:p>
      <w:pPr>
        <w:ind w:firstLine="996"/>
        <w:spacing w:after="0" w:line="265" w:lineRule="auto"/>
        <w:tabs>
          <w:tab w:leader="none" w:pos="1360" w:val="left"/>
        </w:tabs>
        <w:numPr>
          <w:ilvl w:val="0"/>
          <w:numId w:val="10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Notwithstanding anything to the contrary herein, in no event shall the Warrant Price, as adjusted in accordance with the terms hereof, be less than the par value per share of Common Stock.</w:t>
      </w:r>
    </w:p>
    <w:p>
      <w:pPr>
        <w:spacing w:after="0" w:line="133" w:lineRule="exact"/>
        <w:rPr>
          <w:sz w:val="20"/>
          <w:szCs w:val="20"/>
          <w:color w:val="auto"/>
        </w:rPr>
      </w:pPr>
    </w:p>
    <w:p>
      <w:pPr>
        <w:ind w:right="20" w:firstLine="496"/>
        <w:spacing w:after="0" w:line="263" w:lineRule="auto"/>
        <w:rPr>
          <w:sz w:val="20"/>
          <w:szCs w:val="20"/>
          <w:color w:val="auto"/>
        </w:rPr>
      </w:pPr>
      <w:r>
        <w:rPr>
          <w:rFonts w:ascii="Times New Roman" w:cs="Times New Roman" w:eastAsia="Times New Roman" w:hAnsi="Times New Roman"/>
          <w:sz w:val="16"/>
          <w:szCs w:val="16"/>
          <w:b w:val="1"/>
          <w:bCs w:val="1"/>
          <w:color w:val="auto"/>
        </w:rPr>
        <w:t>3.5. Notice to Warrantholders</w:t>
      </w:r>
      <w:r>
        <w:rPr>
          <w:rFonts w:ascii="Times New Roman" w:cs="Times New Roman" w:eastAsia="Times New Roman" w:hAnsi="Times New Roman"/>
          <w:sz w:val="16"/>
          <w:szCs w:val="16"/>
          <w:color w:val="auto"/>
        </w:rPr>
        <w:t>. In case the Company shall (a) effect any dividend or distribution described in Section 3.4(b), (b) effect any Reorganization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Event, (c) make any distribution on or in respect of the Common Stock in connection with the dissolution, liquidation or winding up of the Company, or (d) reduce the then current Warrant Price pursuant to Section 3.4(d), then the Company shall mail to each holder of Warrants at such holder’s address as it shall appear on the books of the Warrant Agent, at least ten days prior to the applicable date hereinafter specified, a notice stating (x) the record date for such dividend or distribution, or, if a record is not to be taken, the date as of which the holders of record of Common Stock that will be entitled to such dividend or distribution are to be determined, (y) the date on which such Reorganization Event, dissolution, liquidation or winding up is expected to become effective, and the date as of which it is expected that holders of Common Stock of record shall be entitled to exchange their shares of Common Stock for securities or other property deliverable upon such Reorganization Event, dissolution, liquidation or winding up, or (z) the first date on which the then current Warrant Price shall be reduced pursuant to Section 3.4(d). No failure to mail such notice nor any defect therein or in the mailing thereof shall affect any such transaction or any adjustment in the Warrant Price required by Section 3.4.</w:t>
      </w:r>
    </w:p>
    <w:p>
      <w:pPr>
        <w:spacing w:after="0" w:line="130"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3.6.</w:t>
      </w:r>
      <w:r>
        <w:rPr>
          <w:sz w:val="20"/>
          <w:szCs w:val="20"/>
          <w:color w:val="auto"/>
        </w:rPr>
        <w:tab/>
      </w:r>
      <w:r>
        <w:rPr>
          <w:rFonts w:ascii="Times New Roman" w:cs="Times New Roman" w:eastAsia="Times New Roman" w:hAnsi="Times New Roman"/>
          <w:sz w:val="16"/>
          <w:szCs w:val="16"/>
          <w:color w:val="auto"/>
        </w:rPr>
        <w:t>[If the Warrants are Subject to Acceleration by the Company, Insert — Acceleration of Warrants by the Company.</w:t>
      </w:r>
    </w:p>
    <w:p>
      <w:pPr>
        <w:spacing w:after="0" w:line="170" w:lineRule="exact"/>
        <w:rPr>
          <w:sz w:val="20"/>
          <w:szCs w:val="20"/>
          <w:color w:val="auto"/>
        </w:rPr>
      </w:pPr>
    </w:p>
    <w:p>
      <w:pPr>
        <w:jc w:val="both"/>
        <w:ind w:firstLine="996"/>
        <w:spacing w:after="0" w:line="253" w:lineRule="auto"/>
        <w:tabs>
          <w:tab w:leader="none" w:pos="1351" w:val="left"/>
        </w:tabs>
        <w:numPr>
          <w:ilvl w:val="0"/>
          <w:numId w:val="10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At any time on or after [•], the Company shall have the right to accelerate any or all Warrants at any time by causing them to expire at the close of business on the day next preceding a specified date (the “</w:t>
      </w:r>
      <w:r>
        <w:rPr>
          <w:rFonts w:ascii="Times New Roman" w:cs="Times New Roman" w:eastAsia="Times New Roman" w:hAnsi="Times New Roman"/>
          <w:sz w:val="17"/>
          <w:szCs w:val="17"/>
          <w:b w:val="1"/>
          <w:bCs w:val="1"/>
          <w:i w:val="1"/>
          <w:iCs w:val="1"/>
          <w:color w:val="auto"/>
        </w:rPr>
        <w:t>Acceleration Date</w:t>
      </w:r>
      <w:r>
        <w:rPr>
          <w:rFonts w:ascii="Times New Roman" w:cs="Times New Roman" w:eastAsia="Times New Roman" w:hAnsi="Times New Roman"/>
          <w:sz w:val="17"/>
          <w:szCs w:val="17"/>
          <w:color w:val="auto"/>
        </w:rPr>
        <w:t>”), if the Market Price (as hereinafter defined) of the Common Stock equals or exceeds [•] percent ([•]%) of the then effective Warrant Price on any twenty Trading Days (as hereinafter defined) within a period of thirty consecutive Trading Days ending no more than five Trading Days prior to the date on which the Company gives notice to the Warrant Agent of its election to accelerate the Warrants.</w:t>
      </w:r>
    </w:p>
    <w:p>
      <w:pPr>
        <w:spacing w:after="0" w:line="133" w:lineRule="exact"/>
        <w:rPr>
          <w:rFonts w:ascii="Times New Roman" w:cs="Times New Roman" w:eastAsia="Times New Roman" w:hAnsi="Times New Roman"/>
          <w:sz w:val="17"/>
          <w:szCs w:val="17"/>
          <w:b w:val="1"/>
          <w:bCs w:val="1"/>
          <w:color w:val="auto"/>
        </w:rPr>
      </w:pPr>
    </w:p>
    <w:p>
      <w:pPr>
        <w:ind w:right="160" w:firstLine="996"/>
        <w:spacing w:after="0" w:line="270" w:lineRule="auto"/>
        <w:tabs>
          <w:tab w:leader="none" w:pos="1360" w:val="left"/>
        </w:tabs>
        <w:numPr>
          <w:ilvl w:val="0"/>
          <w:numId w:val="10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Market Price</w:t>
      </w:r>
      <w:r>
        <w:rPr>
          <w:rFonts w:ascii="Times New Roman" w:cs="Times New Roman" w:eastAsia="Times New Roman" w:hAnsi="Times New Roman"/>
          <w:sz w:val="17"/>
          <w:szCs w:val="17"/>
          <w:color w:val="auto"/>
        </w:rPr>
        <w:t>” for each Trading Day shall be, if the Common Stock is listed or admitted to trading on any registered national securities exchange, the last reported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40"/>
          </w:cols>
          <w:pgMar w:left="300" w:top="1122" w:right="359" w:bottom="1440" w:gutter="0" w:footer="0" w:header="0"/>
        </w:sectPr>
      </w:pPr>
    </w:p>
    <w:bookmarkStart w:id="102" w:name="page103"/>
    <w:bookmarkEnd w:id="102"/>
    <w:p>
      <w:pPr>
        <w:spacing w:after="0" w:line="246" w:lineRule="auto"/>
        <w:rPr>
          <w:sz w:val="20"/>
          <w:szCs w:val="20"/>
          <w:color w:val="auto"/>
        </w:rPr>
      </w:pPr>
      <w:r>
        <w:rPr>
          <w:rFonts w:ascii="Times New Roman" w:cs="Times New Roman" w:eastAsia="Times New Roman" w:hAnsi="Times New Roman"/>
          <w:sz w:val="17"/>
          <w:szCs w:val="17"/>
          <w:color w:val="auto"/>
        </w:rPr>
        <w:t>price, regular way (or, if no such price is reported, the average of the reported closing bid and asked prices, regular way) of Common Stock, in either case as reported on the principal registered national securities exchange on which the Common Stock is listed or admitted to trading or, if not listed or admitted to trading on any registered national securities exchange, the average of the closing high bid and low asked prices as reported on the OTC Bulletin Board operated by FINRA, or if not available on the OTC Bulletin Board, then the average of the closing high bid and low asked prices as reported on any other U.S. quotation medium or inter-dealer quotation system, or if on any such date the shares of Common Stock are not listed or admitted to trading on a registered national securities exchange, are not included in the OTC Bulletin Board, and are not quoted on any other U.S. quotation medium or inter-dealer quotation system, the average of the closing bid and asked prices as furnished by any FINRA member firm selected from time to time by the Company for that purpose. “Trading Day” shall be each Monday through Friday, other than any day on which securities are not traded in the system or on the exchange that is the principal market for the Common Stock, as determined by the Board of Directors of the Company. In the event of an acceleration of less than all of the Warrants, the Warrant Agent shall select the Warrants to be accelerated by lot, pro rata or in such other manner as it deems, in its discretion, to be fair and appropriate.</w:t>
      </w:r>
    </w:p>
    <w:p>
      <w:pPr>
        <w:spacing w:after="0" w:line="147" w:lineRule="exact"/>
        <w:rPr>
          <w:sz w:val="20"/>
          <w:szCs w:val="20"/>
          <w:color w:val="auto"/>
        </w:rPr>
      </w:pPr>
    </w:p>
    <w:p>
      <w:pPr>
        <w:jc w:val="both"/>
        <w:ind w:right="220" w:firstLine="996"/>
        <w:spacing w:after="0" w:line="269" w:lineRule="auto"/>
        <w:tabs>
          <w:tab w:leader="none" w:pos="1342" w:val="left"/>
        </w:tabs>
        <w:numPr>
          <w:ilvl w:val="0"/>
          <w:numId w:val="10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Notice of an acceleration specifying the Acceleration Date shall be sent by mail first class, postage prepaid, to each registered holder of a Warrant Certificate representing a Warrant accelerated at such holder’s address appearing on the books of the Warrant Agent not more than sixty days nor less than thirty days before the Acceleration Date. Such notice of an acceleration also shall be given no more than twenty days, and no less than ten days, prior to the mailing of notice to registered holders of Warrants pursuant to this Section 3.6, by publication at least once in a newspaper of general circulation in the City of New York.</w:t>
      </w:r>
    </w:p>
    <w:p>
      <w:pPr>
        <w:spacing w:after="0" w:line="136" w:lineRule="exact"/>
        <w:rPr>
          <w:rFonts w:ascii="Times New Roman" w:cs="Times New Roman" w:eastAsia="Times New Roman" w:hAnsi="Times New Roman"/>
          <w:sz w:val="16"/>
          <w:szCs w:val="16"/>
          <w:b w:val="1"/>
          <w:bCs w:val="1"/>
          <w:color w:val="auto"/>
        </w:rPr>
      </w:pPr>
    </w:p>
    <w:p>
      <w:pPr>
        <w:ind w:right="160" w:firstLine="996"/>
        <w:spacing w:after="0" w:line="265" w:lineRule="auto"/>
        <w:tabs>
          <w:tab w:leader="none" w:pos="1360" w:val="left"/>
        </w:tabs>
        <w:numPr>
          <w:ilvl w:val="0"/>
          <w:numId w:val="10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Warrant accelerated may be exercised until [•] p.m., [City] time, on the business day next preceding the Acceleration Date. The Warrant Price shall be payable as provided in Section 2.]</w:t>
      </w:r>
    </w:p>
    <w:p>
      <w:pPr>
        <w:spacing w:after="0" w:line="1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ARTICLE 4</w:t>
      </w:r>
    </w:p>
    <w:p>
      <w:pPr>
        <w:spacing w:after="0" w:line="16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EXCHANGE AND TRANSFER OF WARRANT CERTIFICATES</w:t>
      </w:r>
    </w:p>
    <w:p>
      <w:pPr>
        <w:spacing w:after="0" w:line="166" w:lineRule="exact"/>
        <w:rPr>
          <w:sz w:val="20"/>
          <w:szCs w:val="20"/>
          <w:color w:val="auto"/>
        </w:rPr>
      </w:pPr>
    </w:p>
    <w:p>
      <w:pPr>
        <w:ind w:right="20" w:firstLine="496"/>
        <w:spacing w:after="0" w:line="250" w:lineRule="auto"/>
        <w:rPr>
          <w:sz w:val="20"/>
          <w:szCs w:val="20"/>
          <w:color w:val="auto"/>
        </w:rPr>
      </w:pPr>
      <w:r>
        <w:rPr>
          <w:rFonts w:ascii="Times New Roman" w:cs="Times New Roman" w:eastAsia="Times New Roman" w:hAnsi="Times New Roman"/>
          <w:sz w:val="17"/>
          <w:szCs w:val="17"/>
          <w:b w:val="1"/>
          <w:bCs w:val="1"/>
          <w:color w:val="auto"/>
        </w:rPr>
        <w:t>4.1. Exchange and Transfer of Warrant Certificates</w:t>
      </w:r>
      <w:r>
        <w:rPr>
          <w:rFonts w:ascii="Times New Roman" w:cs="Times New Roman" w:eastAsia="Times New Roman" w:hAnsi="Times New Roman"/>
          <w:sz w:val="17"/>
          <w:szCs w:val="17"/>
          <w:color w:val="auto"/>
        </w:rPr>
        <w:t>. Upon surrender at the corporate trust office of the Warrant Agent, Warrant Certificates evidencing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Warrants may be exchanged for Warrant Certificates in other denominations evidencing such Warrants or the transfer thereof may be registered in whole or in part; provided that such other Warrant Certificates evidence Warrants for the same aggregate number of Warrant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220"/>
          </w:cols>
          <w:pgMar w:left="300" w:top="1122" w:right="379" w:bottom="1440" w:gutter="0" w:footer="0" w:header="0"/>
        </w:sectPr>
      </w:pPr>
    </w:p>
    <w:bookmarkStart w:id="103" w:name="page104"/>
    <w:bookmarkEnd w:id="103"/>
    <w:p>
      <w:pPr>
        <w:ind w:right="80"/>
        <w:spacing w:after="0" w:line="246" w:lineRule="auto"/>
        <w:rPr>
          <w:sz w:val="20"/>
          <w:szCs w:val="20"/>
          <w:color w:val="auto"/>
        </w:rPr>
      </w:pPr>
      <w:r>
        <w:rPr>
          <w:rFonts w:ascii="Times New Roman" w:cs="Times New Roman" w:eastAsia="Times New Roman" w:hAnsi="Times New Roman"/>
          <w:sz w:val="17"/>
          <w:szCs w:val="17"/>
          <w:color w:val="auto"/>
        </w:rPr>
        <w:t>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Security or a number of Warrants for a whole number of Warrant Securities and a fraction of a Warrant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w:t>
      </w:r>
    </w:p>
    <w:p>
      <w:pPr>
        <w:spacing w:after="0" w:line="151" w:lineRule="exact"/>
        <w:rPr>
          <w:sz w:val="20"/>
          <w:szCs w:val="20"/>
          <w:color w:val="auto"/>
        </w:rPr>
      </w:pPr>
    </w:p>
    <w:p>
      <w:pPr>
        <w:ind w:right="80" w:firstLine="496"/>
        <w:spacing w:after="0" w:line="255" w:lineRule="auto"/>
        <w:rPr>
          <w:sz w:val="20"/>
          <w:szCs w:val="20"/>
          <w:color w:val="auto"/>
        </w:rPr>
      </w:pPr>
      <w:r>
        <w:rPr>
          <w:rFonts w:ascii="Times New Roman" w:cs="Times New Roman" w:eastAsia="Times New Roman" w:hAnsi="Times New Roman"/>
          <w:sz w:val="17"/>
          <w:szCs w:val="17"/>
          <w:b w:val="1"/>
          <w:bCs w:val="1"/>
          <w:color w:val="auto"/>
        </w:rPr>
        <w:t>4.2. Treatment of Holders of Warrant Certificates</w:t>
      </w:r>
      <w:r>
        <w:rPr>
          <w:rFonts w:ascii="Times New Roman" w:cs="Times New Roman" w:eastAsia="Times New Roman" w:hAnsi="Times New Roman"/>
          <w:sz w:val="17"/>
          <w:szCs w:val="17"/>
          <w:color w:val="auto"/>
        </w:rPr>
        <w:t>. The Company, the Warrant Agent and all other persons may treat the registered holder of a Warrant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Certificate as the absolute owner thereof for any purpose and as the person entitled to exercise the rights represented by the Warrants evidenced thereby, any notice to the contrary notwithstanding.</w:t>
      </w:r>
    </w:p>
    <w:p>
      <w:pPr>
        <w:spacing w:after="0" w:line="132" w:lineRule="exact"/>
        <w:rPr>
          <w:sz w:val="20"/>
          <w:szCs w:val="20"/>
          <w:color w:val="auto"/>
        </w:rPr>
      </w:pPr>
    </w:p>
    <w:p>
      <w:pPr>
        <w:ind w:right="60" w:firstLine="496"/>
        <w:spacing w:after="0" w:line="251" w:lineRule="auto"/>
        <w:rPr>
          <w:sz w:val="20"/>
          <w:szCs w:val="20"/>
          <w:color w:val="auto"/>
        </w:rPr>
      </w:pPr>
      <w:r>
        <w:rPr>
          <w:rFonts w:ascii="Times New Roman" w:cs="Times New Roman" w:eastAsia="Times New Roman" w:hAnsi="Times New Roman"/>
          <w:sz w:val="17"/>
          <w:szCs w:val="17"/>
          <w:b w:val="1"/>
          <w:bCs w:val="1"/>
          <w:color w:val="auto"/>
        </w:rPr>
        <w:t>4.3. Cancellation of Warrant Certificates</w:t>
      </w:r>
      <w:r>
        <w:rPr>
          <w:rFonts w:ascii="Times New Roman" w:cs="Times New Roman" w:eastAsia="Times New Roman" w:hAnsi="Times New Roman"/>
          <w:sz w:val="17"/>
          <w:szCs w:val="17"/>
          <w:color w:val="auto"/>
        </w:rPr>
        <w:t>. Any Warrant Certificate surrendered for exchange, registration of transfer or exercise of the Warrants evidenced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5</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CONCERNING THE WARRANT AGENT</w:t>
      </w:r>
    </w:p>
    <w:p>
      <w:pPr>
        <w:spacing w:after="0" w:line="166" w:lineRule="exact"/>
        <w:rPr>
          <w:sz w:val="20"/>
          <w:szCs w:val="20"/>
          <w:color w:val="auto"/>
        </w:rPr>
      </w:pPr>
    </w:p>
    <w:p>
      <w:pPr>
        <w:ind w:firstLine="496"/>
        <w:spacing w:after="0" w:line="251" w:lineRule="auto"/>
        <w:rPr>
          <w:sz w:val="20"/>
          <w:szCs w:val="20"/>
          <w:color w:val="auto"/>
        </w:rPr>
      </w:pPr>
      <w:r>
        <w:rPr>
          <w:rFonts w:ascii="Times New Roman" w:cs="Times New Roman" w:eastAsia="Times New Roman" w:hAnsi="Times New Roman"/>
          <w:sz w:val="17"/>
          <w:szCs w:val="17"/>
          <w:b w:val="1"/>
          <w:bCs w:val="1"/>
          <w:color w:val="auto"/>
        </w:rPr>
        <w:t>5.1. Warrant Agent</w:t>
      </w:r>
      <w:r>
        <w:rPr>
          <w:rFonts w:ascii="Times New Roman" w:cs="Times New Roman" w:eastAsia="Times New Roman" w:hAnsi="Times New Roman"/>
          <w:sz w:val="17"/>
          <w:szCs w:val="17"/>
          <w:color w:val="auto"/>
        </w:rPr>
        <w:t>. The Company hereby appoints [•] as Warrant Agent of the Company in respect of the Warrants and the Warrant Certificates upon the terms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subject to the 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w:t>
      </w:r>
    </w:p>
    <w:p>
      <w:pPr>
        <w:spacing w:after="0" w:line="136" w:lineRule="exact"/>
        <w:rPr>
          <w:sz w:val="20"/>
          <w:szCs w:val="20"/>
          <w:color w:val="auto"/>
        </w:rPr>
      </w:pPr>
    </w:p>
    <w:p>
      <w:pPr>
        <w:ind w:right="220" w:firstLine="496"/>
        <w:spacing w:after="0" w:line="283" w:lineRule="auto"/>
        <w:rPr>
          <w:sz w:val="20"/>
          <w:szCs w:val="20"/>
          <w:color w:val="auto"/>
        </w:rPr>
      </w:pPr>
      <w:r>
        <w:rPr>
          <w:rFonts w:ascii="Times New Roman" w:cs="Times New Roman" w:eastAsia="Times New Roman" w:hAnsi="Times New Roman"/>
          <w:sz w:val="17"/>
          <w:szCs w:val="17"/>
          <w:b w:val="1"/>
          <w:bCs w:val="1"/>
          <w:color w:val="auto"/>
        </w:rPr>
        <w:t>5.2. Conditions of Warrant Agent’s Obligations</w:t>
      </w:r>
      <w:r>
        <w:rPr>
          <w:rFonts w:ascii="Times New Roman" w:cs="Times New Roman" w:eastAsia="Times New Roman" w:hAnsi="Times New Roman"/>
          <w:sz w:val="17"/>
          <w:szCs w:val="17"/>
          <w:color w:val="auto"/>
        </w:rPr>
        <w:t>. The Warrant Agent accepts its obligations herein set forth upon the terms and conditions hereof, including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following to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280"/>
          </w:cols>
          <w:pgMar w:left="300" w:top="1122" w:right="3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color w:val="auto"/>
        </w:rPr>
        <w:t>of which the Company agrees and to all of which the rights hereunder of the holders from time to time of the Warrant Certificates shall be subject:</w:t>
      </w:r>
    </w:p>
    <w:p>
      <w:pPr>
        <w:spacing w:after="0" w:line="162" w:lineRule="exact"/>
        <w:rPr>
          <w:sz w:val="20"/>
          <w:szCs w:val="20"/>
          <w:color w:val="auto"/>
        </w:rPr>
      </w:pPr>
    </w:p>
    <w:p>
      <w:pPr>
        <w:ind w:right="140" w:firstLine="996"/>
        <w:spacing w:after="0" w:line="249" w:lineRule="auto"/>
        <w:tabs>
          <w:tab w:leader="none" w:pos="1351" w:val="left"/>
        </w:tabs>
        <w:numPr>
          <w:ilvl w:val="0"/>
          <w:numId w:val="10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Compensation and Indemnification</w:t>
      </w:r>
      <w:r>
        <w:rPr>
          <w:rFonts w:ascii="Times New Roman" w:cs="Times New Roman" w:eastAsia="Times New Roman" w:hAnsi="Times New Roman"/>
          <w:sz w:val="17"/>
          <w:szCs w:val="17"/>
          <w:color w:val="auto"/>
        </w:rPr>
        <w:t>. The Company agrees promptly to pay the Warrant Agent the compensation to be agreed upon with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for all services 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w:t>
      </w:r>
    </w:p>
    <w:p>
      <w:pPr>
        <w:spacing w:after="0" w:line="137" w:lineRule="exact"/>
        <w:rPr>
          <w:rFonts w:ascii="Times New Roman" w:cs="Times New Roman" w:eastAsia="Times New Roman" w:hAnsi="Times New Roman"/>
          <w:sz w:val="17"/>
          <w:szCs w:val="17"/>
          <w:b w:val="1"/>
          <w:bCs w:val="1"/>
          <w:color w:val="auto"/>
        </w:rPr>
      </w:pPr>
    </w:p>
    <w:p>
      <w:pPr>
        <w:ind w:firstLine="996"/>
        <w:spacing w:after="0" w:line="262" w:lineRule="auto"/>
        <w:tabs>
          <w:tab w:leader="none" w:pos="1351" w:val="left"/>
        </w:tabs>
        <w:numPr>
          <w:ilvl w:val="0"/>
          <w:numId w:val="10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Agent for the Company</w:t>
      </w:r>
      <w:r>
        <w:rPr>
          <w:rFonts w:ascii="Times New Roman" w:cs="Times New Roman" w:eastAsia="Times New Roman" w:hAnsi="Times New Roman"/>
          <w:sz w:val="17"/>
          <w:szCs w:val="17"/>
          <w:color w:val="auto"/>
        </w:rPr>
        <w:t>. In acting under this Agreement and in connection with the Warrant Certificates, the Warrant Agent is acting solely as agent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Company and does not assume any obligations or relationship of agency or trust for or with any of the holders of Warrant Certificates or beneficial owners of Warrants.</w:t>
      </w:r>
    </w:p>
    <w:p>
      <w:pPr>
        <w:spacing w:after="0" w:line="125" w:lineRule="exact"/>
        <w:rPr>
          <w:rFonts w:ascii="Times New Roman" w:cs="Times New Roman" w:eastAsia="Times New Roman" w:hAnsi="Times New Roman"/>
          <w:sz w:val="17"/>
          <w:szCs w:val="17"/>
          <w:b w:val="1"/>
          <w:bCs w:val="1"/>
          <w:color w:val="auto"/>
        </w:rPr>
      </w:pPr>
    </w:p>
    <w:p>
      <w:pPr>
        <w:jc w:val="both"/>
        <w:ind w:firstLine="996"/>
        <w:spacing w:after="0" w:line="255" w:lineRule="auto"/>
        <w:tabs>
          <w:tab w:leader="none" w:pos="1342" w:val="left"/>
        </w:tabs>
        <w:numPr>
          <w:ilvl w:val="0"/>
          <w:numId w:val="10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Counsel</w:t>
      </w:r>
      <w:r>
        <w:rPr>
          <w:rFonts w:ascii="Times New Roman" w:cs="Times New Roman" w:eastAsia="Times New Roman" w:hAnsi="Times New Roman"/>
          <w:sz w:val="17"/>
          <w:szCs w:val="17"/>
          <w:color w:val="auto"/>
        </w:rPr>
        <w:t>. The Warrant Agent may consult with counsel satisfactory to it, which may include counsel for the Company, and the written advice of such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counsel shall be full and complete authorization and protection in respect of any action taken, suffered or omitted by it hereunder in good faith and in accordance with the advice of such counsel.</w:t>
      </w:r>
    </w:p>
    <w:p>
      <w:pPr>
        <w:spacing w:after="0" w:line="131" w:lineRule="exact"/>
        <w:rPr>
          <w:rFonts w:ascii="Times New Roman" w:cs="Times New Roman" w:eastAsia="Times New Roman" w:hAnsi="Times New Roman"/>
          <w:sz w:val="17"/>
          <w:szCs w:val="17"/>
          <w:b w:val="1"/>
          <w:bCs w:val="1"/>
          <w:color w:val="auto"/>
        </w:rPr>
      </w:pPr>
    </w:p>
    <w:p>
      <w:pPr>
        <w:jc w:val="both"/>
        <w:ind w:right="180" w:firstLine="996"/>
        <w:spacing w:after="0" w:line="262" w:lineRule="auto"/>
        <w:tabs>
          <w:tab w:leader="none" w:pos="1360" w:val="left"/>
        </w:tabs>
        <w:numPr>
          <w:ilvl w:val="0"/>
          <w:numId w:val="10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Documents</w:t>
      </w:r>
      <w:r>
        <w:rPr>
          <w:rFonts w:ascii="Times New Roman" w:cs="Times New Roman" w:eastAsia="Times New Roman" w:hAnsi="Times New Roman"/>
          <w:sz w:val="17"/>
          <w:szCs w:val="17"/>
          <w:color w:val="auto"/>
        </w:rPr>
        <w:t>. The Warrant Agent shall be protected and shall incur no liability for or in respect of any action taken or omitted by it in reliance upon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Warrant Certificate, notice, direction, consent, certificate, affidavit, statement or other paper or document reasonably believed by it to be genuine and to have been presented or signed by the proper parties.</w:t>
      </w:r>
    </w:p>
    <w:p>
      <w:pPr>
        <w:spacing w:after="0" w:line="125" w:lineRule="exact"/>
        <w:rPr>
          <w:rFonts w:ascii="Times New Roman" w:cs="Times New Roman" w:eastAsia="Times New Roman" w:hAnsi="Times New Roman"/>
          <w:sz w:val="17"/>
          <w:szCs w:val="17"/>
          <w:b w:val="1"/>
          <w:bCs w:val="1"/>
          <w:color w:val="auto"/>
        </w:rPr>
      </w:pPr>
    </w:p>
    <w:p>
      <w:pPr>
        <w:ind w:right="20" w:firstLine="996"/>
        <w:spacing w:after="0" w:line="251" w:lineRule="auto"/>
        <w:tabs>
          <w:tab w:leader="none" w:pos="1342" w:val="left"/>
        </w:tabs>
        <w:numPr>
          <w:ilvl w:val="0"/>
          <w:numId w:val="10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Certain Transactions</w:t>
      </w:r>
      <w:r>
        <w:rPr>
          <w:rFonts w:ascii="Times New Roman" w:cs="Times New Roman" w:eastAsia="Times New Roman" w:hAnsi="Times New Roman"/>
          <w:sz w:val="17"/>
          <w:szCs w:val="17"/>
          <w:color w:val="auto"/>
        </w:rPr>
        <w:t>. The Warrant Agent, and its officers, directors and employees, may become the owner of, or acquire any interest in, Warrants,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Securities or other obligations of the Company as freely as if it were not the Warrant Agent hereunder. Nothing in this Agreement shall be deemed to prevent the Warrant Agent from acting as trustee under any indenture to which the Company is a party.</w:t>
      </w:r>
    </w:p>
    <w:p>
      <w:pPr>
        <w:spacing w:after="0" w:line="136" w:lineRule="exact"/>
        <w:rPr>
          <w:rFonts w:ascii="Times New Roman" w:cs="Times New Roman" w:eastAsia="Times New Roman" w:hAnsi="Times New Roman"/>
          <w:sz w:val="17"/>
          <w:szCs w:val="17"/>
          <w:b w:val="1"/>
          <w:bCs w:val="1"/>
          <w:color w:val="auto"/>
        </w:rPr>
      </w:pPr>
    </w:p>
    <w:p>
      <w:pPr>
        <w:ind w:right="280" w:firstLine="996"/>
        <w:spacing w:after="0" w:line="270" w:lineRule="auto"/>
        <w:tabs>
          <w:tab w:leader="none" w:pos="1323" w:val="left"/>
        </w:tabs>
        <w:numPr>
          <w:ilvl w:val="0"/>
          <w:numId w:val="10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No Liability for Interest</w:t>
      </w:r>
      <w:r>
        <w:rPr>
          <w:rFonts w:ascii="Times New Roman" w:cs="Times New Roman" w:eastAsia="Times New Roman" w:hAnsi="Times New Roman"/>
          <w:sz w:val="17"/>
          <w:szCs w:val="17"/>
          <w:color w:val="auto"/>
        </w:rPr>
        <w:t>. Unless otherwise agreed with the Company, the Warrant Agent shall have no liability for interest on any monies at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time received by it pursuant to any of the provisions of this Agreement or of the Warrant Certificates.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240"/>
          </w:cols>
          <w:pgMar w:left="300" w:top="1122" w:right="359" w:bottom="1440" w:gutter="0" w:footer="0" w:header="0"/>
        </w:sectPr>
      </w:pPr>
    </w:p>
    <w:bookmarkStart w:id="105" w:name="page106"/>
    <w:bookmarkEnd w:id="105"/>
    <w:p>
      <w:pPr>
        <w:ind w:right="560" w:firstLine="996"/>
        <w:spacing w:after="0" w:line="270" w:lineRule="auto"/>
        <w:tabs>
          <w:tab w:leader="none" w:pos="1351" w:val="left"/>
        </w:tabs>
        <w:numPr>
          <w:ilvl w:val="0"/>
          <w:numId w:val="10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No Liability for Invalidity</w:t>
      </w:r>
      <w:r>
        <w:rPr>
          <w:rFonts w:ascii="Times New Roman" w:cs="Times New Roman" w:eastAsia="Times New Roman" w:hAnsi="Times New Roman"/>
          <w:sz w:val="17"/>
          <w:szCs w:val="17"/>
          <w:color w:val="auto"/>
        </w:rPr>
        <w:t>. The Warrant Agent shall have no liability with respect to any invalidity of this Agreement or any of the Warrant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Certificates (except as to the Warrant Agent’s countersignature thereon).</w:t>
      </w:r>
    </w:p>
    <w:p>
      <w:pPr>
        <w:spacing w:after="0" w:line="118" w:lineRule="exact"/>
        <w:rPr>
          <w:rFonts w:ascii="Times New Roman" w:cs="Times New Roman" w:eastAsia="Times New Roman" w:hAnsi="Times New Roman"/>
          <w:sz w:val="17"/>
          <w:szCs w:val="17"/>
          <w:b w:val="1"/>
          <w:bCs w:val="1"/>
          <w:color w:val="auto"/>
        </w:rPr>
      </w:pPr>
    </w:p>
    <w:p>
      <w:pPr>
        <w:ind w:right="520" w:firstLine="996"/>
        <w:spacing w:after="0" w:line="283" w:lineRule="auto"/>
        <w:tabs>
          <w:tab w:leader="none" w:pos="1360" w:val="left"/>
        </w:tabs>
        <w:numPr>
          <w:ilvl w:val="0"/>
          <w:numId w:val="10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No Responsibility for Representations</w:t>
      </w:r>
      <w:r>
        <w:rPr>
          <w:rFonts w:ascii="Times New Roman" w:cs="Times New Roman" w:eastAsia="Times New Roman" w:hAnsi="Times New Roman"/>
          <w:sz w:val="17"/>
          <w:szCs w:val="17"/>
          <w:color w:val="auto"/>
        </w:rPr>
        <w:t>. The Warrant Agent shall not be responsible for any of the recitals or representations herein or 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Warrant Certificates (except as to the Warrant Agent’s countersignature thereon), all of which are made solely by the Company.</w:t>
      </w:r>
    </w:p>
    <w:p>
      <w:pPr>
        <w:spacing w:after="0" w:line="107" w:lineRule="exact"/>
        <w:rPr>
          <w:rFonts w:ascii="Times New Roman" w:cs="Times New Roman" w:eastAsia="Times New Roman" w:hAnsi="Times New Roman"/>
          <w:sz w:val="17"/>
          <w:szCs w:val="17"/>
          <w:b w:val="1"/>
          <w:bCs w:val="1"/>
          <w:color w:val="auto"/>
        </w:rPr>
      </w:pPr>
    </w:p>
    <w:p>
      <w:pPr>
        <w:ind w:firstLine="996"/>
        <w:spacing w:after="0" w:line="246" w:lineRule="auto"/>
        <w:tabs>
          <w:tab w:leader="none" w:pos="1314" w:val="left"/>
        </w:tabs>
        <w:numPr>
          <w:ilvl w:val="0"/>
          <w:numId w:val="10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No Implied Obligations</w:t>
      </w:r>
      <w:r>
        <w:rPr>
          <w:rFonts w:ascii="Times New Roman" w:cs="Times New Roman" w:eastAsia="Times New Roman" w:hAnsi="Times New Roman"/>
          <w:sz w:val="17"/>
          <w:szCs w:val="17"/>
          <w:color w:val="auto"/>
        </w:rPr>
        <w:t>. The Warrant Agent shall be obligated to perform only such duties as are herein and in the Warrant Certificates specifically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w:t>
      </w:r>
    </w:p>
    <w:p>
      <w:pPr>
        <w:spacing w:after="0" w:line="141" w:lineRule="exact"/>
        <w:rPr>
          <w:sz w:val="20"/>
          <w:szCs w:val="20"/>
          <w:color w:val="auto"/>
        </w:rPr>
      </w:pPr>
    </w:p>
    <w:p>
      <w:pPr>
        <w:ind w:left="500"/>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5.3.</w:t>
      </w:r>
      <w:r>
        <w:rPr>
          <w:sz w:val="20"/>
          <w:szCs w:val="20"/>
          <w:color w:val="auto"/>
        </w:rPr>
        <w:tab/>
      </w:r>
      <w:r>
        <w:rPr>
          <w:rFonts w:ascii="Times New Roman" w:cs="Times New Roman" w:eastAsia="Times New Roman" w:hAnsi="Times New Roman"/>
          <w:sz w:val="16"/>
          <w:szCs w:val="16"/>
          <w:b w:val="1"/>
          <w:bCs w:val="1"/>
          <w:color w:val="auto"/>
        </w:rPr>
        <w:t>Resignation, Removal and Appointment of Successors.</w:t>
      </w:r>
    </w:p>
    <w:p>
      <w:pPr>
        <w:spacing w:after="0" w:line="181" w:lineRule="exact"/>
        <w:rPr>
          <w:sz w:val="20"/>
          <w:szCs w:val="20"/>
          <w:color w:val="auto"/>
        </w:rPr>
      </w:pPr>
    </w:p>
    <w:p>
      <w:pPr>
        <w:ind w:right="360" w:firstLine="996"/>
        <w:spacing w:after="0" w:line="265" w:lineRule="auto"/>
        <w:tabs>
          <w:tab w:leader="none" w:pos="1351" w:val="left"/>
        </w:tabs>
        <w:numPr>
          <w:ilvl w:val="0"/>
          <w:numId w:val="10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agrees, for the benefit of the holders from time to time of the Warrant Certificates, that there shall at all times be a Warrant Agent hereunder until all the Warrants have been exercised or are no longer exercisable.</w:t>
      </w:r>
    </w:p>
    <w:p>
      <w:pPr>
        <w:spacing w:after="0" w:line="126" w:lineRule="exact"/>
        <w:rPr>
          <w:rFonts w:ascii="Times New Roman" w:cs="Times New Roman" w:eastAsia="Times New Roman" w:hAnsi="Times New Roman"/>
          <w:sz w:val="17"/>
          <w:szCs w:val="17"/>
          <w:b w:val="1"/>
          <w:bCs w:val="1"/>
          <w:color w:val="auto"/>
        </w:rPr>
      </w:pPr>
    </w:p>
    <w:p>
      <w:pPr>
        <w:ind w:right="80" w:firstLine="996"/>
        <w:spacing w:after="0" w:line="247" w:lineRule="auto"/>
        <w:tabs>
          <w:tab w:leader="none" w:pos="1360" w:val="left"/>
        </w:tabs>
        <w:numPr>
          <w:ilvl w:val="0"/>
          <w:numId w:val="10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w:t>
      </w:r>
    </w:p>
    <w:p>
      <w:pPr>
        <w:spacing w:after="0" w:line="142" w:lineRule="exact"/>
        <w:rPr>
          <w:rFonts w:ascii="Times New Roman" w:cs="Times New Roman" w:eastAsia="Times New Roman" w:hAnsi="Times New Roman"/>
          <w:sz w:val="17"/>
          <w:szCs w:val="17"/>
          <w:b w:val="1"/>
          <w:bCs w:val="1"/>
          <w:color w:val="auto"/>
        </w:rPr>
      </w:pPr>
    </w:p>
    <w:p>
      <w:pPr>
        <w:ind w:left="1340" w:hanging="344"/>
        <w:spacing w:after="0"/>
        <w:tabs>
          <w:tab w:leader="none" w:pos="1340" w:val="left"/>
        </w:tabs>
        <w:numPr>
          <w:ilvl w:val="0"/>
          <w:numId w:val="10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case at any time the Warrant Agent shall resign, or shall be removed, or shall become incapable of acting, or shall be adjudged a bankrupt or</w:t>
      </w:r>
    </w:p>
    <w:p>
      <w:pPr>
        <w:spacing w:after="0" w:line="19" w:lineRule="exact"/>
        <w:rPr>
          <w:rFonts w:ascii="Times New Roman" w:cs="Times New Roman" w:eastAsia="Times New Roman" w:hAnsi="Times New Roman"/>
          <w:sz w:val="17"/>
          <w:szCs w:val="17"/>
          <w:b w:val="1"/>
          <w:bCs w:val="1"/>
          <w:color w:val="auto"/>
        </w:rPr>
      </w:pP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insolvent, or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1240"/>
          </w:cols>
          <w:pgMar w:left="300" w:top="1118" w:right="359" w:bottom="1440" w:gutter="0" w:footer="0" w:header="0"/>
        </w:sectPr>
      </w:pPr>
    </w:p>
    <w:bookmarkStart w:id="106" w:name="page107"/>
    <w:bookmarkEnd w:id="106"/>
    <w:p>
      <w:pPr>
        <w:ind w:right="20"/>
        <w:spacing w:after="0" w:line="263" w:lineRule="auto"/>
        <w:rPr>
          <w:sz w:val="20"/>
          <w:szCs w:val="20"/>
          <w:color w:val="auto"/>
        </w:rPr>
      </w:pPr>
      <w:r>
        <w:rPr>
          <w:rFonts w:ascii="Times New Roman" w:cs="Times New Roman" w:eastAsia="Times New Roman" w:hAnsi="Times New Roman"/>
          <w:sz w:val="16"/>
          <w:szCs w:val="16"/>
          <w:color w:val="auto"/>
        </w:rPr>
        <w:t>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w:t>
      </w:r>
    </w:p>
    <w:p>
      <w:pPr>
        <w:spacing w:after="0" w:line="135" w:lineRule="exact"/>
        <w:rPr>
          <w:sz w:val="20"/>
          <w:szCs w:val="20"/>
          <w:color w:val="auto"/>
        </w:rPr>
      </w:pPr>
    </w:p>
    <w:p>
      <w:pPr>
        <w:ind w:right="60" w:firstLine="996"/>
        <w:spacing w:after="0" w:line="250" w:lineRule="auto"/>
        <w:tabs>
          <w:tab w:leader="none" w:pos="1360" w:val="left"/>
        </w:tabs>
        <w:numPr>
          <w:ilvl w:val="0"/>
          <w:numId w:val="10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w:t>
      </w:r>
    </w:p>
    <w:p>
      <w:pPr>
        <w:spacing w:after="0" w:line="140" w:lineRule="exact"/>
        <w:rPr>
          <w:rFonts w:ascii="Times New Roman" w:cs="Times New Roman" w:eastAsia="Times New Roman" w:hAnsi="Times New Roman"/>
          <w:sz w:val="17"/>
          <w:szCs w:val="17"/>
          <w:b w:val="1"/>
          <w:bCs w:val="1"/>
          <w:color w:val="auto"/>
        </w:rPr>
      </w:pPr>
    </w:p>
    <w:p>
      <w:pPr>
        <w:jc w:val="both"/>
        <w:ind w:right="60" w:firstLine="996"/>
        <w:spacing w:after="0" w:line="269" w:lineRule="auto"/>
        <w:tabs>
          <w:tab w:leader="none" w:pos="1342" w:val="left"/>
        </w:tabs>
        <w:numPr>
          <w:ilvl w:val="0"/>
          <w:numId w:val="10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Any corporation into which the Warrant Agent hereunder may be merged or converted or any corporation with which the Warrant Agent may be consolidated, or any 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w:t>
      </w:r>
    </w:p>
    <w:p>
      <w:pPr>
        <w:spacing w:after="0" w:line="1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ARTICLE 6</w:t>
      </w:r>
    </w:p>
    <w:p>
      <w:pPr>
        <w:spacing w:after="0" w:line="1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MISCELLANEOUS</w:t>
      </w:r>
    </w:p>
    <w:p>
      <w:pPr>
        <w:spacing w:after="0" w:line="166" w:lineRule="exact"/>
        <w:rPr>
          <w:sz w:val="20"/>
          <w:szCs w:val="20"/>
          <w:color w:val="auto"/>
        </w:rPr>
      </w:pPr>
    </w:p>
    <w:p>
      <w:pPr>
        <w:ind w:firstLine="496"/>
        <w:spacing w:after="0" w:line="255" w:lineRule="auto"/>
        <w:rPr>
          <w:sz w:val="20"/>
          <w:szCs w:val="20"/>
          <w:color w:val="auto"/>
        </w:rPr>
      </w:pPr>
      <w:r>
        <w:rPr>
          <w:rFonts w:ascii="Times New Roman" w:cs="Times New Roman" w:eastAsia="Times New Roman" w:hAnsi="Times New Roman"/>
          <w:sz w:val="17"/>
          <w:szCs w:val="17"/>
          <w:b w:val="1"/>
          <w:bCs w:val="1"/>
          <w:color w:val="auto"/>
        </w:rPr>
        <w:t>6.1. Amendment</w:t>
      </w:r>
      <w:r>
        <w:rPr>
          <w:rFonts w:ascii="Times New Roman" w:cs="Times New Roman" w:eastAsia="Times New Roman" w:hAnsi="Times New Roman"/>
          <w:sz w:val="17"/>
          <w:szCs w:val="17"/>
          <w:color w:val="auto"/>
        </w:rPr>
        <w:t>. This Agreement may be amended by the parties hereto, without the consent of the holder of any Warrant Certificate, for the purpose of curing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ambiguity, or of curing, correcting or supplementing any defective provision contained herein, or making any other provisions with respect to matters or questions arising under this Agreement 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1240"/>
          </w:cols>
          <w:pgMar w:left="300" w:top="1122" w:right="359" w:bottom="1440" w:gutter="0" w:footer="0" w:header="0"/>
        </w:sectPr>
      </w:pPr>
    </w:p>
    <w:bookmarkStart w:id="107" w:name="page108"/>
    <w:bookmarkEnd w:id="107"/>
    <w:p>
      <w:pPr>
        <w:ind w:right="460"/>
        <w:spacing w:after="0" w:line="265" w:lineRule="auto"/>
        <w:rPr>
          <w:sz w:val="20"/>
          <w:szCs w:val="20"/>
          <w:color w:val="auto"/>
        </w:rPr>
      </w:pPr>
      <w:r>
        <w:rPr>
          <w:rFonts w:ascii="Times New Roman" w:cs="Times New Roman" w:eastAsia="Times New Roman" w:hAnsi="Times New Roman"/>
          <w:sz w:val="17"/>
          <w:szCs w:val="17"/>
          <w:color w:val="auto"/>
        </w:rPr>
        <w:t>Company and the Warrant Agent may deem necessary or desirable; provided that such action shall not materially adversely affect the interests of the holders of the Warrant Certificates.</w:t>
      </w:r>
    </w:p>
    <w:p>
      <w:pPr>
        <w:spacing w:after="0" w:line="123" w:lineRule="exact"/>
        <w:rPr>
          <w:sz w:val="20"/>
          <w:szCs w:val="20"/>
          <w:color w:val="auto"/>
        </w:rPr>
      </w:pPr>
    </w:p>
    <w:p>
      <w:pPr>
        <w:jc w:val="both"/>
        <w:ind w:right="120" w:firstLine="496"/>
        <w:spacing w:after="0" w:line="316" w:lineRule="auto"/>
        <w:rPr>
          <w:sz w:val="20"/>
          <w:szCs w:val="20"/>
          <w:color w:val="auto"/>
        </w:rPr>
      </w:pPr>
      <w:r>
        <w:rPr>
          <w:rFonts w:ascii="Times New Roman" w:cs="Times New Roman" w:eastAsia="Times New Roman" w:hAnsi="Times New Roman"/>
          <w:sz w:val="16"/>
          <w:szCs w:val="16"/>
          <w:b w:val="1"/>
          <w:bCs w:val="1"/>
          <w:color w:val="auto"/>
        </w:rPr>
        <w:t>6.2. Notices and Demands to the Company and Warrant Agent</w:t>
      </w:r>
      <w:r>
        <w:rPr>
          <w:rFonts w:ascii="Times New Roman" w:cs="Times New Roman" w:eastAsia="Times New Roman" w:hAnsi="Times New Roman"/>
          <w:sz w:val="16"/>
          <w:szCs w:val="16"/>
          <w:color w:val="auto"/>
        </w:rPr>
        <w:t>. If the Warrant Agent shall receive any notice or demand addressed to the Company by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holder of a Warrant Certificate pursuant to the provisions of the Warrant Certificates, the Warrant Agent shall promptly forward such notice or demand to the Company.</w:t>
      </w:r>
    </w:p>
    <w:p>
      <w:pPr>
        <w:spacing w:after="0" w:line="84" w:lineRule="exact"/>
        <w:rPr>
          <w:sz w:val="20"/>
          <w:szCs w:val="20"/>
          <w:color w:val="auto"/>
        </w:rPr>
      </w:pPr>
    </w:p>
    <w:p>
      <w:pPr>
        <w:ind w:right="240" w:firstLine="496"/>
        <w:spacing w:after="0" w:line="279" w:lineRule="auto"/>
        <w:rPr>
          <w:sz w:val="20"/>
          <w:szCs w:val="20"/>
          <w:color w:val="auto"/>
        </w:rPr>
      </w:pPr>
      <w:r>
        <w:rPr>
          <w:rFonts w:ascii="Times New Roman" w:cs="Times New Roman" w:eastAsia="Times New Roman" w:hAnsi="Times New Roman"/>
          <w:sz w:val="16"/>
          <w:szCs w:val="16"/>
          <w:b w:val="1"/>
          <w:bCs w:val="1"/>
          <w:color w:val="auto"/>
        </w:rPr>
        <w:t>6.3. Addresses</w:t>
      </w:r>
      <w:r>
        <w:rPr>
          <w:rFonts w:ascii="Times New Roman" w:cs="Times New Roman" w:eastAsia="Times New Roman" w:hAnsi="Times New Roman"/>
          <w:sz w:val="16"/>
          <w:szCs w:val="16"/>
          <w:color w:val="auto"/>
        </w:rPr>
        <w:t>. Any communication from the Company to the Warrant Agent with respect to this Agreement shall be addressed to [•], Attention: [•] and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communication from the Warrant Agent to the Company with respect to this Agreement shall be addressed to Acumen Pharmaceuticals, Inc., 427 Park St., Charlottesville, Virginia 22902, Attention: Chief Executive Officer (or such other address as shall be specified in writing by the Warrant Agent or by the Company).</w:t>
      </w:r>
    </w:p>
    <w:p>
      <w:pPr>
        <w:spacing w:after="0" w:line="113" w:lineRule="exact"/>
        <w:rPr>
          <w:sz w:val="20"/>
          <w:szCs w:val="20"/>
          <w:color w:val="auto"/>
        </w:rPr>
      </w:pPr>
    </w:p>
    <w:p>
      <w:pPr>
        <w:ind w:right="300" w:firstLine="496"/>
        <w:spacing w:after="0" w:line="283" w:lineRule="auto"/>
        <w:rPr>
          <w:sz w:val="20"/>
          <w:szCs w:val="20"/>
          <w:color w:val="auto"/>
        </w:rPr>
      </w:pPr>
      <w:r>
        <w:rPr>
          <w:rFonts w:ascii="Times New Roman" w:cs="Times New Roman" w:eastAsia="Times New Roman" w:hAnsi="Times New Roman"/>
          <w:sz w:val="17"/>
          <w:szCs w:val="17"/>
          <w:b w:val="1"/>
          <w:bCs w:val="1"/>
          <w:color w:val="auto"/>
        </w:rPr>
        <w:t>6.4. Governing Law</w:t>
      </w:r>
      <w:r>
        <w:rPr>
          <w:rFonts w:ascii="Times New Roman" w:cs="Times New Roman" w:eastAsia="Times New Roman" w:hAnsi="Times New Roman"/>
          <w:sz w:val="17"/>
          <w:szCs w:val="17"/>
          <w:color w:val="auto"/>
        </w:rPr>
        <w:t>. This Agreement and each Warrant Certificate issued hereunder shall be governed by and construed in accordance with the laws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State of New York.</w:t>
      </w:r>
    </w:p>
    <w:p>
      <w:pPr>
        <w:spacing w:after="0" w:line="108" w:lineRule="exact"/>
        <w:rPr>
          <w:sz w:val="20"/>
          <w:szCs w:val="20"/>
          <w:color w:val="auto"/>
        </w:rPr>
      </w:pPr>
    </w:p>
    <w:p>
      <w:pPr>
        <w:ind w:firstLine="496"/>
        <w:spacing w:after="0" w:line="248" w:lineRule="auto"/>
        <w:rPr>
          <w:sz w:val="20"/>
          <w:szCs w:val="20"/>
          <w:color w:val="auto"/>
        </w:rPr>
      </w:pPr>
      <w:r>
        <w:rPr>
          <w:rFonts w:ascii="Times New Roman" w:cs="Times New Roman" w:eastAsia="Times New Roman" w:hAnsi="Times New Roman"/>
          <w:sz w:val="17"/>
          <w:szCs w:val="17"/>
          <w:b w:val="1"/>
          <w:bCs w:val="1"/>
          <w:color w:val="auto"/>
        </w:rPr>
        <w:t>6.5. Delivery of Prospectus</w:t>
      </w:r>
      <w:r>
        <w:rPr>
          <w:rFonts w:ascii="Times New Roman" w:cs="Times New Roman" w:eastAsia="Times New Roman" w:hAnsi="Times New Roman"/>
          <w:sz w:val="17"/>
          <w:szCs w:val="17"/>
          <w:color w:val="auto"/>
        </w:rPr>
        <w:t>. The Company shall furnish to the Warrant Agent sufficient copies of a prospectus meeting the requirements of the Securities Act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1933, as amended, relating to the Warrant Securities deliverable upon exercise of the Warrants (the “</w:t>
      </w:r>
      <w:r>
        <w:rPr>
          <w:rFonts w:ascii="Times New Roman" w:cs="Times New Roman" w:eastAsia="Times New Roman" w:hAnsi="Times New Roman"/>
          <w:sz w:val="17"/>
          <w:szCs w:val="17"/>
          <w:i w:val="1"/>
          <w:iCs w:val="1"/>
          <w:color w:val="auto"/>
        </w:rPr>
        <w:t>Prospectus</w:t>
      </w:r>
      <w:r>
        <w:rPr>
          <w:rFonts w:ascii="Times New Roman" w:cs="Times New Roman" w:eastAsia="Times New Roman" w:hAnsi="Times New Roman"/>
          <w:sz w:val="17"/>
          <w:szCs w:val="17"/>
          <w:color w:val="auto"/>
        </w:rPr>
        <w:t>”), and the Warrant Agent agrees that upon the exercise of any Warrant, the Warrant Agent will deliver to the holder of the Warrant Certificate evidencing such Warrant, prior to or concurrently with the delivery of the Warrant Securities issued upon such exercise, a Prospectus. The Warrant Agent shall not, by reason of any such delivery, assume any responsibility for the accuracy or adequacy of such Prospectus.</w:t>
      </w:r>
    </w:p>
    <w:p>
      <w:pPr>
        <w:spacing w:after="0" w:line="148" w:lineRule="exact"/>
        <w:rPr>
          <w:sz w:val="20"/>
          <w:szCs w:val="20"/>
          <w:color w:val="auto"/>
        </w:rPr>
      </w:pPr>
    </w:p>
    <w:p>
      <w:pPr>
        <w:ind w:firstLine="496"/>
        <w:spacing w:after="0" w:line="248" w:lineRule="auto"/>
        <w:rPr>
          <w:sz w:val="20"/>
          <w:szCs w:val="20"/>
          <w:color w:val="auto"/>
        </w:rPr>
      </w:pPr>
      <w:r>
        <w:rPr>
          <w:rFonts w:ascii="Times New Roman" w:cs="Times New Roman" w:eastAsia="Times New Roman" w:hAnsi="Times New Roman"/>
          <w:sz w:val="17"/>
          <w:szCs w:val="17"/>
          <w:b w:val="1"/>
          <w:bCs w:val="1"/>
          <w:color w:val="auto"/>
        </w:rPr>
        <w:t>6.6. Obtaining of Governmental Approvals</w:t>
      </w:r>
      <w:r>
        <w:rPr>
          <w:rFonts w:ascii="Times New Roman" w:cs="Times New Roman" w:eastAsia="Times New Roman" w:hAnsi="Times New Roman"/>
          <w:sz w:val="17"/>
          <w:szCs w:val="17"/>
          <w:color w:val="auto"/>
        </w:rPr>
        <w:t>. The Company will from time to time take all action which may be necessary to obtain and keep effective any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all permits, consents and approvals of governmental agencies and authorities and securities act filings under United States Federal and state laws (including without limitation a registration statement in respect of the Warrants and Warrant Securities under the Securities Act of 1933, as amended), which may be or become requisite in connection with the issuance, sale, transfer, and delivery of the Warrant Securities issued upon exercise of the Warrants, the issuance, sale, transfer and delivery of the Warrants or upon the expiration of the period during which the Warrants are exercisable.</w:t>
      </w:r>
    </w:p>
    <w:p>
      <w:pPr>
        <w:spacing w:after="0" w:line="148" w:lineRule="exact"/>
        <w:rPr>
          <w:sz w:val="20"/>
          <w:szCs w:val="20"/>
          <w:color w:val="auto"/>
        </w:rPr>
      </w:pPr>
    </w:p>
    <w:p>
      <w:pPr>
        <w:ind w:right="240" w:firstLine="496"/>
        <w:spacing w:after="0" w:line="270" w:lineRule="auto"/>
        <w:rPr>
          <w:sz w:val="20"/>
          <w:szCs w:val="20"/>
          <w:color w:val="auto"/>
        </w:rPr>
      </w:pPr>
      <w:r>
        <w:rPr>
          <w:rFonts w:ascii="Times New Roman" w:cs="Times New Roman" w:eastAsia="Times New Roman" w:hAnsi="Times New Roman"/>
          <w:sz w:val="17"/>
          <w:szCs w:val="17"/>
          <w:b w:val="1"/>
          <w:bCs w:val="1"/>
          <w:color w:val="auto"/>
        </w:rPr>
        <w:t>6.7. Persons Having Rights Under the Agreement</w:t>
      </w:r>
      <w:r>
        <w:rPr>
          <w:rFonts w:ascii="Times New Roman" w:cs="Times New Roman" w:eastAsia="Times New Roman" w:hAnsi="Times New Roman"/>
          <w:sz w:val="17"/>
          <w:szCs w:val="17"/>
          <w:color w:val="auto"/>
        </w:rPr>
        <w:t>. Nothing in this Agreement shall give to any person other than the Company, the Warrant Agent and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holders of the Warrant Certificates any right, remedy or claim under or by reason of this Agreement.</w:t>
      </w:r>
    </w:p>
    <w:p>
      <w:pPr>
        <w:spacing w:after="0" w:line="119" w:lineRule="exact"/>
        <w:rPr>
          <w:sz w:val="20"/>
          <w:szCs w:val="20"/>
          <w:color w:val="auto"/>
        </w:rPr>
      </w:pPr>
    </w:p>
    <w:p>
      <w:pPr>
        <w:ind w:right="80" w:firstLine="496"/>
        <w:spacing w:after="0" w:line="270" w:lineRule="auto"/>
        <w:rPr>
          <w:sz w:val="20"/>
          <w:szCs w:val="20"/>
          <w:color w:val="auto"/>
        </w:rPr>
      </w:pPr>
      <w:r>
        <w:rPr>
          <w:rFonts w:ascii="Times New Roman" w:cs="Times New Roman" w:eastAsia="Times New Roman" w:hAnsi="Times New Roman"/>
          <w:sz w:val="17"/>
          <w:szCs w:val="17"/>
          <w:b w:val="1"/>
          <w:bCs w:val="1"/>
          <w:color w:val="auto"/>
        </w:rPr>
        <w:t>6.8. Headings</w:t>
      </w:r>
      <w:r>
        <w:rPr>
          <w:rFonts w:ascii="Times New Roman" w:cs="Times New Roman" w:eastAsia="Times New Roman" w:hAnsi="Times New Roman"/>
          <w:sz w:val="17"/>
          <w:szCs w:val="17"/>
          <w:color w:val="auto"/>
        </w:rPr>
        <w:t>. The descriptive headings of the several Articles and Sections of this Agreement are inserted for convenience only and shall not control or affect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meaning or construction of any of the provisions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1240"/>
          </w:cols>
          <w:pgMar w:left="300" w:top="1122" w:right="359" w:bottom="1440" w:gutter="0" w:footer="0" w:header="0"/>
        </w:sectPr>
      </w:pPr>
    </w:p>
    <w:bookmarkStart w:id="108" w:name="page109"/>
    <w:bookmarkEnd w:id="108"/>
    <w:p>
      <w:pPr>
        <w:ind w:right="60" w:firstLine="496"/>
        <w:spacing w:after="0" w:line="270" w:lineRule="auto"/>
        <w:rPr>
          <w:sz w:val="20"/>
          <w:szCs w:val="20"/>
          <w:color w:val="auto"/>
        </w:rPr>
      </w:pPr>
      <w:r>
        <w:rPr>
          <w:rFonts w:ascii="Times New Roman" w:cs="Times New Roman" w:eastAsia="Times New Roman" w:hAnsi="Times New Roman"/>
          <w:sz w:val="17"/>
          <w:szCs w:val="17"/>
          <w:b w:val="1"/>
          <w:bCs w:val="1"/>
          <w:color w:val="auto"/>
        </w:rPr>
        <w:t>6.9. Counterparts</w:t>
      </w:r>
      <w:r>
        <w:rPr>
          <w:rFonts w:ascii="Times New Roman" w:cs="Times New Roman" w:eastAsia="Times New Roman" w:hAnsi="Times New Roman"/>
          <w:sz w:val="17"/>
          <w:szCs w:val="17"/>
          <w:color w:val="auto"/>
        </w:rPr>
        <w:t>. This Agreement may be executed in any number of counterparts, each of which as so executed shall be deemed to be an original, but such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counterparts shall together constitute but one and the same instrument.</w:t>
      </w:r>
    </w:p>
    <w:p>
      <w:pPr>
        <w:spacing w:after="0" w:line="119" w:lineRule="exact"/>
        <w:rPr>
          <w:sz w:val="20"/>
          <w:szCs w:val="20"/>
          <w:color w:val="auto"/>
        </w:rPr>
      </w:pPr>
    </w:p>
    <w:p>
      <w:pPr>
        <w:ind w:firstLine="496"/>
        <w:spacing w:after="0" w:line="316" w:lineRule="auto"/>
        <w:rPr>
          <w:sz w:val="20"/>
          <w:szCs w:val="20"/>
          <w:color w:val="auto"/>
        </w:rPr>
      </w:pPr>
      <w:r>
        <w:rPr>
          <w:rFonts w:ascii="Times New Roman" w:cs="Times New Roman" w:eastAsia="Times New Roman" w:hAnsi="Times New Roman"/>
          <w:sz w:val="16"/>
          <w:szCs w:val="16"/>
          <w:b w:val="1"/>
          <w:bCs w:val="1"/>
          <w:color w:val="auto"/>
        </w:rPr>
        <w:t>6.10. Inspection of Agreement</w:t>
      </w:r>
      <w:r>
        <w:rPr>
          <w:rFonts w:ascii="Times New Roman" w:cs="Times New Roman" w:eastAsia="Times New Roman" w:hAnsi="Times New Roman"/>
          <w:sz w:val="16"/>
          <w:szCs w:val="16"/>
          <w:color w:val="auto"/>
        </w:rPr>
        <w:t>. A copy of this Agreement shall be available at all reasonable times at the principal corporate trust office of the Warrant Agent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for inspection by the holder of any Warrant Certificate. The Warrant Agent may require such holder to submit such holder’s Warrant Certificate for inspection by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1140"/>
          </w:cols>
          <w:pgMar w:left="300" w:top="1118" w:right="459" w:bottom="1440" w:gutter="0" w:footer="0" w:header="0"/>
        </w:sectPr>
      </w:pPr>
    </w:p>
    <w:bookmarkStart w:id="109" w:name="page110"/>
    <w:bookmarkEnd w:id="109"/>
    <w:p>
      <w:pPr>
        <w:ind w:left="480"/>
        <w:spacing w:after="0"/>
        <w:rPr>
          <w:sz w:val="20"/>
          <w:szCs w:val="20"/>
          <w:color w:val="auto"/>
        </w:rPr>
      </w:pPr>
      <w:r>
        <w:rPr>
          <w:rFonts w:ascii="Times New Roman" w:cs="Times New Roman" w:eastAsia="Times New Roman" w:hAnsi="Times New Roman"/>
          <w:sz w:val="16"/>
          <w:szCs w:val="16"/>
          <w:b w:val="1"/>
          <w:bCs w:val="1"/>
          <w:color w:val="auto"/>
        </w:rPr>
        <w:t>IN WITNESS WHEREOF</w:t>
      </w:r>
      <w:r>
        <w:rPr>
          <w:rFonts w:ascii="Times New Roman" w:cs="Times New Roman" w:eastAsia="Times New Roman" w:hAnsi="Times New Roman"/>
          <w:sz w:val="16"/>
          <w:szCs w:val="16"/>
          <w:color w:val="auto"/>
        </w:rPr>
        <w:t>, the parties hereto have caused this Agreement to be duly executed as of the day and year first above written.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Acumen Pharmaceuticals, Inc., as Company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2359660</wp:posOffset>
            </wp:positionH>
            <wp:positionV relativeFrom="paragraph">
              <wp:posOffset>20320</wp:posOffset>
            </wp:positionV>
            <wp:extent cx="4793615"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4793615" cy="635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2359660</wp:posOffset>
            </wp:positionH>
            <wp:positionV relativeFrom="paragraph">
              <wp:posOffset>20320</wp:posOffset>
            </wp:positionV>
            <wp:extent cx="4793615"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4793615" cy="635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2359660</wp:posOffset>
            </wp:positionH>
            <wp:positionV relativeFrom="paragraph">
              <wp:posOffset>20320</wp:posOffset>
            </wp:positionV>
            <wp:extent cx="4793615"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4793615" cy="6350"/>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ATTEST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4684395</wp:posOffset>
            </wp:positionH>
            <wp:positionV relativeFrom="paragraph">
              <wp:posOffset>154305</wp:posOffset>
            </wp:positionV>
            <wp:extent cx="2468880"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2468880" cy="6350"/>
                    </a:xfrm>
                    <a:prstGeom prst="rect">
                      <a:avLst/>
                    </a:prstGeom>
                    <a:noFill/>
                  </pic:spPr>
                </pic:pic>
              </a:graphicData>
            </a:graphic>
          </wp:anchor>
        </w:drawing>
        <w:drawing>
          <wp:anchor simplePos="0" relativeHeight="251657728" behindDoc="1" locked="0" layoutInCell="0" allowOverlap="1">
            <wp:simplePos x="0" y="0"/>
            <wp:positionH relativeFrom="column">
              <wp:posOffset>4684395</wp:posOffset>
            </wp:positionH>
            <wp:positionV relativeFrom="paragraph">
              <wp:posOffset>22860</wp:posOffset>
            </wp:positionV>
            <wp:extent cx="2468880"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2468880" cy="635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COUNTERSIGNED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as Warrant Agent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2359660</wp:posOffset>
            </wp:positionH>
            <wp:positionV relativeFrom="paragraph">
              <wp:posOffset>20320</wp:posOffset>
            </wp:positionV>
            <wp:extent cx="4793615"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4793615" cy="635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2359660</wp:posOffset>
            </wp:positionH>
            <wp:positionV relativeFrom="paragraph">
              <wp:posOffset>20320</wp:posOffset>
            </wp:positionV>
            <wp:extent cx="4793615"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4793615" cy="635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2359660</wp:posOffset>
            </wp:positionH>
            <wp:positionV relativeFrom="paragraph">
              <wp:posOffset>20320</wp:posOffset>
            </wp:positionV>
            <wp:extent cx="4793615"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4793615" cy="6350"/>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ATTEST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4684395</wp:posOffset>
            </wp:positionH>
            <wp:positionV relativeFrom="paragraph">
              <wp:posOffset>154305</wp:posOffset>
            </wp:positionV>
            <wp:extent cx="2468880"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2468880" cy="6350"/>
                    </a:xfrm>
                    <a:prstGeom prst="rect">
                      <a:avLst/>
                    </a:prstGeom>
                    <a:noFill/>
                  </pic:spPr>
                </pic:pic>
              </a:graphicData>
            </a:graphic>
          </wp:anchor>
        </w:drawing>
        <w:drawing>
          <wp:anchor simplePos="0" relativeHeight="251657728" behindDoc="1" locked="0" layoutInCell="0" allowOverlap="1">
            <wp:simplePos x="0" y="0"/>
            <wp:positionH relativeFrom="column">
              <wp:posOffset>4684395</wp:posOffset>
            </wp:positionH>
            <wp:positionV relativeFrom="paragraph">
              <wp:posOffset>22860</wp:posOffset>
            </wp:positionV>
            <wp:extent cx="2468880"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246888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4"/>
          <w:szCs w:val="14"/>
          <w:color w:val="auto"/>
        </w:rPr>
        <w:t>[SIGNATURE PAGE TO ACUMEN PHARMACEUTICALS, INC. COMMON STOCK WARRANT AGREEMENT]</w:t>
      </w:r>
    </w:p>
    <w:p>
      <w:pPr>
        <w:sectPr>
          <w:pgSz w:w="11900" w:h="16838" w:orient="portrait"/>
          <w:cols w:equalWidth="0" w:num="1">
            <w:col w:w="10139"/>
          </w:cols>
          <w:pgMar w:left="320" w:top="1118" w:right="1440" w:bottom="1440" w:gutter="0" w:footer="0" w:header="0"/>
        </w:sectPr>
      </w:pPr>
    </w:p>
    <w:bookmarkStart w:id="110" w:name="page111"/>
    <w:bookmarkEnd w:id="110"/>
    <w:p>
      <w:pPr>
        <w:jc w:val="center"/>
        <w:ind w:right="-659"/>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16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7"/>
          <w:szCs w:val="17"/>
          <w:b w:val="1"/>
          <w:bCs w:val="1"/>
          <w:color w:val="auto"/>
        </w:rPr>
        <w:t>FORM OF WARRANT CERTIFICATE</w:t>
      </w:r>
    </w:p>
    <w:p>
      <w:pPr>
        <w:spacing w:after="0" w:line="2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[FACE OF WARRANT CERTIFICATE]</w:t>
      </w:r>
    </w:p>
    <w:p>
      <w:pPr>
        <w:spacing w:after="0" w:line="362" w:lineRule="exact"/>
        <w:rPr>
          <w:sz w:val="20"/>
          <w:szCs w:val="20"/>
          <w:color w:val="auto"/>
        </w:rPr>
      </w:pPr>
    </w:p>
    <w:p>
      <w:pPr>
        <w:spacing w:after="0"/>
        <w:tabs>
          <w:tab w:leader="none" w:pos="5160" w:val="left"/>
        </w:tabs>
        <w:rPr>
          <w:sz w:val="20"/>
          <w:szCs w:val="20"/>
          <w:color w:val="auto"/>
        </w:rPr>
      </w:pPr>
      <w:r>
        <w:rPr>
          <w:rFonts w:ascii="Times New Roman" w:cs="Times New Roman" w:eastAsia="Times New Roman" w:hAnsi="Times New Roman"/>
          <w:sz w:val="17"/>
          <w:szCs w:val="17"/>
          <w:b w:val="1"/>
          <w:bCs w:val="1"/>
          <w:color w:val="auto"/>
        </w:rPr>
        <w:t>[Form of Legend if Warrants are not immediately exercisable.]</w:t>
      </w:r>
      <w:r>
        <w:rPr>
          <w:sz w:val="20"/>
          <w:szCs w:val="20"/>
          <w:color w:val="auto"/>
        </w:rPr>
        <w:tab/>
      </w:r>
      <w:r>
        <w:rPr>
          <w:rFonts w:ascii="Times New Roman" w:cs="Times New Roman" w:eastAsia="Times New Roman" w:hAnsi="Times New Roman"/>
          <w:sz w:val="16"/>
          <w:szCs w:val="16"/>
          <w:color w:val="auto"/>
        </w:rPr>
        <w:t>[Prior to [•], Warrants evidenced by this Warrant Certificate cannot be exercised.]</w:t>
      </w:r>
    </w:p>
    <w:p>
      <w:pPr>
        <w:spacing w:after="0" w:line="253"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7"/>
          <w:szCs w:val="17"/>
          <w:color w:val="auto"/>
        </w:rPr>
        <w:t>EXERCISABLE ONLY IF COUNTERSIGNED BY THE WARRANT AGENT AS PROVIDED HEREIN</w:t>
      </w:r>
    </w:p>
    <w:p>
      <w:pPr>
        <w:spacing w:after="0" w:line="166"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7"/>
          <w:szCs w:val="17"/>
          <w:color w:val="auto"/>
        </w:rPr>
        <w:t>VOID AFTER [•] P.M., [CITY] TIME, ON [•].</w:t>
      </w:r>
    </w:p>
    <w:p>
      <w:pPr>
        <w:sectPr>
          <w:pgSz w:w="11900" w:h="16838" w:orient="portrait"/>
          <w:cols w:equalWidth="0" w:num="1">
            <w:col w:w="10580"/>
          </w:cols>
          <w:pgMar w:left="320" w:top="1118" w:right="999" w:bottom="1440" w:gutter="0" w:footer="0" w:header="0"/>
        </w:sectPr>
      </w:pPr>
    </w:p>
    <w:bookmarkStart w:id="111" w:name="page112"/>
    <w:bookmarkEnd w:id="11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ACUMEN PHARMACEUTICALS,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WARRANT CERTIFICATE REPRESENTING</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WARRANTS TO PURCHASE</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COMMON STOCK, PAR VALUE $0.0001 PER SHARE</w:t>
      </w:r>
    </w:p>
    <w:p>
      <w:pPr>
        <w:spacing w:after="0" w:line="199" w:lineRule="exact"/>
        <w:rPr>
          <w:sz w:val="20"/>
          <w:szCs w:val="20"/>
          <w:color w:val="auto"/>
        </w:rPr>
      </w:pPr>
    </w:p>
    <w:p>
      <w:pPr>
        <w:ind w:left="20"/>
        <w:spacing w:after="0"/>
        <w:tabs>
          <w:tab w:leader="none" w:pos="10500" w:val="left"/>
        </w:tabs>
        <w:rPr>
          <w:sz w:val="20"/>
          <w:szCs w:val="20"/>
          <w:color w:val="auto"/>
        </w:rPr>
      </w:pPr>
      <w:r>
        <w:rPr>
          <w:rFonts w:ascii="Times New Roman" w:cs="Times New Roman" w:eastAsia="Times New Roman" w:hAnsi="Times New Roman"/>
          <w:sz w:val="17"/>
          <w:szCs w:val="17"/>
          <w:color w:val="auto"/>
        </w:rPr>
        <w:t>No. []</w:t>
      </w:r>
      <w:r>
        <w:rPr>
          <w:sz w:val="20"/>
          <w:szCs w:val="20"/>
          <w:color w:val="auto"/>
        </w:rPr>
        <w:tab/>
      </w:r>
      <w:r>
        <w:rPr>
          <w:rFonts w:ascii="Times New Roman" w:cs="Times New Roman" w:eastAsia="Times New Roman" w:hAnsi="Times New Roman"/>
          <w:sz w:val="16"/>
          <w:szCs w:val="16"/>
          <w:color w:val="auto"/>
        </w:rPr>
        <w:t>[] Warrants</w:t>
      </w:r>
    </w:p>
    <w:p>
      <w:pPr>
        <w:spacing w:after="0" w:line="249" w:lineRule="exact"/>
        <w:rPr>
          <w:sz w:val="20"/>
          <w:szCs w:val="20"/>
          <w:color w:val="auto"/>
        </w:rPr>
      </w:pPr>
    </w:p>
    <w:p>
      <w:pPr>
        <w:ind w:right="80" w:firstLine="496"/>
        <w:spacing w:after="0" w:line="246" w:lineRule="auto"/>
        <w:rPr>
          <w:sz w:val="20"/>
          <w:szCs w:val="20"/>
          <w:color w:val="auto"/>
        </w:rPr>
      </w:pPr>
      <w:r>
        <w:rPr>
          <w:rFonts w:ascii="Times New Roman" w:cs="Times New Roman" w:eastAsia="Times New Roman" w:hAnsi="Times New Roman"/>
          <w:sz w:val="17"/>
          <w:szCs w:val="17"/>
          <w:color w:val="auto"/>
        </w:rPr>
        <w:t>This certifies that [●] or registered assigns is the registered owner of the above indicated number of Warrants, each Warrant entitling such owner to purchase, at any time [after [●] p.m., [City] time, [on [●] and] on or before [•] p.m., [City] time, on [●], [●] shares of Common Stock, par value $0.0001 per share (the “</w:t>
      </w:r>
      <w:r>
        <w:rPr>
          <w:rFonts w:ascii="Times New Roman" w:cs="Times New Roman" w:eastAsia="Times New Roman" w:hAnsi="Times New Roman"/>
          <w:sz w:val="17"/>
          <w:szCs w:val="17"/>
          <w:b w:val="1"/>
          <w:bCs w:val="1"/>
          <w:i w:val="1"/>
          <w:iCs w:val="1"/>
          <w:color w:val="auto"/>
        </w:rPr>
        <w:t>Warrant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Securities</w:t>
      </w:r>
      <w:r>
        <w:rPr>
          <w:rFonts w:ascii="Times New Roman" w:cs="Times New Roman" w:eastAsia="Times New Roman" w:hAnsi="Times New Roman"/>
          <w:sz w:val="17"/>
          <w:szCs w:val="17"/>
          <w:color w:val="auto"/>
        </w:rPr>
        <w:t>”), of Acumen Pharmaceuticals, Inc.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on the following basis: during the period from [●], through and including [●], the exercise price per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Warrant Security will be $[●], subject to adjustment as provided in the Warrant Agreement (as hereinafter defined) (the “</w:t>
      </w:r>
      <w:r>
        <w:rPr>
          <w:rFonts w:ascii="Times New Roman" w:cs="Times New Roman" w:eastAsia="Times New Roman" w:hAnsi="Times New Roman"/>
          <w:sz w:val="17"/>
          <w:szCs w:val="17"/>
          <w:b w:val="1"/>
          <w:bCs w:val="1"/>
          <w:i w:val="1"/>
          <w:iCs w:val="1"/>
          <w:color w:val="auto"/>
        </w:rPr>
        <w:t>Warrant Price</w:t>
      </w:r>
      <w:r>
        <w:rPr>
          <w:rFonts w:ascii="Times New Roman" w:cs="Times New Roman" w:eastAsia="Times New Roman" w:hAnsi="Times New Roman"/>
          <w:sz w:val="17"/>
          <w:szCs w:val="17"/>
          <w:color w:val="auto"/>
        </w:rPr>
        <w:t>”). The Holder may exercise the Warrants evidenced hereby by providing certain information set forth on the back hereof and by paying in full, in lawful money of the United States of America, [in cash or by certified check or official bank check in New York Clearing House funds] [by bank wire transfer in immediately available funds], the Warrant Price for each Warrant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Times New Roman" w:cs="Times New Roman" w:eastAsia="Times New Roman" w:hAnsi="Times New Roman"/>
          <w:sz w:val="17"/>
          <w:szCs w:val="17"/>
          <w:b w:val="1"/>
          <w:bCs w:val="1"/>
          <w:i w:val="1"/>
          <w:iCs w:val="1"/>
          <w:color w:val="auto"/>
        </w:rPr>
        <w:t>Warrant Agent</w:t>
      </w:r>
      <w:r>
        <w:rPr>
          <w:rFonts w:ascii="Times New Roman" w:cs="Times New Roman" w:eastAsia="Times New Roman" w:hAnsi="Times New Roman"/>
          <w:sz w:val="17"/>
          <w:szCs w:val="17"/>
          <w:color w:val="auto"/>
        </w:rPr>
        <w:t>”), which is, on the date hereof, at the address specified on the reverse hereof, and upon compliance with and subject to the conditions set forth herein and in the Warrant Agreement (as hereinafter defined).</w:t>
      </w:r>
    </w:p>
    <w:p>
      <w:pPr>
        <w:spacing w:after="0" w:line="143" w:lineRule="exact"/>
        <w:rPr>
          <w:sz w:val="20"/>
          <w:szCs w:val="20"/>
          <w:color w:val="auto"/>
        </w:rPr>
      </w:pPr>
    </w:p>
    <w:p>
      <w:pPr>
        <w:ind w:right="40" w:firstLine="496"/>
        <w:spacing w:after="0" w:line="270" w:lineRule="auto"/>
        <w:rPr>
          <w:sz w:val="20"/>
          <w:szCs w:val="20"/>
          <w:color w:val="auto"/>
        </w:rPr>
      </w:pPr>
      <w:r>
        <w:rPr>
          <w:rFonts w:ascii="Times New Roman" w:cs="Times New Roman" w:eastAsia="Times New Roman" w:hAnsi="Times New Roman"/>
          <w:sz w:val="17"/>
          <w:szCs w:val="17"/>
          <w:color w:val="auto"/>
        </w:rPr>
        <w:t>The term “</w:t>
      </w:r>
      <w:r>
        <w:rPr>
          <w:rFonts w:ascii="Times New Roman" w:cs="Times New Roman" w:eastAsia="Times New Roman" w:hAnsi="Times New Roman"/>
          <w:sz w:val="17"/>
          <w:szCs w:val="17"/>
          <w:b w:val="1"/>
          <w:bCs w:val="1"/>
          <w:i w:val="1"/>
          <w:iCs w:val="1"/>
          <w:color w:val="auto"/>
        </w:rPr>
        <w:t>Holder</w:t>
      </w:r>
      <w:r>
        <w:rPr>
          <w:rFonts w:ascii="Times New Roman" w:cs="Times New Roman" w:eastAsia="Times New Roman" w:hAnsi="Times New Roman"/>
          <w:sz w:val="17"/>
          <w:szCs w:val="17"/>
          <w:color w:val="auto"/>
        </w:rPr>
        <w:t>” as used herein shall mean the person in whose name at the time this Warrant Certificate shall be registered upon the books to be maintained by the Warrant Agent for that purpose pursuant to Section 4 of the Warrant Agreement.</w:t>
      </w:r>
    </w:p>
    <w:p>
      <w:pPr>
        <w:spacing w:after="0" w:line="133" w:lineRule="exact"/>
        <w:rPr>
          <w:sz w:val="20"/>
          <w:szCs w:val="20"/>
          <w:color w:val="auto"/>
        </w:rPr>
      </w:pPr>
    </w:p>
    <w:p>
      <w:pPr>
        <w:ind w:right="120" w:firstLine="496"/>
        <w:spacing w:after="0" w:line="253" w:lineRule="auto"/>
        <w:rPr>
          <w:sz w:val="20"/>
          <w:szCs w:val="20"/>
          <w:color w:val="auto"/>
        </w:rPr>
      </w:pPr>
      <w:r>
        <w:rPr>
          <w:rFonts w:ascii="Times New Roman" w:cs="Times New Roman" w:eastAsia="Times New Roman" w:hAnsi="Times New Roman"/>
          <w:sz w:val="17"/>
          <w:szCs w:val="17"/>
          <w:color w:val="auto"/>
        </w:rPr>
        <w:t>The Warrants evidenced by this Warrant Certificate may be exercised to purchase a whole number of Warrant Securities in registered form. Upon any exercise of fewer than all of the Warrants evidenced by this Warrant Certificate, there shall be issued to the Holder hereof a new Warrant Certificate evidencing Warrants for the number of Warrant Securities remaining unexercised.</w:t>
      </w:r>
    </w:p>
    <w:p>
      <w:pPr>
        <w:spacing w:after="0" w:line="133" w:lineRule="exact"/>
        <w:rPr>
          <w:sz w:val="20"/>
          <w:szCs w:val="20"/>
          <w:color w:val="auto"/>
        </w:rPr>
      </w:pPr>
    </w:p>
    <w:p>
      <w:pPr>
        <w:jc w:val="both"/>
        <w:ind w:right="40" w:firstLine="496"/>
        <w:spacing w:after="0" w:line="262" w:lineRule="auto"/>
        <w:rPr>
          <w:sz w:val="20"/>
          <w:szCs w:val="20"/>
          <w:color w:val="auto"/>
        </w:rPr>
      </w:pPr>
      <w:r>
        <w:rPr>
          <w:rFonts w:ascii="Times New Roman" w:cs="Times New Roman" w:eastAsia="Times New Roman" w:hAnsi="Times New Roman"/>
          <w:sz w:val="17"/>
          <w:szCs w:val="17"/>
          <w:color w:val="auto"/>
        </w:rPr>
        <w:t>This Warrant Certificate is issued under and in accordance with the Warrant Agreement dated as of [•] (the “</w:t>
      </w:r>
      <w:r>
        <w:rPr>
          <w:rFonts w:ascii="Times New Roman" w:cs="Times New Roman" w:eastAsia="Times New Roman" w:hAnsi="Times New Roman"/>
          <w:sz w:val="17"/>
          <w:szCs w:val="17"/>
          <w:b w:val="1"/>
          <w:bCs w:val="1"/>
          <w:i w:val="1"/>
          <w:iCs w:val="1"/>
          <w:color w:val="auto"/>
        </w:rPr>
        <w:t>Warrant Agreement</w:t>
      </w:r>
      <w:r>
        <w:rPr>
          <w:rFonts w:ascii="Times New Roman" w:cs="Times New Roman" w:eastAsia="Times New Roman" w:hAnsi="Times New Roman"/>
          <w:sz w:val="17"/>
          <w:szCs w:val="17"/>
          <w:color w:val="auto"/>
        </w:rPr>
        <w:t>”),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w:t>
      </w:r>
    </w:p>
    <w:p>
      <w:pPr>
        <w:spacing w:after="0" w:line="129" w:lineRule="exact"/>
        <w:rPr>
          <w:sz w:val="20"/>
          <w:szCs w:val="20"/>
          <w:color w:val="auto"/>
        </w:rPr>
      </w:pPr>
    </w:p>
    <w:p>
      <w:pPr>
        <w:ind w:right="560" w:firstLine="496"/>
        <w:spacing w:after="0" w:line="265" w:lineRule="auto"/>
        <w:rPr>
          <w:sz w:val="20"/>
          <w:szCs w:val="20"/>
          <w:color w:val="auto"/>
        </w:rPr>
      </w:pPr>
      <w:r>
        <w:rPr>
          <w:rFonts w:ascii="Times New Roman" w:cs="Times New Roman" w:eastAsia="Times New Roman" w:hAnsi="Times New Roman"/>
          <w:sz w:val="17"/>
          <w:szCs w:val="17"/>
          <w:color w:val="auto"/>
        </w:rPr>
        <w:t>Transfer of this Warrant Certificate may be registered when this Warrant Certificate is surrendered at the corporate trust office of the Warrant Agent by the registered owner or such owner’s assigns, in the manner and subject to the limitations provided in the Warrant Agreement.</w:t>
      </w:r>
    </w:p>
    <w:p>
      <w:pPr>
        <w:sectPr>
          <w:pgSz w:w="11900" w:h="16838" w:orient="portrait"/>
          <w:cols w:equalWidth="0" w:num="1">
            <w:col w:w="11280"/>
          </w:cols>
          <w:pgMar w:left="300" w:top="1118" w:right="319" w:bottom="1440" w:gutter="0" w:footer="0" w:header="0"/>
        </w:sectPr>
      </w:pPr>
    </w:p>
    <w:bookmarkStart w:id="112" w:name="page113"/>
    <w:bookmarkEnd w:id="112"/>
    <w:p>
      <w:pPr>
        <w:ind w:right="220" w:firstLine="496"/>
        <w:spacing w:after="0" w:line="265" w:lineRule="auto"/>
        <w:rPr>
          <w:sz w:val="20"/>
          <w:szCs w:val="20"/>
          <w:color w:val="auto"/>
        </w:rPr>
      </w:pPr>
      <w:r>
        <w:rPr>
          <w:rFonts w:ascii="Times New Roman" w:cs="Times New Roman" w:eastAsia="Times New Roman" w:hAnsi="Times New Roman"/>
          <w:sz w:val="17"/>
          <w:szCs w:val="17"/>
          <w:color w:val="auto"/>
        </w:rPr>
        <w:t>After countersignature by the Warrant Agent and prior to the expiration of this Warrant Certificate, this Warrant Certificate may be exchanged at the corporate trust office of the Warrant Agent for Warrant Certificates representing Warrants for the same aggregate number of Warrant Securities.</w:t>
      </w:r>
    </w:p>
    <w:p>
      <w:pPr>
        <w:spacing w:after="0" w:line="127" w:lineRule="exact"/>
        <w:rPr>
          <w:sz w:val="20"/>
          <w:szCs w:val="20"/>
          <w:color w:val="auto"/>
        </w:rPr>
      </w:pPr>
    </w:p>
    <w:p>
      <w:pPr>
        <w:ind w:firstLine="496"/>
        <w:spacing w:after="0" w:line="310" w:lineRule="auto"/>
        <w:rPr>
          <w:sz w:val="20"/>
          <w:szCs w:val="20"/>
          <w:color w:val="auto"/>
        </w:rPr>
      </w:pPr>
      <w:r>
        <w:rPr>
          <w:rFonts w:ascii="Times New Roman" w:cs="Times New Roman" w:eastAsia="Times New Roman" w:hAnsi="Times New Roman"/>
          <w:sz w:val="16"/>
          <w:szCs w:val="16"/>
          <w:color w:val="auto"/>
        </w:rPr>
        <w:t>This Warrant Certificate shall not entitle the Holder hereof to any of the rights of a holder of the Warrant Securities, including, without limitation, the right to receive payments of dividends or distributions, if any, on the Warrant Securities (except to the extent set forth in the Warrant Agreement) or to exercise any voting rights.</w:t>
      </w:r>
    </w:p>
    <w:p>
      <w:pPr>
        <w:spacing w:after="0" w:line="93" w:lineRule="exact"/>
        <w:rPr>
          <w:sz w:val="20"/>
          <w:szCs w:val="20"/>
          <w:color w:val="auto"/>
        </w:rPr>
      </w:pPr>
    </w:p>
    <w:p>
      <w:pPr>
        <w:ind w:right="80" w:firstLine="496"/>
        <w:spacing w:after="0" w:line="265" w:lineRule="auto"/>
        <w:rPr>
          <w:sz w:val="20"/>
          <w:szCs w:val="20"/>
          <w:color w:val="auto"/>
        </w:rPr>
      </w:pPr>
      <w:r>
        <w:rPr>
          <w:rFonts w:ascii="Times New Roman" w:cs="Times New Roman" w:eastAsia="Times New Roman" w:hAnsi="Times New Roman"/>
          <w:sz w:val="17"/>
          <w:szCs w:val="17"/>
          <w:color w:val="auto"/>
        </w:rPr>
        <w:t>Reference is hereby made to the further provisions of this Warrant Certificate set forth on the reverse hereof, which further provisions shall for all purposes have the same effect as if set forth at this place.</w:t>
      </w:r>
    </w:p>
    <w:p>
      <w:pPr>
        <w:spacing w:after="0" w:line="1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This Warrant Certificate shall not be valid or obligatory for any purpose until countersigned by the Warrant Agent.</w:t>
      </w:r>
    </w:p>
    <w:p>
      <w:pPr>
        <w:sectPr>
          <w:pgSz w:w="11900" w:h="16838" w:orient="portrait"/>
          <w:cols w:equalWidth="0" w:num="1">
            <w:col w:w="11200"/>
          </w:cols>
          <w:pgMar w:left="300" w:top="1122" w:right="399" w:bottom="1440" w:gutter="0" w:footer="0" w:header="0"/>
        </w:sectPr>
      </w:pPr>
    </w:p>
    <w:bookmarkStart w:id="113" w:name="page114"/>
    <w:bookmarkEnd w:id="113"/>
    <w:p>
      <w:pPr>
        <w:ind w:right="160" w:firstLine="496"/>
        <w:spacing w:after="0" w:line="270" w:lineRule="auto"/>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Company has caused this Warrant to be executed in its name and on its behalf by the facsimile signatures of its duly authorized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officers.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Acumen Pharmaceuticals, Inc., as Company</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2339340</wp:posOffset>
            </wp:positionH>
            <wp:positionV relativeFrom="paragraph">
              <wp:posOffset>20320</wp:posOffset>
            </wp:positionV>
            <wp:extent cx="4610100"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4610100" cy="6350"/>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2339340</wp:posOffset>
            </wp:positionH>
            <wp:positionV relativeFrom="paragraph">
              <wp:posOffset>20320</wp:posOffset>
            </wp:positionV>
            <wp:extent cx="4610100"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4610100" cy="6350"/>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2339340</wp:posOffset>
            </wp:positionH>
            <wp:positionV relativeFrom="paragraph">
              <wp:posOffset>20320</wp:posOffset>
            </wp:positionV>
            <wp:extent cx="4610100"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4610100" cy="6350"/>
                    </a:xfrm>
                    <a:prstGeom prst="rect">
                      <a:avLst/>
                    </a:prstGeom>
                    <a:noFill/>
                  </pic:spPr>
                </pic:pic>
              </a:graphicData>
            </a:graphic>
          </wp:anchor>
        </w:drawing>
      </w: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154305</wp:posOffset>
            </wp:positionV>
            <wp:extent cx="2305050"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2305050" cy="6350"/>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22860</wp:posOffset>
            </wp:positionV>
            <wp:extent cx="2305050"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2305050" cy="635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COUNTERSIGNED</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 as Warrant Agent</w:t>
      </w: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2339340</wp:posOffset>
            </wp:positionH>
            <wp:positionV relativeFrom="paragraph">
              <wp:posOffset>20320</wp:posOffset>
            </wp:positionV>
            <wp:extent cx="4610100"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4610100" cy="6350"/>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2339340</wp:posOffset>
            </wp:positionH>
            <wp:positionV relativeFrom="paragraph">
              <wp:posOffset>20320</wp:posOffset>
            </wp:positionV>
            <wp:extent cx="4610100"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4610100" cy="6350"/>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2339340</wp:posOffset>
            </wp:positionH>
            <wp:positionV relativeFrom="paragraph">
              <wp:posOffset>20320</wp:posOffset>
            </wp:positionV>
            <wp:extent cx="4610100"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4610100" cy="6350"/>
                    </a:xfrm>
                    <a:prstGeom prst="rect">
                      <a:avLst/>
                    </a:prstGeom>
                    <a:noFill/>
                  </pic:spPr>
                </pic:pic>
              </a:graphicData>
            </a:graphic>
          </wp:anchor>
        </w:drawing>
      </w: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154305</wp:posOffset>
            </wp:positionV>
            <wp:extent cx="2305050"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2305050" cy="6350"/>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22860</wp:posOffset>
            </wp:positionV>
            <wp:extent cx="2305050"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230505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[REVERSE OF WARRANT CERTIFICATE]</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(Instructions for Exercise of Warrant)</w:t>
      </w:r>
    </w:p>
    <w:p>
      <w:pPr>
        <w:spacing w:after="0" w:line="181" w:lineRule="exact"/>
        <w:rPr>
          <w:sz w:val="20"/>
          <w:szCs w:val="20"/>
          <w:color w:val="auto"/>
        </w:rPr>
      </w:pPr>
    </w:p>
    <w:p>
      <w:pPr>
        <w:ind w:firstLine="496"/>
        <w:spacing w:after="0" w:line="247" w:lineRule="auto"/>
        <w:rPr>
          <w:sz w:val="20"/>
          <w:szCs w:val="20"/>
          <w:color w:val="auto"/>
        </w:rPr>
      </w:pPr>
      <w:r>
        <w:rPr>
          <w:rFonts w:ascii="Times New Roman" w:cs="Times New Roman" w:eastAsia="Times New Roman" w:hAnsi="Times New Roman"/>
          <w:sz w:val="17"/>
          <w:szCs w:val="17"/>
          <w:color w:val="auto"/>
        </w:rPr>
        <w:t>To exercise any Warrants evidenced hereby for Warrant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w:t>
      </w:r>
    </w:p>
    <w:p>
      <w:pPr>
        <w:sectPr>
          <w:pgSz w:w="11900" w:h="16838" w:orient="portrait"/>
          <w:cols w:equalWidth="0" w:num="1">
            <w:col w:w="11280"/>
          </w:cols>
          <w:pgMar w:left="300" w:top="1118" w:right="3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color w:val="auto"/>
        </w:rPr>
        <w:t>This Warrant Certificate, completed and duly executed, must be received by the Warrant Agent within five business days of the payment.</w:t>
      </w:r>
    </w:p>
    <w:p>
      <w:pPr>
        <w:spacing w:after="0" w:line="16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7"/>
          <w:szCs w:val="17"/>
          <w:color w:val="auto"/>
        </w:rPr>
        <w:t>(To be executed upon exercise of Warrants)</w:t>
      </w:r>
    </w:p>
    <w:p>
      <w:pPr>
        <w:spacing w:after="0" w:line="1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The undersigned hereby irrevocably elects to exercise ______ Warrants, evidenced by this Warrant Certificate, to purchase _______ shares of the Common Stock,</w:t>
      </w:r>
    </w:p>
    <w:p>
      <w:pPr>
        <w:spacing w:after="0" w:line="3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6"/>
          <w:szCs w:val="16"/>
          <w:color w:val="auto"/>
        </w:rPr>
        <w:t>par value $0.0001 per share (the “</w:t>
      </w:r>
      <w:r>
        <w:rPr>
          <w:rFonts w:ascii="Times New Roman" w:cs="Times New Roman" w:eastAsia="Times New Roman" w:hAnsi="Times New Roman"/>
          <w:sz w:val="16"/>
          <w:szCs w:val="16"/>
          <w:b w:val="1"/>
          <w:bCs w:val="1"/>
          <w:i w:val="1"/>
          <w:iCs w:val="1"/>
          <w:color w:val="auto"/>
        </w:rPr>
        <w:t>Warrant Securities</w:t>
      </w:r>
      <w:r>
        <w:rPr>
          <w:rFonts w:ascii="Times New Roman" w:cs="Times New Roman" w:eastAsia="Times New Roman" w:hAnsi="Times New Roman"/>
          <w:sz w:val="16"/>
          <w:szCs w:val="16"/>
          <w:color w:val="auto"/>
        </w:rPr>
        <w:t>”), of Acumen Pharmaceuticals, Inc. and represents that the undersigned has tendered payment for such Warrant Securities, in lawful money of the United States of America, [in cash or by certified check or official bank check in New York Clearing House funds] [by bank wire transfer in immediately available funds], to the order of Acumen Pharmaceuticals, Inc., c/o [insert name and address of Warrant Agent], in the amount of $_________ in</w:t>
      </w:r>
    </w:p>
    <w:p>
      <w:pPr>
        <w:spacing w:after="0" w:line="1" w:lineRule="exact"/>
        <w:rPr>
          <w:sz w:val="20"/>
          <w:szCs w:val="20"/>
          <w:color w:val="auto"/>
        </w:rPr>
      </w:pPr>
    </w:p>
    <w:p>
      <w:pPr>
        <w:ind w:right="200"/>
        <w:spacing w:after="0" w:line="243" w:lineRule="auto"/>
        <w:rPr>
          <w:sz w:val="20"/>
          <w:szCs w:val="20"/>
          <w:color w:val="auto"/>
        </w:rPr>
      </w:pPr>
      <w:r>
        <w:rPr>
          <w:rFonts w:ascii="Times New Roman" w:cs="Times New Roman" w:eastAsia="Times New Roman" w:hAnsi="Times New Roman"/>
          <w:sz w:val="17"/>
          <w:szCs w:val="17"/>
          <w:color w:val="auto"/>
        </w:rPr>
        <w:t>accordance with the terms hereof. The undersigned requests that said Warrant Securities be in fully registered form in the authorized denominations, registered in such names and delivered all as specified in accordance with the instructions set forth below.</w:t>
      </w:r>
    </w:p>
    <w:p>
      <w:pPr>
        <w:spacing w:after="0" w:line="155" w:lineRule="exact"/>
        <w:rPr>
          <w:sz w:val="20"/>
          <w:szCs w:val="20"/>
          <w:color w:val="auto"/>
        </w:rPr>
      </w:pPr>
    </w:p>
    <w:p>
      <w:pPr>
        <w:ind w:right="300" w:firstLine="496"/>
        <w:spacing w:after="0" w:line="297" w:lineRule="auto"/>
        <w:rPr>
          <w:sz w:val="20"/>
          <w:szCs w:val="20"/>
          <w:color w:val="auto"/>
        </w:rPr>
      </w:pPr>
      <w:r>
        <w:rPr>
          <w:rFonts w:ascii="Times New Roman" w:cs="Times New Roman" w:eastAsia="Times New Roman" w:hAnsi="Times New Roman"/>
          <w:sz w:val="16"/>
          <w:szCs w:val="16"/>
          <w:color w:val="auto"/>
        </w:rPr>
        <w:t>If the number of Warrants exercised is less than all of the Warrants evidenced hereby, the undersigned requests that a new Warrant Certificate evidencing the Warrants for the number of Warrant Securities remaining unexercised be issued and delivered to the undersigned unless otherwise specified in the instructions below.</w:t>
      </w:r>
    </w:p>
    <w:p>
      <w:pPr>
        <w:spacing w:after="0" w:line="144" w:lineRule="exact"/>
        <w:rPr>
          <w:sz w:val="20"/>
          <w:szCs w:val="20"/>
          <w:color w:val="auto"/>
        </w:rPr>
      </w:pPr>
    </w:p>
    <w:p>
      <w:pPr>
        <w:ind w:left="20"/>
        <w:spacing w:after="0"/>
        <w:tabs>
          <w:tab w:leader="none" w:pos="9260" w:val="left"/>
        </w:tabs>
        <w:rPr>
          <w:sz w:val="20"/>
          <w:szCs w:val="20"/>
          <w:color w:val="auto"/>
        </w:rPr>
      </w:pPr>
      <w:r>
        <w:rPr>
          <w:rFonts w:ascii="Times New Roman" w:cs="Times New Roman" w:eastAsia="Times New Roman" w:hAnsi="Times New Roman"/>
          <w:sz w:val="17"/>
          <w:szCs w:val="17"/>
          <w:color w:val="auto"/>
        </w:rPr>
        <w:t>Dated:</w:t>
      </w:r>
      <w:r>
        <w:rPr>
          <w:sz w:val="20"/>
          <w:szCs w:val="20"/>
          <w:color w:val="auto"/>
        </w:rPr>
        <w:tab/>
      </w: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6896735</wp:posOffset>
            </wp:positionH>
            <wp:positionV relativeFrom="paragraph">
              <wp:posOffset>20320</wp:posOffset>
            </wp:positionV>
            <wp:extent cx="269240"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269240" cy="6350"/>
                    </a:xfrm>
                    <a:prstGeom prst="rect">
                      <a:avLst/>
                    </a:prstGeom>
                    <a:noFill/>
                  </pic:spPr>
                </pic:pic>
              </a:graphicData>
            </a:graphic>
          </wp:anchor>
        </w:drawing>
      </w:r>
    </w:p>
    <w:p>
      <w:pPr>
        <w:spacing w:after="0" w:line="22"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7"/>
          <w:szCs w:val="17"/>
          <w:color w:val="auto"/>
        </w:rPr>
        <w:t>Please Print</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Address:</w:t>
      </w: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(Insert Social Security or Other Identifying Number of Holder)</w:t>
      </w: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Signature Guaranteed:</w:t>
      </w:r>
    </w:p>
    <w:p>
      <w:pPr>
        <w:spacing w:after="0" w:line="4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7"/>
          <w:szCs w:val="17"/>
          <w:color w:val="auto"/>
        </w:rPr>
        <w:t>Signature</w:t>
      </w:r>
    </w:p>
    <w:p>
      <w:pPr>
        <w:spacing w:after="0" w:line="260"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7"/>
          <w:szCs w:val="17"/>
          <w:color w:val="auto"/>
        </w:rPr>
        <w:t>(Signature must conform in all respects to name of holder as specified on the face of this Warrant Certificate and must bear a signature guarantee by a FINRA member firm).</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Warrant may be exercised at the following addresses: By hand at: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mail at:</w:t>
      </w:r>
    </w:p>
    <w:p>
      <w:pPr>
        <w:spacing w:after="0" w:line="166"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17"/>
          <w:szCs w:val="17"/>
          <w:color w:val="auto"/>
        </w:rPr>
        <w:t>[Instructions as to form and delivery of Warrant Securities and, if applicable, Warrant Certificates evidencing Warrants for the number of Warrant Securities remaining unexercised—complete as appropriate.]</w:t>
      </w:r>
    </w:p>
    <w:p>
      <w:pPr>
        <w:sectPr>
          <w:pgSz w:w="11900" w:h="16838" w:orient="portrait"/>
          <w:cols w:equalWidth="0" w:num="1">
            <w:col w:w="11240"/>
          </w:cols>
          <w:pgMar w:left="300" w:top="1122" w:right="359" w:bottom="1440" w:gutter="0" w:footer="0" w:header="0"/>
        </w:sectPr>
      </w:pPr>
    </w:p>
    <w:bookmarkStart w:id="115" w:name="page116"/>
    <w:bookmarkEnd w:id="115"/>
    <w:p>
      <w:pPr>
        <w:jc w:val="center"/>
        <w:ind w:right="-239"/>
        <w:spacing w:after="0"/>
        <w:rPr>
          <w:sz w:val="20"/>
          <w:szCs w:val="20"/>
          <w:color w:val="auto"/>
        </w:rPr>
      </w:pPr>
      <w:r>
        <w:rPr>
          <w:rFonts w:ascii="Times New Roman" w:cs="Times New Roman" w:eastAsia="Times New Roman" w:hAnsi="Times New Roman"/>
          <w:sz w:val="17"/>
          <w:szCs w:val="17"/>
          <w:b w:val="1"/>
          <w:bCs w:val="1"/>
          <w:color w:val="auto"/>
        </w:rPr>
        <w:t>ASSIGNMENT</w:t>
      </w:r>
    </w:p>
    <w:p>
      <w:pPr>
        <w:spacing w:after="0" w:line="17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color w:val="auto"/>
        </w:rPr>
        <w:t>[Form of assignment to be executed if Warrant Holder desires to transfer Warrant]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 VALUE RECEIVED</w:t>
      </w:r>
      <w:r>
        <w:rPr>
          <w:rFonts w:ascii="Times New Roman" w:cs="Times New Roman" w:eastAsia="Times New Roman" w:hAnsi="Times New Roman"/>
          <w:sz w:val="17"/>
          <w:szCs w:val="17"/>
          <w:color w:val="auto"/>
        </w:rPr>
        <w:t>, ______________ hereby sells, assigns and transfers unto:</w:t>
      </w:r>
    </w:p>
    <w:p>
      <w:pPr>
        <w:spacing w:after="0" w:line="222" w:lineRule="exact"/>
        <w:rPr>
          <w:sz w:val="20"/>
          <w:szCs w:val="20"/>
          <w:color w:val="auto"/>
        </w:rPr>
      </w:pPr>
    </w:p>
    <w:p>
      <w:pPr>
        <w:ind w:left="20"/>
        <w:spacing w:after="0"/>
        <w:tabs>
          <w:tab w:leader="none" w:pos="5400" w:val="left"/>
        </w:tabs>
        <w:rPr>
          <w:sz w:val="20"/>
          <w:szCs w:val="20"/>
          <w:color w:val="auto"/>
        </w:rPr>
      </w:pPr>
      <w:r>
        <w:rPr>
          <w:rFonts w:ascii="Times New Roman" w:cs="Times New Roman" w:eastAsia="Times New Roman" w:hAnsi="Times New Roman"/>
          <w:sz w:val="17"/>
          <w:szCs w:val="17"/>
          <w:color w:val="auto"/>
        </w:rPr>
        <w:t>(Please print name and address including zip code)</w:t>
      </w:r>
      <w:r>
        <w:rPr>
          <w:sz w:val="20"/>
          <w:szCs w:val="20"/>
          <w:color w:val="auto"/>
        </w:rPr>
        <w:tab/>
      </w:r>
      <w:r>
        <w:rPr>
          <w:rFonts w:ascii="Times New Roman" w:cs="Times New Roman" w:eastAsia="Times New Roman" w:hAnsi="Times New Roman"/>
          <w:sz w:val="16"/>
          <w:szCs w:val="16"/>
          <w:color w:val="auto"/>
        </w:rPr>
        <w:t>Please print Social Security or other identifying number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right represented by the within Warrant to purchase _______________ shares of [Title of Warrant Securities] of Acumen Pharmaceuticals, Inc. to which the within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Warrant relates and appoints ____________________ attorney to transfer such right on the books of the Warrant Agent with full power of substitution in the premises.</w:t>
      </w:r>
    </w:p>
    <w:p>
      <w:pPr>
        <w:spacing w:after="0" w:line="201" w:lineRule="exact"/>
        <w:rPr>
          <w:sz w:val="20"/>
          <w:szCs w:val="20"/>
          <w:color w:val="auto"/>
        </w:rPr>
      </w:pPr>
    </w:p>
    <w:p>
      <w:pPr>
        <w:ind w:left="20"/>
        <w:spacing w:after="0"/>
        <w:tabs>
          <w:tab w:leader="none" w:pos="4680" w:val="left"/>
        </w:tabs>
        <w:rPr>
          <w:sz w:val="20"/>
          <w:szCs w:val="20"/>
          <w:color w:val="auto"/>
        </w:rPr>
      </w:pPr>
      <w:r>
        <w:rPr>
          <w:rFonts w:ascii="Times New Roman" w:cs="Times New Roman" w:eastAsia="Times New Roman" w:hAnsi="Times New Roman"/>
          <w:sz w:val="17"/>
          <w:szCs w:val="17"/>
          <w:color w:val="auto"/>
        </w:rPr>
        <w:t>Dated:</w:t>
      </w:r>
      <w:r>
        <w:rPr>
          <w:sz w:val="20"/>
          <w:szCs w:val="20"/>
          <w:color w:val="auto"/>
        </w:rPr>
        <w:tab/>
      </w: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6404610</wp:posOffset>
            </wp:positionH>
            <wp:positionV relativeFrom="paragraph">
              <wp:posOffset>20320</wp:posOffset>
            </wp:positionV>
            <wp:extent cx="762000"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762000" cy="6350"/>
                    </a:xfrm>
                    <a:prstGeom prst="rect">
                      <a:avLst/>
                    </a:prstGeom>
                    <a:noFill/>
                  </pic:spPr>
                </pic:pic>
              </a:graphicData>
            </a:graphic>
          </wp:anchor>
        </w:drawing>
      </w:r>
    </w:p>
    <w:p>
      <w:pPr>
        <w:spacing w:after="0" w:line="22"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7"/>
          <w:szCs w:val="17"/>
          <w:color w:val="auto"/>
        </w:rPr>
        <w:t>Signature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must conform in all respects to name of holder as specified on the face of the Warrant)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Guaranteed</w:t>
      </w:r>
    </w:p>
    <w:p>
      <w:pPr>
        <w:sectPr>
          <w:pgSz w:w="11900" w:h="16838" w:orient="portrait"/>
          <w:cols w:equalWidth="0" w:num="1">
            <w:col w:w="11040"/>
          </w:cols>
          <w:pgMar w:left="300" w:top="1118" w:right="55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4"/>
          <w:szCs w:val="14"/>
          <w:b w:val="1"/>
          <w:bCs w:val="1"/>
          <w:color w:val="auto"/>
        </w:rPr>
        <w:t>Exhibit 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ACUMEN PHARMACEUTICALS, INC.</w:t>
      </w:r>
    </w:p>
    <w:p>
      <w:pPr>
        <w:spacing w:after="0" w:line="16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AND</w:t>
      </w:r>
    </w:p>
    <w:p>
      <w:pPr>
        <w:spacing w:after="0" w:line="166"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7"/>
          <w:szCs w:val="17"/>
          <w:b w:val="1"/>
          <w:bCs w:val="1"/>
          <w:color w:val="auto"/>
        </w:rPr>
        <w:t>_____________, AS WARRANT AGENT</w:t>
      </w:r>
    </w:p>
    <w:p>
      <w:pPr>
        <w:spacing w:after="0" w:line="17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FORM OF PREFERRED STOCK WARRANT AGREEMENT</w:t>
      </w:r>
    </w:p>
    <w:p>
      <w:pPr>
        <w:spacing w:after="0" w:line="178"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7"/>
          <w:szCs w:val="17"/>
          <w:b w:val="1"/>
          <w:bCs w:val="1"/>
          <w:color w:val="auto"/>
        </w:rPr>
        <w:t>DATED AS OF __________</w:t>
      </w:r>
    </w:p>
    <w:p>
      <w:pPr>
        <w:sectPr>
          <w:pgSz w:w="11900" w:h="16838" w:orient="portrait"/>
          <w:cols w:equalWidth="0" w:num="1">
            <w:col w:w="10140"/>
          </w:cols>
          <w:pgMar w:left="1440" w:top="123" w:right="31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195"/>
        </w:trPr>
        <w:tc>
          <w:tcPr>
            <w:tcW w:w="4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320" w:type="dxa"/>
            <w:vAlign w:val="bottom"/>
          </w:tcPr>
          <w:p>
            <w:pPr>
              <w:spacing w:after="0"/>
              <w:rPr>
                <w:sz w:val="17"/>
                <w:szCs w:val="17"/>
                <w:color w:val="auto"/>
              </w:rPr>
            </w:pPr>
          </w:p>
        </w:tc>
      </w:tr>
      <w:tr>
        <w:trPr>
          <w:trHeight w:val="20"/>
        </w:trPr>
        <w:tc>
          <w:tcPr>
            <w:tcW w:w="4740" w:type="dxa"/>
            <w:vAlign w:val="bottom"/>
            <w:gridSpan w:val="2"/>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13"/>
        </w:trPr>
        <w:tc>
          <w:tcPr>
            <w:tcW w:w="109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ARTICLE 1 ISSUANCE OF WARRANTS AND EXECUTION AND DELIVERY OF WARRANT CERTIFICATES</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310"/>
        </w:trPr>
        <w:tc>
          <w:tcPr>
            <w:tcW w:w="4000" w:type="dxa"/>
            <w:vAlign w:val="bottom"/>
          </w:tcPr>
          <w:p>
            <w:pPr>
              <w:jc w:val="right"/>
              <w:ind w:right="1697"/>
              <w:spacing w:after="0"/>
              <w:rPr>
                <w:sz w:val="20"/>
                <w:szCs w:val="20"/>
                <w:color w:val="auto"/>
              </w:rPr>
            </w:pPr>
            <w:r>
              <w:rPr>
                <w:rFonts w:ascii="Times New Roman" w:cs="Times New Roman" w:eastAsia="Times New Roman" w:hAnsi="Times New Roman"/>
                <w:sz w:val="17"/>
                <w:szCs w:val="17"/>
                <w:color w:val="auto"/>
              </w:rPr>
              <w:t>1.1</w:t>
            </w:r>
          </w:p>
        </w:tc>
        <w:tc>
          <w:tcPr>
            <w:tcW w:w="69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Issuance of Warrants</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8"/>
        </w:trPr>
        <w:tc>
          <w:tcPr>
            <w:tcW w:w="4000" w:type="dxa"/>
            <w:vAlign w:val="bottom"/>
          </w:tcPr>
          <w:p>
            <w:pPr>
              <w:jc w:val="right"/>
              <w:ind w:right="1697"/>
              <w:spacing w:after="0"/>
              <w:rPr>
                <w:sz w:val="20"/>
                <w:szCs w:val="20"/>
                <w:color w:val="auto"/>
              </w:rPr>
            </w:pPr>
            <w:r>
              <w:rPr>
                <w:rFonts w:ascii="Times New Roman" w:cs="Times New Roman" w:eastAsia="Times New Roman" w:hAnsi="Times New Roman"/>
                <w:sz w:val="17"/>
                <w:szCs w:val="17"/>
                <w:color w:val="auto"/>
              </w:rPr>
              <w:t>1.2</w:t>
            </w:r>
          </w:p>
        </w:tc>
        <w:tc>
          <w:tcPr>
            <w:tcW w:w="69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Execution and Delivery of Warrant Certificates</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8"/>
        </w:trPr>
        <w:tc>
          <w:tcPr>
            <w:tcW w:w="4000" w:type="dxa"/>
            <w:vAlign w:val="bottom"/>
          </w:tcPr>
          <w:p>
            <w:pPr>
              <w:jc w:val="right"/>
              <w:ind w:right="1697"/>
              <w:spacing w:after="0"/>
              <w:rPr>
                <w:sz w:val="20"/>
                <w:szCs w:val="20"/>
                <w:color w:val="auto"/>
              </w:rPr>
            </w:pPr>
            <w:r>
              <w:rPr>
                <w:rFonts w:ascii="Times New Roman" w:cs="Times New Roman" w:eastAsia="Times New Roman" w:hAnsi="Times New Roman"/>
                <w:sz w:val="17"/>
                <w:szCs w:val="17"/>
                <w:color w:val="auto"/>
              </w:rPr>
              <w:t>1.3</w:t>
            </w:r>
          </w:p>
        </w:tc>
        <w:tc>
          <w:tcPr>
            <w:tcW w:w="69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Issuance of Warrant Certificates</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310"/>
        </w:trPr>
        <w:tc>
          <w:tcPr>
            <w:tcW w:w="109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ARTICLE 2 WARRANT PRICE, DURATION AND EXERCISE OF WARRANTS</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310"/>
        </w:trPr>
        <w:tc>
          <w:tcPr>
            <w:tcW w:w="4000" w:type="dxa"/>
            <w:vAlign w:val="bottom"/>
          </w:tcPr>
          <w:p>
            <w:pPr>
              <w:jc w:val="right"/>
              <w:ind w:right="1697"/>
              <w:spacing w:after="0"/>
              <w:rPr>
                <w:sz w:val="20"/>
                <w:szCs w:val="20"/>
                <w:color w:val="auto"/>
              </w:rPr>
            </w:pPr>
            <w:r>
              <w:rPr>
                <w:rFonts w:ascii="Times New Roman" w:cs="Times New Roman" w:eastAsia="Times New Roman" w:hAnsi="Times New Roman"/>
                <w:sz w:val="17"/>
                <w:szCs w:val="17"/>
                <w:color w:val="auto"/>
              </w:rPr>
              <w:t>2.1</w:t>
            </w:r>
          </w:p>
        </w:tc>
        <w:tc>
          <w:tcPr>
            <w:tcW w:w="69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Warrant Price</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28"/>
        </w:trPr>
        <w:tc>
          <w:tcPr>
            <w:tcW w:w="4000" w:type="dxa"/>
            <w:vAlign w:val="bottom"/>
          </w:tcPr>
          <w:p>
            <w:pPr>
              <w:jc w:val="right"/>
              <w:ind w:right="1697"/>
              <w:spacing w:after="0"/>
              <w:rPr>
                <w:sz w:val="20"/>
                <w:szCs w:val="20"/>
                <w:color w:val="auto"/>
              </w:rPr>
            </w:pPr>
            <w:r>
              <w:rPr>
                <w:rFonts w:ascii="Times New Roman" w:cs="Times New Roman" w:eastAsia="Times New Roman" w:hAnsi="Times New Roman"/>
                <w:sz w:val="17"/>
                <w:szCs w:val="17"/>
                <w:color w:val="auto"/>
              </w:rPr>
              <w:t>2.2</w:t>
            </w:r>
          </w:p>
        </w:tc>
        <w:tc>
          <w:tcPr>
            <w:tcW w:w="69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Duration of Warrants</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28"/>
        </w:trPr>
        <w:tc>
          <w:tcPr>
            <w:tcW w:w="4000" w:type="dxa"/>
            <w:vAlign w:val="bottom"/>
          </w:tcPr>
          <w:p>
            <w:pPr>
              <w:jc w:val="right"/>
              <w:ind w:right="1697"/>
              <w:spacing w:after="0"/>
              <w:rPr>
                <w:sz w:val="20"/>
                <w:szCs w:val="20"/>
                <w:color w:val="auto"/>
              </w:rPr>
            </w:pPr>
            <w:r>
              <w:rPr>
                <w:rFonts w:ascii="Times New Roman" w:cs="Times New Roman" w:eastAsia="Times New Roman" w:hAnsi="Times New Roman"/>
                <w:sz w:val="17"/>
                <w:szCs w:val="17"/>
                <w:color w:val="auto"/>
              </w:rPr>
              <w:t>2.3</w:t>
            </w:r>
          </w:p>
        </w:tc>
        <w:tc>
          <w:tcPr>
            <w:tcW w:w="69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Exercise of Warrants</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310"/>
        </w:trPr>
        <w:tc>
          <w:tcPr>
            <w:tcW w:w="109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ARTICLE 3 OTHER PROVISIONS RELATING TO RIGHTS OF HOLDERS OF WARRANT CERTIFICATES</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310"/>
        </w:trPr>
        <w:tc>
          <w:tcPr>
            <w:tcW w:w="4000" w:type="dxa"/>
            <w:vAlign w:val="bottom"/>
          </w:tcPr>
          <w:p>
            <w:pPr>
              <w:jc w:val="right"/>
              <w:ind w:right="1697"/>
              <w:spacing w:after="0"/>
              <w:rPr>
                <w:sz w:val="20"/>
                <w:szCs w:val="20"/>
                <w:color w:val="auto"/>
              </w:rPr>
            </w:pPr>
            <w:r>
              <w:rPr>
                <w:rFonts w:ascii="Times New Roman" w:cs="Times New Roman" w:eastAsia="Times New Roman" w:hAnsi="Times New Roman"/>
                <w:sz w:val="17"/>
                <w:szCs w:val="17"/>
                <w:color w:val="auto"/>
              </w:rPr>
              <w:t>3.1</w:t>
            </w:r>
          </w:p>
        </w:tc>
        <w:tc>
          <w:tcPr>
            <w:tcW w:w="69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No Rights as Warrant Securityholder Conferred by Warrants or Warrant Certificates</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28"/>
        </w:trPr>
        <w:tc>
          <w:tcPr>
            <w:tcW w:w="4000" w:type="dxa"/>
            <w:vAlign w:val="bottom"/>
          </w:tcPr>
          <w:p>
            <w:pPr>
              <w:jc w:val="right"/>
              <w:ind w:right="1697"/>
              <w:spacing w:after="0"/>
              <w:rPr>
                <w:sz w:val="20"/>
                <w:szCs w:val="20"/>
                <w:color w:val="auto"/>
              </w:rPr>
            </w:pPr>
            <w:r>
              <w:rPr>
                <w:rFonts w:ascii="Times New Roman" w:cs="Times New Roman" w:eastAsia="Times New Roman" w:hAnsi="Times New Roman"/>
                <w:sz w:val="17"/>
                <w:szCs w:val="17"/>
                <w:color w:val="auto"/>
              </w:rPr>
              <w:t>3.2</w:t>
            </w:r>
          </w:p>
        </w:tc>
        <w:tc>
          <w:tcPr>
            <w:tcW w:w="69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Lost, Stolen, Mutilated or Destroyed Warrant Certificates</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28"/>
        </w:trPr>
        <w:tc>
          <w:tcPr>
            <w:tcW w:w="4000" w:type="dxa"/>
            <w:vAlign w:val="bottom"/>
          </w:tcPr>
          <w:p>
            <w:pPr>
              <w:jc w:val="right"/>
              <w:ind w:right="1697"/>
              <w:spacing w:after="0"/>
              <w:rPr>
                <w:sz w:val="20"/>
                <w:szCs w:val="20"/>
                <w:color w:val="auto"/>
              </w:rPr>
            </w:pPr>
            <w:r>
              <w:rPr>
                <w:rFonts w:ascii="Times New Roman" w:cs="Times New Roman" w:eastAsia="Times New Roman" w:hAnsi="Times New Roman"/>
                <w:sz w:val="17"/>
                <w:szCs w:val="17"/>
                <w:color w:val="auto"/>
              </w:rPr>
              <w:t>3.3</w:t>
            </w:r>
          </w:p>
        </w:tc>
        <w:tc>
          <w:tcPr>
            <w:tcW w:w="69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Holder of Warrant Certificate May Enforce Rights</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28"/>
        </w:trPr>
        <w:tc>
          <w:tcPr>
            <w:tcW w:w="4000" w:type="dxa"/>
            <w:vAlign w:val="bottom"/>
          </w:tcPr>
          <w:p>
            <w:pPr>
              <w:jc w:val="right"/>
              <w:ind w:right="1697"/>
              <w:spacing w:after="0"/>
              <w:rPr>
                <w:sz w:val="20"/>
                <w:szCs w:val="20"/>
                <w:color w:val="auto"/>
              </w:rPr>
            </w:pPr>
            <w:r>
              <w:rPr>
                <w:rFonts w:ascii="Times New Roman" w:cs="Times New Roman" w:eastAsia="Times New Roman" w:hAnsi="Times New Roman"/>
                <w:sz w:val="17"/>
                <w:szCs w:val="17"/>
                <w:color w:val="auto"/>
              </w:rPr>
              <w:t>3.4</w:t>
            </w:r>
          </w:p>
        </w:tc>
        <w:tc>
          <w:tcPr>
            <w:tcW w:w="69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Adjustments</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28"/>
        </w:trPr>
        <w:tc>
          <w:tcPr>
            <w:tcW w:w="4000" w:type="dxa"/>
            <w:vAlign w:val="bottom"/>
          </w:tcPr>
          <w:p>
            <w:pPr>
              <w:jc w:val="right"/>
              <w:ind w:right="1697"/>
              <w:spacing w:after="0"/>
              <w:rPr>
                <w:sz w:val="20"/>
                <w:szCs w:val="20"/>
                <w:color w:val="auto"/>
              </w:rPr>
            </w:pPr>
            <w:r>
              <w:rPr>
                <w:rFonts w:ascii="Times New Roman" w:cs="Times New Roman" w:eastAsia="Times New Roman" w:hAnsi="Times New Roman"/>
                <w:sz w:val="17"/>
                <w:szCs w:val="17"/>
                <w:color w:val="auto"/>
              </w:rPr>
              <w:t>3.5</w:t>
            </w:r>
          </w:p>
        </w:tc>
        <w:tc>
          <w:tcPr>
            <w:tcW w:w="69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Notice to Warrantholders</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198"/>
        </w:trPr>
        <w:tc>
          <w:tcPr>
            <w:tcW w:w="4000" w:type="dxa"/>
            <w:vAlign w:val="bottom"/>
          </w:tcPr>
          <w:p>
            <w:pPr>
              <w:jc w:val="right"/>
              <w:ind w:right="1697"/>
              <w:spacing w:after="0"/>
              <w:rPr>
                <w:sz w:val="20"/>
                <w:szCs w:val="20"/>
                <w:color w:val="auto"/>
              </w:rPr>
            </w:pPr>
            <w:r>
              <w:rPr>
                <w:rFonts w:ascii="Times New Roman" w:cs="Times New Roman" w:eastAsia="Times New Roman" w:hAnsi="Times New Roman"/>
                <w:sz w:val="17"/>
                <w:szCs w:val="17"/>
                <w:color w:val="auto"/>
              </w:rPr>
              <w:t>3.6</w:t>
            </w:r>
          </w:p>
        </w:tc>
        <w:tc>
          <w:tcPr>
            <w:tcW w:w="69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w w:val="98"/>
              </w:rPr>
              <w:t>[If the Warrants are Subject to Acceleration by the Company, Insert — Acceleration of Warrants by</w:t>
            </w:r>
          </w:p>
        </w:tc>
        <w:tc>
          <w:tcPr>
            <w:tcW w:w="320" w:type="dxa"/>
            <w:vAlign w:val="bottom"/>
          </w:tcPr>
          <w:p>
            <w:pPr>
              <w:spacing w:after="0"/>
              <w:rPr>
                <w:sz w:val="17"/>
                <w:szCs w:val="17"/>
                <w:color w:val="auto"/>
              </w:rPr>
            </w:pPr>
          </w:p>
        </w:tc>
      </w:tr>
      <w:tr>
        <w:trPr>
          <w:trHeight w:val="215"/>
        </w:trPr>
        <w:tc>
          <w:tcPr>
            <w:tcW w:w="4000" w:type="dxa"/>
            <w:vAlign w:val="bottom"/>
          </w:tcPr>
          <w:p>
            <w:pPr>
              <w:spacing w:after="0"/>
              <w:rPr>
                <w:sz w:val="18"/>
                <w:szCs w:val="18"/>
                <w:color w:val="auto"/>
              </w:rPr>
            </w:pPr>
          </w:p>
        </w:tc>
        <w:tc>
          <w:tcPr>
            <w:tcW w:w="69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the Company</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310"/>
        </w:trPr>
        <w:tc>
          <w:tcPr>
            <w:tcW w:w="109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ARTICLE 4 EXCHANGE AND TRANSFER OF WARRANT CERTIFICATES</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310"/>
        </w:trPr>
        <w:tc>
          <w:tcPr>
            <w:tcW w:w="4000" w:type="dxa"/>
            <w:vAlign w:val="bottom"/>
          </w:tcPr>
          <w:p>
            <w:pPr>
              <w:jc w:val="right"/>
              <w:ind w:right="1697"/>
              <w:spacing w:after="0"/>
              <w:rPr>
                <w:sz w:val="20"/>
                <w:szCs w:val="20"/>
                <w:color w:val="auto"/>
              </w:rPr>
            </w:pPr>
            <w:r>
              <w:rPr>
                <w:rFonts w:ascii="Times New Roman" w:cs="Times New Roman" w:eastAsia="Times New Roman" w:hAnsi="Times New Roman"/>
                <w:sz w:val="17"/>
                <w:szCs w:val="17"/>
                <w:color w:val="auto"/>
              </w:rPr>
              <w:t>4.1</w:t>
            </w:r>
          </w:p>
        </w:tc>
        <w:tc>
          <w:tcPr>
            <w:tcW w:w="69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Exchange and Transfer of Warrant Certificates</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28"/>
        </w:trPr>
        <w:tc>
          <w:tcPr>
            <w:tcW w:w="4000" w:type="dxa"/>
            <w:vAlign w:val="bottom"/>
          </w:tcPr>
          <w:p>
            <w:pPr>
              <w:jc w:val="right"/>
              <w:ind w:right="1697"/>
              <w:spacing w:after="0"/>
              <w:rPr>
                <w:sz w:val="20"/>
                <w:szCs w:val="20"/>
                <w:color w:val="auto"/>
              </w:rPr>
            </w:pPr>
            <w:r>
              <w:rPr>
                <w:rFonts w:ascii="Times New Roman" w:cs="Times New Roman" w:eastAsia="Times New Roman" w:hAnsi="Times New Roman"/>
                <w:sz w:val="17"/>
                <w:szCs w:val="17"/>
                <w:color w:val="auto"/>
              </w:rPr>
              <w:t>4.2</w:t>
            </w:r>
          </w:p>
        </w:tc>
        <w:tc>
          <w:tcPr>
            <w:tcW w:w="69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Treatment of Holders of Warrant Certificates</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28"/>
        </w:trPr>
        <w:tc>
          <w:tcPr>
            <w:tcW w:w="4000" w:type="dxa"/>
            <w:vAlign w:val="bottom"/>
          </w:tcPr>
          <w:p>
            <w:pPr>
              <w:jc w:val="right"/>
              <w:ind w:right="1697"/>
              <w:spacing w:after="0"/>
              <w:rPr>
                <w:sz w:val="20"/>
                <w:szCs w:val="20"/>
                <w:color w:val="auto"/>
              </w:rPr>
            </w:pPr>
            <w:r>
              <w:rPr>
                <w:rFonts w:ascii="Times New Roman" w:cs="Times New Roman" w:eastAsia="Times New Roman" w:hAnsi="Times New Roman"/>
                <w:sz w:val="17"/>
                <w:szCs w:val="17"/>
                <w:color w:val="auto"/>
              </w:rPr>
              <w:t>4.3</w:t>
            </w:r>
          </w:p>
        </w:tc>
        <w:tc>
          <w:tcPr>
            <w:tcW w:w="69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Cancellation of Warrant Certificates</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310"/>
        </w:trPr>
        <w:tc>
          <w:tcPr>
            <w:tcW w:w="4000" w:type="dxa"/>
            <w:vAlign w:val="bottom"/>
          </w:tcPr>
          <w:p>
            <w:pPr>
              <w:spacing w:after="0"/>
              <w:rPr>
                <w:sz w:val="20"/>
                <w:szCs w:val="20"/>
                <w:color w:val="auto"/>
              </w:rPr>
            </w:pPr>
            <w:r>
              <w:rPr>
                <w:rFonts w:ascii="Times New Roman" w:cs="Times New Roman" w:eastAsia="Times New Roman" w:hAnsi="Times New Roman"/>
                <w:sz w:val="17"/>
                <w:szCs w:val="17"/>
                <w:color w:val="auto"/>
              </w:rPr>
              <w:t>ARTICLE 5 CONCERNING THE WARRANT AGENT</w:t>
            </w:r>
          </w:p>
        </w:tc>
        <w:tc>
          <w:tcPr>
            <w:tcW w:w="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310"/>
        </w:trPr>
        <w:tc>
          <w:tcPr>
            <w:tcW w:w="4000" w:type="dxa"/>
            <w:vAlign w:val="bottom"/>
          </w:tcPr>
          <w:p>
            <w:pPr>
              <w:jc w:val="right"/>
              <w:ind w:right="1697"/>
              <w:spacing w:after="0"/>
              <w:rPr>
                <w:sz w:val="20"/>
                <w:szCs w:val="20"/>
                <w:color w:val="auto"/>
              </w:rPr>
            </w:pPr>
            <w:r>
              <w:rPr>
                <w:rFonts w:ascii="Times New Roman" w:cs="Times New Roman" w:eastAsia="Times New Roman" w:hAnsi="Times New Roman"/>
                <w:sz w:val="17"/>
                <w:szCs w:val="17"/>
                <w:color w:val="auto"/>
              </w:rPr>
              <w:t>5.1</w:t>
            </w:r>
          </w:p>
        </w:tc>
        <w:tc>
          <w:tcPr>
            <w:tcW w:w="69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Warrant Agent</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28"/>
        </w:trPr>
        <w:tc>
          <w:tcPr>
            <w:tcW w:w="4000" w:type="dxa"/>
            <w:vAlign w:val="bottom"/>
          </w:tcPr>
          <w:p>
            <w:pPr>
              <w:jc w:val="right"/>
              <w:ind w:right="1697"/>
              <w:spacing w:after="0"/>
              <w:rPr>
                <w:sz w:val="20"/>
                <w:szCs w:val="20"/>
                <w:color w:val="auto"/>
              </w:rPr>
            </w:pPr>
            <w:r>
              <w:rPr>
                <w:rFonts w:ascii="Times New Roman" w:cs="Times New Roman" w:eastAsia="Times New Roman" w:hAnsi="Times New Roman"/>
                <w:sz w:val="17"/>
                <w:szCs w:val="17"/>
                <w:color w:val="auto"/>
              </w:rPr>
              <w:t>5.2</w:t>
            </w:r>
          </w:p>
        </w:tc>
        <w:tc>
          <w:tcPr>
            <w:tcW w:w="69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Conditions of Warrant Agent’s Obligations</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28"/>
        </w:trPr>
        <w:tc>
          <w:tcPr>
            <w:tcW w:w="4000" w:type="dxa"/>
            <w:vAlign w:val="bottom"/>
          </w:tcPr>
          <w:p>
            <w:pPr>
              <w:jc w:val="right"/>
              <w:ind w:right="1697"/>
              <w:spacing w:after="0"/>
              <w:rPr>
                <w:sz w:val="20"/>
                <w:szCs w:val="20"/>
                <w:color w:val="auto"/>
              </w:rPr>
            </w:pPr>
            <w:r>
              <w:rPr>
                <w:rFonts w:ascii="Times New Roman" w:cs="Times New Roman" w:eastAsia="Times New Roman" w:hAnsi="Times New Roman"/>
                <w:sz w:val="17"/>
                <w:szCs w:val="17"/>
                <w:color w:val="auto"/>
              </w:rPr>
              <w:t>5.3</w:t>
            </w:r>
          </w:p>
        </w:tc>
        <w:tc>
          <w:tcPr>
            <w:tcW w:w="69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Resignation, Removal and Appointment of Successors</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310"/>
        </w:trPr>
        <w:tc>
          <w:tcPr>
            <w:tcW w:w="4000" w:type="dxa"/>
            <w:vAlign w:val="bottom"/>
          </w:tcPr>
          <w:p>
            <w:pPr>
              <w:spacing w:after="0"/>
              <w:rPr>
                <w:sz w:val="20"/>
                <w:szCs w:val="20"/>
                <w:color w:val="auto"/>
              </w:rPr>
            </w:pPr>
            <w:r>
              <w:rPr>
                <w:rFonts w:ascii="Times New Roman" w:cs="Times New Roman" w:eastAsia="Times New Roman" w:hAnsi="Times New Roman"/>
                <w:sz w:val="17"/>
                <w:szCs w:val="17"/>
                <w:color w:val="auto"/>
              </w:rPr>
              <w:t>ARTICLE 6 MISCELLANEOUS</w:t>
            </w:r>
          </w:p>
        </w:tc>
        <w:tc>
          <w:tcPr>
            <w:tcW w:w="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310"/>
        </w:trPr>
        <w:tc>
          <w:tcPr>
            <w:tcW w:w="4000" w:type="dxa"/>
            <w:vAlign w:val="bottom"/>
          </w:tcPr>
          <w:p>
            <w:pPr>
              <w:jc w:val="right"/>
              <w:ind w:right="1697"/>
              <w:spacing w:after="0"/>
              <w:rPr>
                <w:sz w:val="20"/>
                <w:szCs w:val="20"/>
                <w:color w:val="auto"/>
              </w:rPr>
            </w:pPr>
            <w:r>
              <w:rPr>
                <w:rFonts w:ascii="Times New Roman" w:cs="Times New Roman" w:eastAsia="Times New Roman" w:hAnsi="Times New Roman"/>
                <w:sz w:val="17"/>
                <w:szCs w:val="17"/>
                <w:color w:val="auto"/>
              </w:rPr>
              <w:t>6.1</w:t>
            </w:r>
          </w:p>
        </w:tc>
        <w:tc>
          <w:tcPr>
            <w:tcW w:w="69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Amendment</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28"/>
        </w:trPr>
        <w:tc>
          <w:tcPr>
            <w:tcW w:w="4000" w:type="dxa"/>
            <w:vAlign w:val="bottom"/>
          </w:tcPr>
          <w:p>
            <w:pPr>
              <w:jc w:val="right"/>
              <w:ind w:right="1697"/>
              <w:spacing w:after="0"/>
              <w:rPr>
                <w:sz w:val="20"/>
                <w:szCs w:val="20"/>
                <w:color w:val="auto"/>
              </w:rPr>
            </w:pPr>
            <w:r>
              <w:rPr>
                <w:rFonts w:ascii="Times New Roman" w:cs="Times New Roman" w:eastAsia="Times New Roman" w:hAnsi="Times New Roman"/>
                <w:sz w:val="17"/>
                <w:szCs w:val="17"/>
                <w:color w:val="auto"/>
              </w:rPr>
              <w:t>6.2</w:t>
            </w:r>
          </w:p>
        </w:tc>
        <w:tc>
          <w:tcPr>
            <w:tcW w:w="69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Notices and Demands to the Company and Warrant Agent</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28"/>
        </w:trPr>
        <w:tc>
          <w:tcPr>
            <w:tcW w:w="4000" w:type="dxa"/>
            <w:vAlign w:val="bottom"/>
          </w:tcPr>
          <w:p>
            <w:pPr>
              <w:jc w:val="right"/>
              <w:ind w:right="1697"/>
              <w:spacing w:after="0"/>
              <w:rPr>
                <w:sz w:val="20"/>
                <w:szCs w:val="20"/>
                <w:color w:val="auto"/>
              </w:rPr>
            </w:pPr>
            <w:r>
              <w:rPr>
                <w:rFonts w:ascii="Times New Roman" w:cs="Times New Roman" w:eastAsia="Times New Roman" w:hAnsi="Times New Roman"/>
                <w:sz w:val="17"/>
                <w:szCs w:val="17"/>
                <w:color w:val="auto"/>
              </w:rPr>
              <w:t>6.3</w:t>
            </w:r>
          </w:p>
        </w:tc>
        <w:tc>
          <w:tcPr>
            <w:tcW w:w="69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Addresses</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28"/>
        </w:trPr>
        <w:tc>
          <w:tcPr>
            <w:tcW w:w="4000" w:type="dxa"/>
            <w:vAlign w:val="bottom"/>
          </w:tcPr>
          <w:p>
            <w:pPr>
              <w:jc w:val="right"/>
              <w:ind w:right="1697"/>
              <w:spacing w:after="0"/>
              <w:rPr>
                <w:sz w:val="20"/>
                <w:szCs w:val="20"/>
                <w:color w:val="auto"/>
              </w:rPr>
            </w:pPr>
            <w:r>
              <w:rPr>
                <w:rFonts w:ascii="Times New Roman" w:cs="Times New Roman" w:eastAsia="Times New Roman" w:hAnsi="Times New Roman"/>
                <w:sz w:val="17"/>
                <w:szCs w:val="17"/>
                <w:color w:val="auto"/>
              </w:rPr>
              <w:t>6.4</w:t>
            </w:r>
          </w:p>
        </w:tc>
        <w:tc>
          <w:tcPr>
            <w:tcW w:w="69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Governing Law</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28"/>
        </w:trPr>
        <w:tc>
          <w:tcPr>
            <w:tcW w:w="4000" w:type="dxa"/>
            <w:vAlign w:val="bottom"/>
          </w:tcPr>
          <w:p>
            <w:pPr>
              <w:jc w:val="right"/>
              <w:ind w:right="1697"/>
              <w:spacing w:after="0"/>
              <w:rPr>
                <w:sz w:val="20"/>
                <w:szCs w:val="20"/>
                <w:color w:val="auto"/>
              </w:rPr>
            </w:pPr>
            <w:r>
              <w:rPr>
                <w:rFonts w:ascii="Times New Roman" w:cs="Times New Roman" w:eastAsia="Times New Roman" w:hAnsi="Times New Roman"/>
                <w:sz w:val="17"/>
                <w:szCs w:val="17"/>
                <w:color w:val="auto"/>
              </w:rPr>
              <w:t>6.5</w:t>
            </w:r>
          </w:p>
        </w:tc>
        <w:tc>
          <w:tcPr>
            <w:tcW w:w="69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Delivery of Prospectus</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i</w:t>
      </w:r>
    </w:p>
    <w:p>
      <w:pPr>
        <w:sectPr>
          <w:pgSz w:w="11900" w:h="16838" w:orient="portrait"/>
          <w:cols w:equalWidth="0" w:num="1">
            <w:col w:w="11260"/>
          </w:cols>
          <w:pgMar w:left="320" w:top="1268" w:right="31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15"/>
        </w:trPr>
        <w:tc>
          <w:tcPr>
            <w:tcW w:w="620" w:type="dxa"/>
            <w:vAlign w:val="bottom"/>
          </w:tcPr>
          <w:p>
            <w:pPr>
              <w:spacing w:after="0"/>
              <w:rPr>
                <w:sz w:val="18"/>
                <w:szCs w:val="18"/>
                <w:color w:val="auto"/>
              </w:rPr>
            </w:pPr>
          </w:p>
        </w:tc>
        <w:tc>
          <w:tcPr>
            <w:tcW w:w="2540" w:type="dxa"/>
            <w:vAlign w:val="bottom"/>
          </w:tcPr>
          <w:p>
            <w:pPr>
              <w:jc w:val="right"/>
              <w:ind w:right="1377"/>
              <w:spacing w:after="0"/>
              <w:rPr>
                <w:sz w:val="20"/>
                <w:szCs w:val="20"/>
                <w:color w:val="auto"/>
              </w:rPr>
            </w:pPr>
            <w:r>
              <w:rPr>
                <w:rFonts w:ascii="Times New Roman" w:cs="Times New Roman" w:eastAsia="Times New Roman" w:hAnsi="Times New Roman"/>
                <w:sz w:val="17"/>
                <w:szCs w:val="17"/>
                <w:color w:val="auto"/>
              </w:rPr>
              <w:t>6.6</w:t>
            </w:r>
          </w:p>
        </w:tc>
        <w:tc>
          <w:tcPr>
            <w:tcW w:w="54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Obtaining of Governmental Approvals</w:t>
            </w: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28"/>
        </w:trPr>
        <w:tc>
          <w:tcPr>
            <w:tcW w:w="620" w:type="dxa"/>
            <w:vAlign w:val="bottom"/>
          </w:tcPr>
          <w:p>
            <w:pPr>
              <w:spacing w:after="0"/>
              <w:rPr>
                <w:sz w:val="19"/>
                <w:szCs w:val="19"/>
                <w:color w:val="auto"/>
              </w:rPr>
            </w:pPr>
          </w:p>
        </w:tc>
        <w:tc>
          <w:tcPr>
            <w:tcW w:w="2540" w:type="dxa"/>
            <w:vAlign w:val="bottom"/>
          </w:tcPr>
          <w:p>
            <w:pPr>
              <w:jc w:val="right"/>
              <w:ind w:right="1377"/>
              <w:spacing w:after="0"/>
              <w:rPr>
                <w:sz w:val="20"/>
                <w:szCs w:val="20"/>
                <w:color w:val="auto"/>
              </w:rPr>
            </w:pPr>
            <w:r>
              <w:rPr>
                <w:rFonts w:ascii="Times New Roman" w:cs="Times New Roman" w:eastAsia="Times New Roman" w:hAnsi="Times New Roman"/>
                <w:sz w:val="17"/>
                <w:szCs w:val="17"/>
                <w:color w:val="auto"/>
              </w:rPr>
              <w:t>6.7</w:t>
            </w:r>
          </w:p>
        </w:tc>
        <w:tc>
          <w:tcPr>
            <w:tcW w:w="54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Persons Having Rights Under the Agreement</w:t>
            </w: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28"/>
        </w:trPr>
        <w:tc>
          <w:tcPr>
            <w:tcW w:w="620" w:type="dxa"/>
            <w:vAlign w:val="bottom"/>
          </w:tcPr>
          <w:p>
            <w:pPr>
              <w:spacing w:after="0"/>
              <w:rPr>
                <w:sz w:val="19"/>
                <w:szCs w:val="19"/>
                <w:color w:val="auto"/>
              </w:rPr>
            </w:pPr>
          </w:p>
        </w:tc>
        <w:tc>
          <w:tcPr>
            <w:tcW w:w="2540" w:type="dxa"/>
            <w:vAlign w:val="bottom"/>
          </w:tcPr>
          <w:p>
            <w:pPr>
              <w:jc w:val="right"/>
              <w:ind w:right="1377"/>
              <w:spacing w:after="0"/>
              <w:rPr>
                <w:sz w:val="20"/>
                <w:szCs w:val="20"/>
                <w:color w:val="auto"/>
              </w:rPr>
            </w:pPr>
            <w:r>
              <w:rPr>
                <w:rFonts w:ascii="Times New Roman" w:cs="Times New Roman" w:eastAsia="Times New Roman" w:hAnsi="Times New Roman"/>
                <w:sz w:val="17"/>
                <w:szCs w:val="17"/>
                <w:color w:val="auto"/>
              </w:rPr>
              <w:t>6.8</w:t>
            </w:r>
          </w:p>
        </w:tc>
        <w:tc>
          <w:tcPr>
            <w:tcW w:w="54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Headings</w:t>
            </w: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28"/>
        </w:trPr>
        <w:tc>
          <w:tcPr>
            <w:tcW w:w="620" w:type="dxa"/>
            <w:vAlign w:val="bottom"/>
          </w:tcPr>
          <w:p>
            <w:pPr>
              <w:jc w:val="right"/>
              <w:ind w:right="297"/>
              <w:spacing w:after="0"/>
              <w:rPr>
                <w:sz w:val="20"/>
                <w:szCs w:val="20"/>
                <w:color w:val="auto"/>
              </w:rPr>
            </w:pPr>
            <w:r>
              <w:rPr>
                <w:rFonts w:ascii="Times New Roman" w:cs="Times New Roman" w:eastAsia="Times New Roman" w:hAnsi="Times New Roman"/>
                <w:sz w:val="17"/>
                <w:szCs w:val="17"/>
                <w:color w:val="auto"/>
              </w:rPr>
              <w:t>6.9</w:t>
            </w:r>
          </w:p>
        </w:tc>
        <w:tc>
          <w:tcPr>
            <w:tcW w:w="25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Counterparts</w:t>
            </w:r>
          </w:p>
        </w:tc>
        <w:tc>
          <w:tcPr>
            <w:tcW w:w="548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28"/>
        </w:trPr>
        <w:tc>
          <w:tcPr>
            <w:tcW w:w="620" w:type="dxa"/>
            <w:vAlign w:val="bottom"/>
          </w:tcPr>
          <w:p>
            <w:pPr>
              <w:jc w:val="right"/>
              <w:ind w:right="257"/>
              <w:spacing w:after="0"/>
              <w:rPr>
                <w:sz w:val="20"/>
                <w:szCs w:val="20"/>
                <w:color w:val="auto"/>
              </w:rPr>
            </w:pPr>
            <w:r>
              <w:rPr>
                <w:rFonts w:ascii="Times New Roman" w:cs="Times New Roman" w:eastAsia="Times New Roman" w:hAnsi="Times New Roman"/>
                <w:sz w:val="17"/>
                <w:szCs w:val="17"/>
                <w:color w:val="auto"/>
                <w:w w:val="87"/>
              </w:rPr>
              <w:t>6.10</w:t>
            </w:r>
          </w:p>
        </w:tc>
        <w:tc>
          <w:tcPr>
            <w:tcW w:w="25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Inspection of Agreement</w:t>
            </w:r>
          </w:p>
        </w:tc>
        <w:tc>
          <w:tcPr>
            <w:tcW w:w="548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7"/>
          <w:szCs w:val="17"/>
          <w:color w:val="auto"/>
        </w:rPr>
        <w:t>ii</w:t>
      </w:r>
    </w:p>
    <w:p>
      <w:pPr>
        <w:sectPr>
          <w:pgSz w:w="11900" w:h="16838" w:orient="portrait"/>
          <w:cols w:equalWidth="0" w:num="1">
            <w:col w:w="10740"/>
          </w:cols>
          <w:pgMar w:left="840" w:top="1318" w:right="31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7"/>
          <w:szCs w:val="17"/>
          <w:b w:val="1"/>
          <w:bCs w:val="1"/>
          <w:color w:val="auto"/>
        </w:rPr>
        <w:t>ACUMEN PHARMACEUTICALS,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PREFERRED STOCK WARRANT AGREEMENT</w:t>
      </w:r>
    </w:p>
    <w:p>
      <w:pPr>
        <w:spacing w:after="0" w:line="144" w:lineRule="exact"/>
        <w:rPr>
          <w:sz w:val="20"/>
          <w:szCs w:val="20"/>
          <w:color w:val="auto"/>
        </w:rPr>
      </w:pPr>
    </w:p>
    <w:p>
      <w:pPr>
        <w:jc w:val="both"/>
        <w:ind w:firstLine="496"/>
        <w:spacing w:after="0" w:line="262" w:lineRule="auto"/>
        <w:rPr>
          <w:sz w:val="20"/>
          <w:szCs w:val="20"/>
          <w:color w:val="auto"/>
        </w:rPr>
      </w:pPr>
      <w:r>
        <w:rPr>
          <w:rFonts w:ascii="Times New Roman" w:cs="Times New Roman" w:eastAsia="Times New Roman" w:hAnsi="Times New Roman"/>
          <w:sz w:val="17"/>
          <w:szCs w:val="17"/>
          <w:color w:val="auto"/>
        </w:rPr>
        <w:t xml:space="preserve">This </w:t>
      </w:r>
      <w:r>
        <w:rPr>
          <w:rFonts w:ascii="Times New Roman" w:cs="Times New Roman" w:eastAsia="Times New Roman" w:hAnsi="Times New Roman"/>
          <w:sz w:val="17"/>
          <w:szCs w:val="17"/>
          <w:b w:val="1"/>
          <w:bCs w:val="1"/>
          <w:color w:val="auto"/>
        </w:rPr>
        <w:t>PREFERRED STOCK WARRANT AGREEMENT</w:t>
      </w:r>
      <w:r>
        <w:rPr>
          <w:rFonts w:ascii="Times New Roman" w:cs="Times New Roman" w:eastAsia="Times New Roman" w:hAnsi="Times New Roman"/>
          <w:sz w:val="17"/>
          <w:szCs w:val="17"/>
          <w:color w:val="auto"/>
        </w:rPr>
        <w:t xml:space="preserve"> (this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xml:space="preserve">”), dated as of [•], between </w:t>
      </w:r>
      <w:r>
        <w:rPr>
          <w:rFonts w:ascii="Times New Roman" w:cs="Times New Roman" w:eastAsia="Times New Roman" w:hAnsi="Times New Roman"/>
          <w:sz w:val="17"/>
          <w:szCs w:val="17"/>
          <w:b w:val="1"/>
          <w:bCs w:val="1"/>
          <w:color w:val="auto"/>
        </w:rPr>
        <w:t>ACUMEN PHARMACEUTICALS, INC.,</w:t>
      </w:r>
      <w:r>
        <w:rPr>
          <w:rFonts w:ascii="Times New Roman" w:cs="Times New Roman" w:eastAsia="Times New Roman" w:hAnsi="Times New Roman"/>
          <w:sz w:val="17"/>
          <w:szCs w:val="17"/>
          <w:color w:val="auto"/>
        </w:rPr>
        <w:t xml:space="preserve"> a Delaware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and [•], a [corporation] [national banking association] organized and existing under the laws of [•] and having a corporate trust office in [•], as warrant agent (the “</w:t>
      </w:r>
      <w:r>
        <w:rPr>
          <w:rFonts w:ascii="Times New Roman" w:cs="Times New Roman" w:eastAsia="Times New Roman" w:hAnsi="Times New Roman"/>
          <w:sz w:val="17"/>
          <w:szCs w:val="17"/>
          <w:b w:val="1"/>
          <w:bCs w:val="1"/>
          <w:i w:val="1"/>
          <w:iCs w:val="1"/>
          <w:color w:val="auto"/>
        </w:rPr>
        <w:t>Warrant Agent</w:t>
      </w:r>
      <w:r>
        <w:rPr>
          <w:rFonts w:ascii="Times New Roman" w:cs="Times New Roman" w:eastAsia="Times New Roman" w:hAnsi="Times New Roman"/>
          <w:sz w:val="17"/>
          <w:szCs w:val="17"/>
          <w:color w:val="auto"/>
        </w:rPr>
        <w:t>”).</w:t>
      </w:r>
    </w:p>
    <w:p>
      <w:pPr>
        <w:spacing w:after="0" w:line="125"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7"/>
          <w:szCs w:val="17"/>
          <w:b w:val="1"/>
          <w:bCs w:val="1"/>
          <w:color w:val="auto"/>
        </w:rPr>
        <w:t xml:space="preserve">WHEREAS, </w:t>
      </w:r>
      <w:r>
        <w:rPr>
          <w:rFonts w:ascii="Times New Roman" w:cs="Times New Roman" w:eastAsia="Times New Roman" w:hAnsi="Times New Roman"/>
          <w:sz w:val="17"/>
          <w:szCs w:val="17"/>
          <w:color w:val="auto"/>
        </w:rPr>
        <w:t>the Company proposes to sell [</w:t>
      </w:r>
      <w:r>
        <w:rPr>
          <w:rFonts w:ascii="Times New Roman" w:cs="Times New Roman" w:eastAsia="Times New Roman" w:hAnsi="Times New Roman"/>
          <w:sz w:val="17"/>
          <w:szCs w:val="17"/>
          <w:b w:val="1"/>
          <w:bCs w:val="1"/>
          <w:i w:val="1"/>
          <w:iCs w:val="1"/>
          <w:color w:val="auto"/>
        </w:rPr>
        <w:t>If Warrants are sold with other securities —</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[title of such other securities being offered] (the “</w:t>
      </w:r>
      <w:r>
        <w:rPr>
          <w:rFonts w:ascii="Times New Roman" w:cs="Times New Roman" w:eastAsia="Times New Roman" w:hAnsi="Times New Roman"/>
          <w:sz w:val="17"/>
          <w:szCs w:val="17"/>
          <w:b w:val="1"/>
          <w:bCs w:val="1"/>
          <w:i w:val="1"/>
          <w:iCs w:val="1"/>
          <w:color w:val="auto"/>
        </w:rPr>
        <w:t>Other Securities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 warrant certificates evidencing one or more warrants (the “</w:t>
      </w:r>
      <w:r>
        <w:rPr>
          <w:rFonts w:ascii="Times New Roman" w:cs="Times New Roman" w:eastAsia="Times New Roman" w:hAnsi="Times New Roman"/>
          <w:sz w:val="17"/>
          <w:szCs w:val="17"/>
          <w:b w:val="1"/>
          <w:bCs w:val="1"/>
          <w:i w:val="1"/>
          <w:iCs w:val="1"/>
          <w:color w:val="auto"/>
        </w:rPr>
        <w:t>Warrants</w:t>
      </w:r>
      <w:r>
        <w:rPr>
          <w:rFonts w:ascii="Times New Roman" w:cs="Times New Roman" w:eastAsia="Times New Roman" w:hAnsi="Times New Roman"/>
          <w:sz w:val="17"/>
          <w:szCs w:val="17"/>
          <w:color w:val="auto"/>
        </w:rPr>
        <w:t>” or, individually, a “</w:t>
      </w:r>
      <w:r>
        <w:rPr>
          <w:rFonts w:ascii="Times New Roman" w:cs="Times New Roman" w:eastAsia="Times New Roman" w:hAnsi="Times New Roman"/>
          <w:sz w:val="17"/>
          <w:szCs w:val="17"/>
          <w:b w:val="1"/>
          <w:bCs w:val="1"/>
          <w:i w:val="1"/>
          <w:iCs w:val="1"/>
          <w:color w:val="auto"/>
        </w:rPr>
        <w:t>Warrant</w:t>
      </w:r>
      <w:r>
        <w:rPr>
          <w:rFonts w:ascii="Times New Roman" w:cs="Times New Roman" w:eastAsia="Times New Roman" w:hAnsi="Times New Roman"/>
          <w:sz w:val="17"/>
          <w:szCs w:val="17"/>
          <w:color w:val="auto"/>
        </w:rPr>
        <w:t>”) representing the right to purchase [title of Preferred Stock purchasable through exercise of Warrants] of the Company, par value $0.0001 per share (the “</w:t>
      </w:r>
      <w:r>
        <w:rPr>
          <w:rFonts w:ascii="Times New Roman" w:cs="Times New Roman" w:eastAsia="Times New Roman" w:hAnsi="Times New Roman"/>
          <w:sz w:val="17"/>
          <w:szCs w:val="17"/>
          <w:b w:val="1"/>
          <w:bCs w:val="1"/>
          <w:i w:val="1"/>
          <w:iCs w:val="1"/>
          <w:color w:val="auto"/>
        </w:rPr>
        <w:t>Warrant Securities</w:t>
      </w:r>
      <w:r>
        <w:rPr>
          <w:rFonts w:ascii="Times New Roman" w:cs="Times New Roman" w:eastAsia="Times New Roman" w:hAnsi="Times New Roman"/>
          <w:sz w:val="17"/>
          <w:szCs w:val="17"/>
          <w:color w:val="auto"/>
        </w:rPr>
        <w:t>”), such warrant certificates and other warrant certificates issued pursuant to this Agreement being herein called the “</w:t>
      </w:r>
      <w:r>
        <w:rPr>
          <w:rFonts w:ascii="Times New Roman" w:cs="Times New Roman" w:eastAsia="Times New Roman" w:hAnsi="Times New Roman"/>
          <w:sz w:val="17"/>
          <w:szCs w:val="17"/>
          <w:b w:val="1"/>
          <w:bCs w:val="1"/>
          <w:i w:val="1"/>
          <w:iCs w:val="1"/>
          <w:color w:val="auto"/>
        </w:rPr>
        <w:t>Warrant Certificates</w:t>
      </w:r>
      <w:r>
        <w:rPr>
          <w:rFonts w:ascii="Times New Roman" w:cs="Times New Roman" w:eastAsia="Times New Roman" w:hAnsi="Times New Roman"/>
          <w:sz w:val="17"/>
          <w:szCs w:val="17"/>
          <w:color w:val="auto"/>
        </w:rPr>
        <w:t>”; and</w:t>
      </w:r>
    </w:p>
    <w:p>
      <w:pPr>
        <w:spacing w:after="0" w:line="131" w:lineRule="exact"/>
        <w:rPr>
          <w:sz w:val="20"/>
          <w:szCs w:val="20"/>
          <w:color w:val="auto"/>
        </w:rPr>
      </w:pPr>
    </w:p>
    <w:p>
      <w:pPr>
        <w:jc w:val="both"/>
        <w:ind w:firstLine="496"/>
        <w:spacing w:after="0" w:line="279" w:lineRule="auto"/>
        <w:rPr>
          <w:sz w:val="20"/>
          <w:szCs w:val="20"/>
          <w:color w:val="auto"/>
        </w:rPr>
      </w:pPr>
      <w:r>
        <w:rPr>
          <w:rFonts w:ascii="Times New Roman" w:cs="Times New Roman" w:eastAsia="Times New Roman" w:hAnsi="Times New Roman"/>
          <w:sz w:val="16"/>
          <w:szCs w:val="16"/>
          <w:b w:val="1"/>
          <w:bCs w:val="1"/>
          <w:color w:val="auto"/>
        </w:rPr>
        <w:t xml:space="preserve">WHEREAS, </w:t>
      </w:r>
      <w:r>
        <w:rPr>
          <w:rFonts w:ascii="Times New Roman" w:cs="Times New Roman" w:eastAsia="Times New Roman" w:hAnsi="Times New Roman"/>
          <w:sz w:val="16"/>
          <w:szCs w:val="16"/>
          <w:color w:val="auto"/>
        </w:rPr>
        <w:t>the Company desires the Warrant Agent to act on behalf of the Company, and the Warrant Agent is willing so to act, in connection with the issuance,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registration, transfer, exchange, exercise and replacement of the Warrant Certificates, and in this Agreement wishes to set forth, among other things, the form and provisions of the Warrant Certificates and the terms and conditions on which they may be issued, registered, transferred, exchanged, exercised and replaced.</w:t>
      </w:r>
    </w:p>
    <w:p>
      <w:pPr>
        <w:spacing w:after="0" w:line="1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 xml:space="preserve">NOW THEREFORE, </w:t>
      </w:r>
      <w:r>
        <w:rPr>
          <w:rFonts w:ascii="Times New Roman" w:cs="Times New Roman" w:eastAsia="Times New Roman" w:hAnsi="Times New Roman"/>
          <w:sz w:val="17"/>
          <w:szCs w:val="17"/>
          <w:color w:val="auto"/>
        </w:rPr>
        <w:t>in consideration of the premises and of the mutual agreements herein contained, the parties hereto agree as follows: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1</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ISSUANCE OF WARRANTS AND EXECUTION AND DELIVERY OF WARRANT CERTIFICATES</w:t>
      </w:r>
    </w:p>
    <w:p>
      <w:pPr>
        <w:spacing w:after="0" w:line="166"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7"/>
          <w:szCs w:val="17"/>
          <w:b w:val="1"/>
          <w:bCs w:val="1"/>
          <w:color w:val="auto"/>
        </w:rPr>
        <w:t xml:space="preserve">1.1 Issuance of Warrants.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If Warrants alone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—Upon issuance, each Warrant Certificate shall evidence one or more Warrants.] [</w:t>
      </w:r>
      <w:r>
        <w:rPr>
          <w:rFonts w:ascii="Times New Roman" w:cs="Times New Roman" w:eastAsia="Times New Roman" w:hAnsi="Times New Roman"/>
          <w:sz w:val="17"/>
          <w:szCs w:val="17"/>
          <w:b w:val="1"/>
          <w:bCs w:val="1"/>
          <w:i w:val="1"/>
          <w:iCs w:val="1"/>
          <w:color w:val="auto"/>
        </w:rPr>
        <w:t>If Other Securities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i w:val="1"/>
          <w:iCs w:val="1"/>
          <w:color w:val="auto"/>
        </w:rPr>
        <w:t xml:space="preserve">Warrants </w:t>
      </w:r>
      <w:r>
        <w:rPr>
          <w:rFonts w:ascii="Times New Roman" w:cs="Times New Roman" w:eastAsia="Times New Roman" w:hAnsi="Times New Roman"/>
          <w:sz w:val="17"/>
          <w:szCs w:val="17"/>
          <w:color w:val="auto"/>
        </w:rPr>
        <w:t>—Warrant Certificates will be issued in connection with the issuance of the Other Securities but shall be separately transferable and each Warrant Certificate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shall evidence one or more Warrants.] Each Warrant evidenced thereby shall represent the right, subject to the provisions contained herein and therein, to purchase one Warrant Security. [</w:t>
      </w:r>
      <w:r>
        <w:rPr>
          <w:rFonts w:ascii="Times New Roman" w:cs="Times New Roman" w:eastAsia="Times New Roman" w:hAnsi="Times New Roman"/>
          <w:sz w:val="17"/>
          <w:szCs w:val="17"/>
          <w:b w:val="1"/>
          <w:bCs w:val="1"/>
          <w:i w:val="1"/>
          <w:iCs w:val="1"/>
          <w:color w:val="auto"/>
        </w:rPr>
        <w:t>If Other Securities and Warrants</w:t>
      </w:r>
      <w:r>
        <w:rPr>
          <w:rFonts w:ascii="Times New Roman" w:cs="Times New Roman" w:eastAsia="Times New Roman" w:hAnsi="Times New Roman"/>
          <w:sz w:val="17"/>
          <w:szCs w:val="17"/>
          <w:color w:val="auto"/>
        </w:rPr>
        <w:t xml:space="preserve"> —Warrant Certificates will be issued with the Other Securities and each Warrant Certificate will evidence [•] Warrants for each [$[•] principal amount] [[•] shares] of Other Securities issued.]</w:t>
      </w:r>
    </w:p>
    <w:p>
      <w:pPr>
        <w:spacing w:after="0" w:line="136"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7"/>
          <w:szCs w:val="17"/>
          <w:b w:val="1"/>
          <w:bCs w:val="1"/>
          <w:color w:val="auto"/>
        </w:rPr>
        <w:t xml:space="preserve">1.2 Execution and Delivery of Warrant Certificates. </w:t>
      </w:r>
      <w:r>
        <w:rPr>
          <w:rFonts w:ascii="Times New Roman" w:cs="Times New Roman" w:eastAsia="Times New Roman" w:hAnsi="Times New Roman"/>
          <w:sz w:val="17"/>
          <w:szCs w:val="17"/>
          <w:color w:val="auto"/>
        </w:rPr>
        <w:t>Each Warrant Certificate, whenever issued, shall be in registered form substantially in the form set forth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in </w:t>
      </w:r>
      <w:r>
        <w:rPr>
          <w:rFonts w:ascii="Times New Roman" w:cs="Times New Roman" w:eastAsia="Times New Roman" w:hAnsi="Times New Roman"/>
          <w:sz w:val="17"/>
          <w:szCs w:val="17"/>
          <w:b w:val="1"/>
          <w:bCs w:val="1"/>
          <w:color w:val="auto"/>
        </w:rPr>
        <w:t>Exhibit A</w:t>
      </w:r>
      <w:r>
        <w:rPr>
          <w:rFonts w:ascii="Times New Roman" w:cs="Times New Roman" w:eastAsia="Times New Roman" w:hAnsi="Times New Roman"/>
          <w:sz w:val="17"/>
          <w:szCs w:val="17"/>
          <w:color w:val="auto"/>
        </w:rPr>
        <w:t xml:space="preserve"> hereto, shall 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80"/>
          </w:cols>
          <w:pgMar w:left="300" w:top="1283" w:right="319" w:bottom="1440" w:gutter="0" w:footer="0" w:header="0"/>
        </w:sectPr>
      </w:pPr>
    </w:p>
    <w:bookmarkStart w:id="120" w:name="page121"/>
    <w:bookmarkEnd w:id="120"/>
    <w:p>
      <w:pPr>
        <w:jc w:val="both"/>
        <w:spacing w:after="0" w:line="248" w:lineRule="auto"/>
        <w:rPr>
          <w:sz w:val="20"/>
          <w:szCs w:val="20"/>
          <w:color w:val="auto"/>
        </w:rPr>
      </w:pPr>
      <w:r>
        <w:rPr>
          <w:rFonts w:ascii="Times New Roman" w:cs="Times New Roman" w:eastAsia="Times New Roman" w:hAnsi="Times New Roman"/>
          <w:sz w:val="17"/>
          <w:szCs w:val="17"/>
          <w:color w:val="auto"/>
        </w:rPr>
        <w:t>and as are not inconsistent with the provisions of this Agreement, or as may be required to comply with any law or with any rule or regulation made pursuant thereto or with any rule or regulation of any securities exchange on which the Warrants may be listed, or to conform to usage. The Warrant Certificates shall be signed on behalf of the Company by any of its present or future chief executive officers, presidents, senior vice presidents, vice presidents, chief financial officers, chief legal officers, treasurers, assistant treasurers, controllers, assistant controllers, secretaries or assistant secretaries under its corporate seal reproduced thereon. Such signatures may be manual or facsimile signatures of such authorized officers and may be imprinted or otherwise reproduced on the Warrant Certificates. The seal of the Company may be in the form of a facsimile thereof and may be impressed, affixed, imprinted or otherwise reproduced on the Warrant Certificates.</w:t>
      </w:r>
    </w:p>
    <w:p>
      <w:pPr>
        <w:spacing w:after="0" w:line="143"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7"/>
          <w:szCs w:val="17"/>
          <w:color w:val="auto"/>
        </w:rPr>
        <w:t>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w:t>
      </w:r>
    </w:p>
    <w:p>
      <w:pPr>
        <w:spacing w:after="0" w:line="132" w:lineRule="exact"/>
        <w:rPr>
          <w:sz w:val="20"/>
          <w:szCs w:val="20"/>
          <w:color w:val="auto"/>
        </w:rPr>
      </w:pPr>
    </w:p>
    <w:p>
      <w:pPr>
        <w:jc w:val="both"/>
        <w:ind w:firstLine="496"/>
        <w:spacing w:after="0" w:line="247" w:lineRule="auto"/>
        <w:rPr>
          <w:sz w:val="20"/>
          <w:szCs w:val="20"/>
          <w:color w:val="auto"/>
        </w:rPr>
      </w:pPr>
      <w:r>
        <w:rPr>
          <w:rFonts w:ascii="Times New Roman" w:cs="Times New Roman" w:eastAsia="Times New Roman" w:hAnsi="Times New Roman"/>
          <w:sz w:val="17"/>
          <w:szCs w:val="17"/>
          <w:color w:val="auto"/>
        </w:rPr>
        <w:t>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w:t>
      </w:r>
    </w:p>
    <w:p>
      <w:pPr>
        <w:spacing w:after="0" w:line="148" w:lineRule="exact"/>
        <w:rPr>
          <w:sz w:val="20"/>
          <w:szCs w:val="20"/>
          <w:color w:val="auto"/>
        </w:rPr>
      </w:pPr>
    </w:p>
    <w:p>
      <w:pPr>
        <w:jc w:val="both"/>
        <w:ind w:firstLine="496"/>
        <w:spacing w:after="0" w:line="270" w:lineRule="auto"/>
        <w:rPr>
          <w:sz w:val="20"/>
          <w:szCs w:val="20"/>
          <w:color w:val="auto"/>
        </w:rPr>
      </w:pPr>
      <w:r>
        <w:rPr>
          <w:rFonts w:ascii="Times New Roman" w:cs="Times New Roman" w:eastAsia="Times New Roman" w:hAnsi="Times New Roman"/>
          <w:sz w:val="17"/>
          <w:szCs w:val="17"/>
          <w:color w:val="auto"/>
        </w:rPr>
        <w:t>The term “</w:t>
      </w:r>
      <w:r>
        <w:rPr>
          <w:rFonts w:ascii="Times New Roman" w:cs="Times New Roman" w:eastAsia="Times New Roman" w:hAnsi="Times New Roman"/>
          <w:sz w:val="17"/>
          <w:szCs w:val="17"/>
          <w:b w:val="1"/>
          <w:bCs w:val="1"/>
          <w:i w:val="1"/>
          <w:iCs w:val="1"/>
          <w:color w:val="auto"/>
        </w:rPr>
        <w:t>holder</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i w:val="1"/>
          <w:iCs w:val="1"/>
          <w:color w:val="auto"/>
        </w:rPr>
        <w:t>holder of a Warrant Certificate</w:t>
      </w:r>
      <w:r>
        <w:rPr>
          <w:rFonts w:ascii="Times New Roman" w:cs="Times New Roman" w:eastAsia="Times New Roman" w:hAnsi="Times New Roman"/>
          <w:sz w:val="17"/>
          <w:szCs w:val="17"/>
          <w:color w:val="auto"/>
        </w:rPr>
        <w:t>” as used herein shall mean any person in whose name at the time any Warrant Certificate shall be registered upon the books to be maintained by the Warrant Agent for that purpose.</w:t>
      </w:r>
    </w:p>
    <w:p>
      <w:pPr>
        <w:spacing w:after="0" w:line="119"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7"/>
          <w:szCs w:val="17"/>
          <w:b w:val="1"/>
          <w:bCs w:val="1"/>
          <w:color w:val="auto"/>
        </w:rPr>
        <w:t xml:space="preserve">1.3 Issuance of Warrant Certificates. </w:t>
      </w:r>
      <w:r>
        <w:rPr>
          <w:rFonts w:ascii="Times New Roman" w:cs="Times New Roman" w:eastAsia="Times New Roman" w:hAnsi="Times New Roman"/>
          <w:sz w:val="17"/>
          <w:szCs w:val="17"/>
          <w:color w:val="auto"/>
        </w:rPr>
        <w:t>Warrant Certificates evidencing the right to purchase Warrant Securities may be executed by the Company and delivered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the Warrant Agent upon the execution of this Agreement or from time to time thereafter. The Warrant Agent shall, upon receipt of Warrant Certificates duly executed on behalf of the Company, countersign such Warrant Certificates and shall deliver such Warrant Certificates to or upon the order of the Company.</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2</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WARRANT PRICE, DURATION AND EXERCISE OF WARRANTS</w:t>
      </w:r>
    </w:p>
    <w:p>
      <w:pPr>
        <w:spacing w:after="0" w:line="166"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7"/>
          <w:szCs w:val="17"/>
          <w:b w:val="1"/>
          <w:bCs w:val="1"/>
          <w:color w:val="auto"/>
        </w:rPr>
        <w:t xml:space="preserve">2.1 Warrant Price. </w:t>
      </w:r>
      <w:r>
        <w:rPr>
          <w:rFonts w:ascii="Times New Roman" w:cs="Times New Roman" w:eastAsia="Times New Roman" w:hAnsi="Times New Roman"/>
          <w:sz w:val="17"/>
          <w:szCs w:val="17"/>
          <w:color w:val="auto"/>
        </w:rPr>
        <w:t>During the period specified in Section 2.2, each Warrant shall, subject to the terms of this Agreement and the applicable Warrant Certificate,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entitle the holder thereof to purchase the number of Warrant Securities specified in the applicable Warrant Certificate at an exercise price of $[•] per Warrant Security, subject to adjustment upon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80"/>
          </w:cols>
          <w:pgMar w:left="300" w:top="1287" w:right="3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color w:val="auto"/>
        </w:rPr>
        <w:t>occurrence of certain events, as hereinafter provided. Such purchase price per Warrant Security is referred to in this Agreement as the “</w:t>
      </w:r>
      <w:r>
        <w:rPr>
          <w:rFonts w:ascii="Times New Roman" w:cs="Times New Roman" w:eastAsia="Times New Roman" w:hAnsi="Times New Roman"/>
          <w:sz w:val="17"/>
          <w:szCs w:val="17"/>
          <w:b w:val="1"/>
          <w:bCs w:val="1"/>
          <w:i w:val="1"/>
          <w:iCs w:val="1"/>
          <w:color w:val="auto"/>
        </w:rPr>
        <w:t>Warrant Price.</w:t>
      </w:r>
      <w:r>
        <w:rPr>
          <w:rFonts w:ascii="Times New Roman" w:cs="Times New Roman" w:eastAsia="Times New Roman" w:hAnsi="Times New Roman"/>
          <w:sz w:val="17"/>
          <w:szCs w:val="17"/>
          <w:color w:val="auto"/>
        </w:rPr>
        <w:t>”</w:t>
      </w:r>
    </w:p>
    <w:p>
      <w:pPr>
        <w:spacing w:after="0" w:line="166" w:lineRule="exact"/>
        <w:rPr>
          <w:sz w:val="20"/>
          <w:szCs w:val="20"/>
          <w:color w:val="auto"/>
        </w:rPr>
      </w:pPr>
    </w:p>
    <w:p>
      <w:pPr>
        <w:ind w:left="500"/>
        <w:spacing w:after="0"/>
        <w:tabs>
          <w:tab w:leader="none" w:pos="860" w:val="left"/>
        </w:tabs>
        <w:rPr>
          <w:sz w:val="20"/>
          <w:szCs w:val="20"/>
          <w:color w:val="auto"/>
        </w:rPr>
      </w:pPr>
      <w:r>
        <w:rPr>
          <w:rFonts w:ascii="Times New Roman" w:cs="Times New Roman" w:eastAsia="Times New Roman" w:hAnsi="Times New Roman"/>
          <w:sz w:val="17"/>
          <w:szCs w:val="17"/>
          <w:b w:val="1"/>
          <w:bCs w:val="1"/>
          <w:color w:val="auto"/>
        </w:rPr>
        <w:t>2.2</w:t>
      </w:r>
      <w:r>
        <w:rPr>
          <w:sz w:val="20"/>
          <w:szCs w:val="20"/>
          <w:color w:val="auto"/>
        </w:rPr>
        <w:tab/>
      </w:r>
      <w:r>
        <w:rPr>
          <w:rFonts w:ascii="Times New Roman" w:cs="Times New Roman" w:eastAsia="Times New Roman" w:hAnsi="Times New Roman"/>
          <w:sz w:val="16"/>
          <w:szCs w:val="16"/>
          <w:b w:val="1"/>
          <w:bCs w:val="1"/>
          <w:color w:val="auto"/>
        </w:rPr>
        <w:t xml:space="preserve">Duration of Warrants. </w:t>
      </w:r>
      <w:r>
        <w:rPr>
          <w:rFonts w:ascii="Times New Roman" w:cs="Times New Roman" w:eastAsia="Times New Roman" w:hAnsi="Times New Roman"/>
          <w:sz w:val="16"/>
          <w:szCs w:val="16"/>
          <w:color w:val="auto"/>
        </w:rPr>
        <w:t>Each Warrant may be exercised in whole or in part at any time, as specified herein, on or after [the date thereof] [•] and at or before</w:t>
      </w:r>
    </w:p>
    <w:p>
      <w:pPr>
        <w:spacing w:after="0" w:line="23" w:lineRule="exact"/>
        <w:rPr>
          <w:sz w:val="20"/>
          <w:szCs w:val="20"/>
          <w:color w:val="auto"/>
        </w:rPr>
      </w:pPr>
    </w:p>
    <w:p>
      <w:pPr>
        <w:jc w:val="both"/>
        <w:ind w:firstLine="3"/>
        <w:spacing w:after="0" w:line="248" w:lineRule="auto"/>
        <w:tabs>
          <w:tab w:leader="none" w:pos="228"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p.m., [City] time, on [•] or such later date as the Company may designate by notice to the Warrant Agent and the holders of Warrant Certificates mailed to their addresses as set forth in the record books of the Warrant Agent (the “</w:t>
      </w:r>
      <w:r>
        <w:rPr>
          <w:rFonts w:ascii="Times New Roman" w:cs="Times New Roman" w:eastAsia="Times New Roman" w:hAnsi="Times New Roman"/>
          <w:sz w:val="17"/>
          <w:szCs w:val="17"/>
          <w:b w:val="1"/>
          <w:bCs w:val="1"/>
          <w:i w:val="1"/>
          <w:iCs w:val="1"/>
          <w:color w:val="auto"/>
        </w:rPr>
        <w:t>Expiration Date</w:t>
      </w:r>
      <w:r>
        <w:rPr>
          <w:rFonts w:ascii="Times New Roman" w:cs="Times New Roman" w:eastAsia="Times New Roman" w:hAnsi="Times New Roman"/>
          <w:sz w:val="17"/>
          <w:szCs w:val="17"/>
          <w:color w:val="auto"/>
        </w:rPr>
        <w:t>”). Each Warrant not exercised at or before [•] p.m., [City] time, on the Expiration Date shall become void, and all rights of the holder of the Warrant Certificate evidencing such Warrant under this Agreement shall cease.</w:t>
      </w:r>
    </w:p>
    <w:p>
      <w:pPr>
        <w:spacing w:after="0" w:line="137" w:lineRule="exact"/>
        <w:rPr>
          <w:sz w:val="20"/>
          <w:szCs w:val="20"/>
          <w:color w:val="auto"/>
        </w:rPr>
      </w:pPr>
    </w:p>
    <w:p>
      <w:pPr>
        <w:ind w:left="500"/>
        <w:spacing w:after="0"/>
        <w:tabs>
          <w:tab w:leader="none" w:pos="860" w:val="left"/>
        </w:tabs>
        <w:rPr>
          <w:sz w:val="20"/>
          <w:szCs w:val="20"/>
          <w:color w:val="auto"/>
        </w:rPr>
      </w:pPr>
      <w:r>
        <w:rPr>
          <w:rFonts w:ascii="Times New Roman" w:cs="Times New Roman" w:eastAsia="Times New Roman" w:hAnsi="Times New Roman"/>
          <w:sz w:val="17"/>
          <w:szCs w:val="17"/>
          <w:b w:val="1"/>
          <w:bCs w:val="1"/>
          <w:color w:val="auto"/>
        </w:rPr>
        <w:t>2.3</w:t>
      </w:r>
      <w:r>
        <w:rPr>
          <w:sz w:val="20"/>
          <w:szCs w:val="20"/>
          <w:color w:val="auto"/>
        </w:rPr>
        <w:tab/>
      </w:r>
      <w:r>
        <w:rPr>
          <w:rFonts w:ascii="Times New Roman" w:cs="Times New Roman" w:eastAsia="Times New Roman" w:hAnsi="Times New Roman"/>
          <w:sz w:val="16"/>
          <w:szCs w:val="16"/>
          <w:b w:val="1"/>
          <w:bCs w:val="1"/>
          <w:color w:val="auto"/>
        </w:rPr>
        <w:t>Exercise of Warrants</w:t>
      </w:r>
      <w:r>
        <w:rPr>
          <w:rFonts w:ascii="Times New Roman" w:cs="Times New Roman" w:eastAsia="Times New Roman" w:hAnsi="Times New Roman"/>
          <w:sz w:val="16"/>
          <w:szCs w:val="16"/>
          <w:color w:val="auto"/>
        </w:rPr>
        <w:t>.</w:t>
      </w:r>
    </w:p>
    <w:p>
      <w:pPr>
        <w:spacing w:after="0" w:line="170" w:lineRule="exact"/>
        <w:rPr>
          <w:sz w:val="20"/>
          <w:szCs w:val="20"/>
          <w:color w:val="auto"/>
        </w:rPr>
      </w:pPr>
    </w:p>
    <w:p>
      <w:pPr>
        <w:jc w:val="both"/>
        <w:ind w:firstLine="996"/>
        <w:spacing w:after="0" w:line="245" w:lineRule="auto"/>
        <w:tabs>
          <w:tab w:leader="none" w:pos="1382" w:val="left"/>
        </w:tabs>
        <w:numPr>
          <w:ilvl w:val="0"/>
          <w:numId w:val="10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During the period specified in Section 2.2, the Warrants may be exercised to purchase a whole number of Warrant Securities in registered form by providing certain information as set forth on the reverse side of the Warrant Certificate and by paying in full, in lawful money of the United States of America, [in cash or by certified check or official bank check in New York Clearing House funds] [by bank wire transfer in immediately available funds] the Warrant Price for each Warrant Security with respect to which a Warrant is being exercised to the Warrant Agent at its corporate trust office, provided that such exercise is subject to receipt within five business days of such payment by the Warrant Agent of the Warrant Certificate with the form of election to purchase Warrant Securities set forth on the reverse side of the Warrant Certificate properly completed and duly executed. The date on which payment in full of the Warrant Price is received by the Warrant Agent shall, subject to receipt of the Warrant Certificate as aforesaid, be deemed to be the date on which the Warrant is exercised; provided, however, that if, at the date of receipt of such Warrant Certificates and payment in full of the Warrant Price, the transfer books for the Warrant Securities purchasable upon the exercise of such Warrants shall be closed, no such receipt of such Warrant Certificates and no such payment of such Warrant Price shall be effective to constitute the person so designated to be named as the holder of record of such Warrant Securities on such date, but shall be effective to constitute such person as the holder of record of such Warrant Securities for all purposes at the opening of business on the next succeeding day on which the transfer books for the Warrant Securities purchasable upon the exercise of such Warrants shall be opened, and the certificates for the Warrant Securities in respect of which such Warrants are then exercised shall be issuable as of the date on such next succeeding day on which the transfer books shall next be opened, and until such date the Company shall be under no duty to deliver any certificate for such Warrant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w:t>
      </w:r>
    </w:p>
    <w:p>
      <w:pPr>
        <w:spacing w:after="0" w:line="147" w:lineRule="exact"/>
        <w:rPr>
          <w:rFonts w:ascii="Times New Roman" w:cs="Times New Roman" w:eastAsia="Times New Roman" w:hAnsi="Times New Roman"/>
          <w:sz w:val="17"/>
          <w:szCs w:val="17"/>
          <w:b w:val="1"/>
          <w:bCs w:val="1"/>
          <w:color w:val="auto"/>
        </w:rPr>
      </w:pPr>
    </w:p>
    <w:p>
      <w:pPr>
        <w:ind w:firstLine="996"/>
        <w:spacing w:after="0" w:line="265" w:lineRule="auto"/>
        <w:tabs>
          <w:tab w:leader="none" w:pos="1381" w:val="left"/>
        </w:tabs>
        <w:numPr>
          <w:ilvl w:val="0"/>
          <w:numId w:val="10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Warrant Agent shall, from time to time, as promptly as practicable, advise the Company of (i) the number of Warrant Securities with respect to which Warrants were exercised, (ii) the instructions of each holder of the Warrant Certificates evidencing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80"/>
          </w:cols>
          <w:pgMar w:left="300" w:top="1283" w:right="319" w:bottom="1440" w:gutter="0" w:footer="0" w:header="0"/>
        </w:sectPr>
      </w:pPr>
    </w:p>
    <w:bookmarkStart w:id="122" w:name="page123"/>
    <w:bookmarkEnd w:id="122"/>
    <w:p>
      <w:pPr>
        <w:spacing w:after="0" w:line="265" w:lineRule="auto"/>
        <w:rPr>
          <w:sz w:val="20"/>
          <w:szCs w:val="20"/>
          <w:color w:val="auto"/>
        </w:rPr>
      </w:pPr>
      <w:r>
        <w:rPr>
          <w:rFonts w:ascii="Times New Roman" w:cs="Times New Roman" w:eastAsia="Times New Roman" w:hAnsi="Times New Roman"/>
          <w:sz w:val="17"/>
          <w:szCs w:val="17"/>
          <w:color w:val="auto"/>
        </w:rPr>
        <w:t>Warrants with respect to delivery of the Warrant Securities to which such holder is entitled upon such exercise, (iii) delivery of Warrant Certificates evidencing the balance, if any, of the Warrants for the remaining Warrant Securities after such exercise, and (iv) such other information as the Company shall reasonably require.</w:t>
      </w:r>
    </w:p>
    <w:p>
      <w:pPr>
        <w:spacing w:after="0" w:line="127" w:lineRule="exact"/>
        <w:rPr>
          <w:sz w:val="20"/>
          <w:szCs w:val="20"/>
          <w:color w:val="auto"/>
        </w:rPr>
      </w:pPr>
    </w:p>
    <w:p>
      <w:pPr>
        <w:jc w:val="both"/>
        <w:ind w:firstLine="996"/>
        <w:spacing w:after="0" w:line="253" w:lineRule="auto"/>
        <w:tabs>
          <w:tab w:leader="none" w:pos="1414" w:val="left"/>
        </w:tabs>
        <w:numPr>
          <w:ilvl w:val="0"/>
          <w:numId w:val="10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As soon as practicable after the exercise of any Warrant, the Company shall issue to or upon the order of the holder of the Warrant Certificate evidencing such Warrant the Warrant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Securities remaining unexercised.</w:t>
      </w:r>
    </w:p>
    <w:p>
      <w:pPr>
        <w:spacing w:after="0" w:line="137" w:lineRule="exact"/>
        <w:rPr>
          <w:rFonts w:ascii="Times New Roman" w:cs="Times New Roman" w:eastAsia="Times New Roman" w:hAnsi="Times New Roman"/>
          <w:sz w:val="17"/>
          <w:szCs w:val="17"/>
          <w:b w:val="1"/>
          <w:bCs w:val="1"/>
          <w:color w:val="auto"/>
        </w:rPr>
      </w:pPr>
    </w:p>
    <w:p>
      <w:pPr>
        <w:jc w:val="both"/>
        <w:ind w:firstLine="996"/>
        <w:spacing w:after="0" w:line="259" w:lineRule="auto"/>
        <w:tabs>
          <w:tab w:leader="none" w:pos="1390" w:val="left"/>
        </w:tabs>
        <w:numPr>
          <w:ilvl w:val="0"/>
          <w:numId w:val="10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shall not be required to pay any stamp or other tax or other governmental charge required to be paid in connection with any transfer involved in the issue of the Warrant Securities, and in the event that any such transfer is involved, the Company shall not be required to issue or deliver any Warrant Security until such tax or other charge shall have been paid or it has been established to the Company’s satisfaction that no such tax or other charge is due.</w:t>
      </w:r>
    </w:p>
    <w:p>
      <w:pPr>
        <w:spacing w:after="0" w:line="132" w:lineRule="exact"/>
        <w:rPr>
          <w:rFonts w:ascii="Times New Roman" w:cs="Times New Roman" w:eastAsia="Times New Roman" w:hAnsi="Times New Roman"/>
          <w:sz w:val="17"/>
          <w:szCs w:val="17"/>
          <w:b w:val="1"/>
          <w:bCs w:val="1"/>
          <w:color w:val="auto"/>
        </w:rPr>
      </w:pPr>
    </w:p>
    <w:p>
      <w:pPr>
        <w:ind w:firstLine="996"/>
        <w:spacing w:after="0" w:line="265" w:lineRule="auto"/>
        <w:tabs>
          <w:tab w:leader="none" w:pos="1370" w:val="left"/>
        </w:tabs>
        <w:numPr>
          <w:ilvl w:val="0"/>
          <w:numId w:val="10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Prior to the issuance of any Warrants there shall have been reserved, and the Company shall at all times through the Expiration Date keep reserved, out of its authorized but unissued Warrant Securities, a number of shares sufficient to provide for the exercise of the Warrants.</w:t>
      </w:r>
    </w:p>
    <w:p>
      <w:pPr>
        <w:spacing w:after="0" w:line="12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7"/>
          <w:szCs w:val="17"/>
          <w:b w:val="1"/>
          <w:bCs w:val="1"/>
          <w:color w:val="auto"/>
        </w:rPr>
        <w:t>ARTICLE 3</w:t>
      </w:r>
    </w:p>
    <w:p>
      <w:pPr>
        <w:spacing w:after="0" w:line="166"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b w:val="1"/>
          <w:bCs w:val="1"/>
          <w:color w:val="auto"/>
        </w:rPr>
        <w:t>OTHER PROVISIONS RELATING TO RIGHTS OF HOLDERS OF WARRANT CERTIFICATES</w:t>
      </w:r>
    </w:p>
    <w:p>
      <w:pPr>
        <w:spacing w:after="0" w:line="166" w:lineRule="exact"/>
        <w:rPr>
          <w:sz w:val="20"/>
          <w:szCs w:val="20"/>
          <w:color w:val="auto"/>
        </w:rPr>
      </w:pPr>
    </w:p>
    <w:p>
      <w:pPr>
        <w:jc w:val="both"/>
        <w:ind w:firstLine="496"/>
        <w:spacing w:after="0" w:line="286" w:lineRule="auto"/>
        <w:rPr>
          <w:sz w:val="20"/>
          <w:szCs w:val="20"/>
          <w:color w:val="auto"/>
        </w:rPr>
      </w:pPr>
      <w:r>
        <w:rPr>
          <w:rFonts w:ascii="Times New Roman" w:cs="Times New Roman" w:eastAsia="Times New Roman" w:hAnsi="Times New Roman"/>
          <w:sz w:val="16"/>
          <w:szCs w:val="16"/>
          <w:b w:val="1"/>
          <w:bCs w:val="1"/>
          <w:color w:val="auto"/>
        </w:rPr>
        <w:t xml:space="preserve">3.1 No Rights as Warrant Securityholder Conferred by Warrants or Warrant Certificates. </w:t>
      </w:r>
      <w:r>
        <w:rPr>
          <w:rFonts w:ascii="Times New Roman" w:cs="Times New Roman" w:eastAsia="Times New Roman" w:hAnsi="Times New Roman"/>
          <w:sz w:val="16"/>
          <w:szCs w:val="16"/>
          <w:color w:val="auto"/>
        </w:rPr>
        <w:t>No Warrant Certificate or Warrant evidenced thereby shall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entitle the holder thereof to any of the rights of a holder of Warrant Securities, including, without limitation, the right to receive the payment of dividends or distributions, if any, on the Warrant Securities or to exercise any voting rights, except to the extent expressly set forth in this Agreement or the applicable Warrant Certificate.</w:t>
      </w:r>
    </w:p>
    <w:p>
      <w:pPr>
        <w:spacing w:after="0" w:line="108" w:lineRule="exact"/>
        <w:rPr>
          <w:sz w:val="20"/>
          <w:szCs w:val="20"/>
          <w:color w:val="auto"/>
        </w:rPr>
      </w:pPr>
    </w:p>
    <w:p>
      <w:pPr>
        <w:jc w:val="both"/>
        <w:ind w:firstLine="496"/>
        <w:spacing w:after="0" w:line="249" w:lineRule="auto"/>
        <w:rPr>
          <w:sz w:val="20"/>
          <w:szCs w:val="20"/>
          <w:color w:val="auto"/>
        </w:rPr>
      </w:pPr>
      <w:r>
        <w:rPr>
          <w:rFonts w:ascii="Times New Roman" w:cs="Times New Roman" w:eastAsia="Times New Roman" w:hAnsi="Times New Roman"/>
          <w:sz w:val="17"/>
          <w:szCs w:val="17"/>
          <w:b w:val="1"/>
          <w:bCs w:val="1"/>
          <w:color w:val="auto"/>
        </w:rPr>
        <w:t xml:space="preserve">3.2 Lost, Stolen, Mutilated or Destroyed Warrant Certificates. </w:t>
      </w:r>
      <w:r>
        <w:rPr>
          <w:rFonts w:ascii="Times New Roman" w:cs="Times New Roman" w:eastAsia="Times New Roman" w:hAnsi="Times New Roman"/>
          <w:sz w:val="17"/>
          <w:szCs w:val="17"/>
          <w:color w:val="auto"/>
        </w:rPr>
        <w:t>Upon receipt by the Warrant Agent of evidence reasonably satisfactory to it and the Company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80"/>
          </w:cols>
          <w:pgMar w:left="300" w:top="1287" w:right="319" w:bottom="1440" w:gutter="0" w:footer="0" w:header="0"/>
        </w:sectPr>
      </w:pPr>
    </w:p>
    <w:bookmarkStart w:id="123" w:name="page124"/>
    <w:bookmarkEnd w:id="123"/>
    <w:p>
      <w:pPr>
        <w:jc w:val="both"/>
        <w:spacing w:after="0" w:line="247" w:lineRule="auto"/>
        <w:rPr>
          <w:sz w:val="20"/>
          <w:szCs w:val="20"/>
          <w:color w:val="auto"/>
        </w:rPr>
      </w:pPr>
      <w:r>
        <w:rPr>
          <w:rFonts w:ascii="Times New Roman" w:cs="Times New Roman" w:eastAsia="Times New Roman" w:hAnsi="Times New Roman"/>
          <w:sz w:val="17"/>
          <w:szCs w:val="17"/>
          <w:color w:val="auto"/>
        </w:rPr>
        <w:t>and evidencing Warrants for a like number of Warrant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w:t>
      </w:r>
    </w:p>
    <w:p>
      <w:pPr>
        <w:spacing w:after="0" w:line="139" w:lineRule="exact"/>
        <w:rPr>
          <w:sz w:val="20"/>
          <w:szCs w:val="20"/>
          <w:color w:val="auto"/>
        </w:rPr>
      </w:pPr>
    </w:p>
    <w:p>
      <w:pPr>
        <w:jc w:val="both"/>
        <w:ind w:firstLine="496"/>
        <w:spacing w:after="0" w:line="276" w:lineRule="auto"/>
        <w:rPr>
          <w:sz w:val="20"/>
          <w:szCs w:val="20"/>
          <w:color w:val="auto"/>
        </w:rPr>
      </w:pPr>
      <w:r>
        <w:rPr>
          <w:rFonts w:ascii="Times New Roman" w:cs="Times New Roman" w:eastAsia="Times New Roman" w:hAnsi="Times New Roman"/>
          <w:sz w:val="16"/>
          <w:szCs w:val="16"/>
          <w:b w:val="1"/>
          <w:bCs w:val="1"/>
          <w:color w:val="auto"/>
        </w:rPr>
        <w:t xml:space="preserve">3.3 Holder of Warrant Certificate May Enforce Rights. </w:t>
      </w:r>
      <w:r>
        <w:rPr>
          <w:rFonts w:ascii="Times New Roman" w:cs="Times New Roman" w:eastAsia="Times New Roman" w:hAnsi="Times New Roman"/>
          <w:sz w:val="16"/>
          <w:szCs w:val="16"/>
          <w:color w:val="auto"/>
        </w:rPr>
        <w:t>Notwithstanding any of the provisions of this Agreement, any holder of a Warrant Certificate,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without the consent of the Warrant Agent, the holder of any Warrant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 and in this Agreement.</w:t>
      </w:r>
    </w:p>
    <w:p>
      <w:pPr>
        <w:spacing w:after="0" w:line="115" w:lineRule="exact"/>
        <w:rPr>
          <w:sz w:val="20"/>
          <w:szCs w:val="20"/>
          <w:color w:val="auto"/>
        </w:rPr>
      </w:pPr>
    </w:p>
    <w:p>
      <w:pPr>
        <w:ind w:left="500"/>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3.4</w:t>
      </w:r>
      <w:r>
        <w:rPr>
          <w:sz w:val="20"/>
          <w:szCs w:val="20"/>
          <w:color w:val="auto"/>
        </w:rPr>
        <w:tab/>
      </w:r>
      <w:r>
        <w:rPr>
          <w:rFonts w:ascii="Times New Roman" w:cs="Times New Roman" w:eastAsia="Times New Roman" w:hAnsi="Times New Roman"/>
          <w:sz w:val="16"/>
          <w:szCs w:val="16"/>
          <w:b w:val="1"/>
          <w:bCs w:val="1"/>
          <w:color w:val="auto"/>
        </w:rPr>
        <w:t>Adjustments</w:t>
      </w:r>
      <w:r>
        <w:rPr>
          <w:rFonts w:ascii="Times New Roman" w:cs="Times New Roman" w:eastAsia="Times New Roman" w:hAnsi="Times New Roman"/>
          <w:sz w:val="16"/>
          <w:szCs w:val="16"/>
          <w:color w:val="auto"/>
        </w:rPr>
        <w:t>.</w:t>
      </w:r>
    </w:p>
    <w:p>
      <w:pPr>
        <w:spacing w:after="0" w:line="170" w:lineRule="exact"/>
        <w:rPr>
          <w:sz w:val="20"/>
          <w:szCs w:val="20"/>
          <w:color w:val="auto"/>
        </w:rPr>
      </w:pPr>
    </w:p>
    <w:p>
      <w:pPr>
        <w:jc w:val="both"/>
        <w:ind w:firstLine="996"/>
        <w:spacing w:after="0" w:line="250" w:lineRule="auto"/>
        <w:tabs>
          <w:tab w:leader="none" w:pos="1382" w:val="left"/>
        </w:tabs>
        <w:numPr>
          <w:ilvl w:val="0"/>
          <w:numId w:val="1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case the Company shall at any time subdivide its outstanding shares of [title of Preferred Stock purchasable through exercise of Warrants] into a greater number of shares, the Warrant Price in effect immediately prior to such subdivision shall be proportionately reduced and the number of Warrant Securities purchasable under the Warrants shall be proportionately increased. Conversely, in case the outstanding shares of [title of Preferred Stock purchasable through exercise of Warrants] shall be combined into a smaller number of shares, the Warrant Price in effect immediately prior to such combination shall be proportionately increased and the number of Warrant Securities purchasable under the Warrants shall be proportionately decreased.</w:t>
      </w:r>
    </w:p>
    <w:p>
      <w:pPr>
        <w:spacing w:after="0" w:line="140" w:lineRule="exact"/>
        <w:rPr>
          <w:rFonts w:ascii="Times New Roman" w:cs="Times New Roman" w:eastAsia="Times New Roman" w:hAnsi="Times New Roman"/>
          <w:sz w:val="17"/>
          <w:szCs w:val="17"/>
          <w:b w:val="1"/>
          <w:bCs w:val="1"/>
          <w:color w:val="auto"/>
        </w:rPr>
      </w:pPr>
    </w:p>
    <w:p>
      <w:pPr>
        <w:ind w:firstLine="996"/>
        <w:spacing w:after="0" w:line="265" w:lineRule="auto"/>
        <w:tabs>
          <w:tab w:leader="none" w:pos="1371" w:val="left"/>
        </w:tabs>
        <w:numPr>
          <w:ilvl w:val="0"/>
          <w:numId w:val="1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at any time or from time to time the holders of [title of Preferred Stock purchasable through exercise of Warrants] (or any shares of stock or other securities at the time receivable upon the exercise of the Warrants) shall have received or become entitled to receive, without payment therefore,</w:t>
      </w:r>
    </w:p>
    <w:p>
      <w:pPr>
        <w:spacing w:after="0" w:line="137" w:lineRule="exact"/>
        <w:rPr>
          <w:sz w:val="20"/>
          <w:szCs w:val="20"/>
          <w:color w:val="auto"/>
        </w:rPr>
      </w:pPr>
    </w:p>
    <w:p>
      <w:pPr>
        <w:jc w:val="both"/>
        <w:ind w:firstLine="996"/>
        <w:spacing w:after="0" w:line="253" w:lineRule="auto"/>
        <w:tabs>
          <w:tab w:leader="none" w:pos="1407" w:val="left"/>
        </w:tabs>
        <w:numPr>
          <w:ilvl w:val="0"/>
          <w:numId w:val="1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[title of Preferred Stock purchasable through exercise of Warrants] or any shares of stock or other securities which are at any time directly or indirectly convertible into or exchangeable for [title of Preferred Stock purchasable through exercise of Warrants], or any rights or options to subscribe for, purchase or otherwise acquire any of the foregoing by way of dividend or other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80"/>
          </w:cols>
          <w:pgMar w:left="300" w:top="1287" w:right="319" w:bottom="1440" w:gutter="0" w:footer="0" w:header="0"/>
        </w:sectPr>
      </w:pPr>
    </w:p>
    <w:bookmarkStart w:id="124" w:name="page125"/>
    <w:bookmarkEnd w:id="124"/>
    <w:p>
      <w:pPr>
        <w:ind w:firstLine="996"/>
        <w:spacing w:after="0" w:line="265" w:lineRule="auto"/>
        <w:tabs>
          <w:tab w:leader="none" w:pos="1391" w:val="left"/>
        </w:tabs>
        <w:numPr>
          <w:ilvl w:val="0"/>
          <w:numId w:val="1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cash paid or payable otherwise than in accordance with the terms of [title of Preferred Stock purchasable through exercise of Warrants] or as a cash dividend paid or payable out of the Company’s current or retained earnings;</w:t>
      </w:r>
    </w:p>
    <w:p>
      <w:pPr>
        <w:spacing w:after="0" w:line="126" w:lineRule="exact"/>
        <w:rPr>
          <w:rFonts w:ascii="Times New Roman" w:cs="Times New Roman" w:eastAsia="Times New Roman" w:hAnsi="Times New Roman"/>
          <w:sz w:val="17"/>
          <w:szCs w:val="17"/>
          <w:b w:val="1"/>
          <w:bCs w:val="1"/>
          <w:color w:val="auto"/>
        </w:rPr>
      </w:pPr>
    </w:p>
    <w:p>
      <w:pPr>
        <w:ind w:left="1400" w:hanging="404"/>
        <w:spacing w:after="0"/>
        <w:tabs>
          <w:tab w:leader="none" w:pos="1400" w:val="left"/>
        </w:tabs>
        <w:numPr>
          <w:ilvl w:val="0"/>
          <w:numId w:val="1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evidence of the Company’s indebtedness or rights to subscribe for or purchase the Company’s indebtedness; or</w:t>
      </w:r>
    </w:p>
    <w:p>
      <w:pPr>
        <w:spacing w:after="0" w:line="176" w:lineRule="exact"/>
        <w:rPr>
          <w:rFonts w:ascii="Times New Roman" w:cs="Times New Roman" w:eastAsia="Times New Roman" w:hAnsi="Times New Roman"/>
          <w:sz w:val="17"/>
          <w:szCs w:val="17"/>
          <w:b w:val="1"/>
          <w:bCs w:val="1"/>
          <w:color w:val="auto"/>
        </w:rPr>
      </w:pPr>
    </w:p>
    <w:p>
      <w:pPr>
        <w:jc w:val="both"/>
        <w:ind w:firstLine="996"/>
        <w:spacing w:after="0" w:line="246" w:lineRule="auto"/>
        <w:tabs>
          <w:tab w:leader="none" w:pos="1449" w:val="left"/>
        </w:tabs>
        <w:numPr>
          <w:ilvl w:val="0"/>
          <w:numId w:val="1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[title of Preferred Stock purchasable through exercise of Warrants] or additional stock or other securities or property (including cash) by way of spinoff, split-up, reclassification, combination of shares or similar corporate rearrangement (other than shares of [title of Preferred Stock purchasable through exercise of Warrants] issued as a stock split or adjustments in respect of which shall be covered by the terms of Section 3.4(a) above), then and in each such case, the holder of each Warrant shall, upon the exercise of the Warrant, be entitled to receive, in addition to the number of Warrant Securities receivable thereupon, and without payment of any additional consideration therefore, the amount of stock and other securities and property (including cash and indebtedness or rights to subscribe for or purchase indebtedness) which such holder would hold on the date of such exercise had such holder been the holder of record of such Warrant Securities as of the date on which holders of [title of Preferred Stock purchasable through exercise of Warrants] received or became entitled to receive such shares or all other additional stock and other securities and property.</w:t>
      </w:r>
    </w:p>
    <w:p>
      <w:pPr>
        <w:spacing w:after="0" w:line="145" w:lineRule="exact"/>
        <w:rPr>
          <w:sz w:val="20"/>
          <w:szCs w:val="20"/>
          <w:color w:val="auto"/>
        </w:rPr>
      </w:pPr>
    </w:p>
    <w:p>
      <w:pPr>
        <w:jc w:val="both"/>
        <w:ind w:firstLine="996"/>
        <w:spacing w:after="0" w:line="246" w:lineRule="auto"/>
        <w:tabs>
          <w:tab w:leader="none" w:pos="1373" w:val="left"/>
        </w:tabs>
        <w:numPr>
          <w:ilvl w:val="0"/>
          <w:numId w:val="1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case of (i) any reclassification, capital reorganization, or change in the [title of Preferred Stock purchasable through exercise of Warrants] of the Company (other than as a result of a subdivision, combination, or stock dividend provided for in Section 3.4(a) or Section 3.4(b) above), (ii) share exchange, merger or similar transaction of the Company with or into another person or entity (other than a share exchange, merger or similar transaction in which the Company is the acquiring or surviving corporation and which does not result in any change in the [title of Preferred Stock purchasable through exercise of Warrants] other than the issuance of additional shares of [title of Preferred Stock purchasable through exercise of Warrants]) or (iii) the sale, exchange, lease, transfer or other disposition of all or substantially all of the properties and assets of the Company as an entirety (in any such case, a “</w:t>
      </w:r>
      <w:r>
        <w:rPr>
          <w:rFonts w:ascii="Times New Roman" w:cs="Times New Roman" w:eastAsia="Times New Roman" w:hAnsi="Times New Roman"/>
          <w:sz w:val="17"/>
          <w:szCs w:val="17"/>
          <w:b w:val="1"/>
          <w:bCs w:val="1"/>
          <w:i w:val="1"/>
          <w:iCs w:val="1"/>
          <w:color w:val="auto"/>
        </w:rPr>
        <w:t>Reorganization Event</w:t>
      </w:r>
      <w:r>
        <w:rPr>
          <w:rFonts w:ascii="Times New Roman" w:cs="Times New Roman" w:eastAsia="Times New Roman" w:hAnsi="Times New Roman"/>
          <w:sz w:val="17"/>
          <w:szCs w:val="17"/>
          <w:color w:val="auto"/>
        </w:rPr>
        <w:t>”), then, as a condition of such Reorganization Event, lawful provisions shall be made, and duly executed documents evidencing the same from the Company or its successor shall be delivered to the holders of the Warrants, so that the holders of the Warrants shall have the right at any time prior to the expiration of the Warrants to purchase, at a total price equal to that payable upon the exercise of the Warrants, the kind and amount of shares of stock and other securities and property receivable in connection with such Reorganization Event by a holder of the same number of shares of [title of Preferred Stock purchasable through exercise of Warrants] as were purchasable by the holders of the Warrants immediately prior to such Reorganization Event. In any such case appropriate provisions shall be made with respect to the rights and interests of the holders of the Warrants so that the provisions hereof shall thereafter be applicable with respect to any shares of stock or other securities and property deliverable upon exercise the Warrants, and appropriate adjustments shall be made to the Warrant Price payable hereunder provided the aggregate purchase price shall remain the same. In the case of any transaction described in clauses (ii) and (iii) above, the Company shall thereupon be relieved of any further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80"/>
          </w:cols>
          <w:pgMar w:left="300" w:top="1287" w:right="319" w:bottom="1440" w:gutter="0" w:footer="0" w:header="0"/>
        </w:sectPr>
      </w:pPr>
    </w:p>
    <w:bookmarkStart w:id="125" w:name="page126"/>
    <w:bookmarkEnd w:id="125"/>
    <w:p>
      <w:pPr>
        <w:jc w:val="both"/>
        <w:spacing w:after="0" w:line="246" w:lineRule="auto"/>
        <w:rPr>
          <w:sz w:val="20"/>
          <w:szCs w:val="20"/>
          <w:color w:val="auto"/>
        </w:rPr>
      </w:pPr>
      <w:r>
        <w:rPr>
          <w:rFonts w:ascii="Times New Roman" w:cs="Times New Roman" w:eastAsia="Times New Roman" w:hAnsi="Times New Roman"/>
          <w:sz w:val="17"/>
          <w:szCs w:val="17"/>
          <w:color w:val="auto"/>
        </w:rPr>
        <w:t>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w:t>
      </w:r>
    </w:p>
    <w:p>
      <w:pPr>
        <w:spacing w:after="0" w:line="155" w:lineRule="exact"/>
        <w:rPr>
          <w:sz w:val="20"/>
          <w:szCs w:val="20"/>
          <w:color w:val="auto"/>
        </w:rPr>
      </w:pPr>
    </w:p>
    <w:p>
      <w:pPr>
        <w:jc w:val="both"/>
        <w:ind w:firstLine="996"/>
        <w:spacing w:after="0" w:line="253" w:lineRule="auto"/>
        <w:tabs>
          <w:tab w:leader="none" w:pos="1381" w:val="left"/>
        </w:tabs>
        <w:numPr>
          <w:ilvl w:val="0"/>
          <w:numId w:val="1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may, at its option, at any time until the Expiration Date, reduce the then current Warrant Price to any amount deemed appropriate by the Board of Directors of the Company for any period not exceeding twenty consecutive days (as evidenced in a resolution adopted by such Board of Directors), but only upon giving the notices required by Section 3.5 at least ten days prior to taking such action.</w:t>
      </w:r>
    </w:p>
    <w:p>
      <w:pPr>
        <w:spacing w:after="0" w:line="136" w:lineRule="exact"/>
        <w:rPr>
          <w:rFonts w:ascii="Times New Roman" w:cs="Times New Roman" w:eastAsia="Times New Roman" w:hAnsi="Times New Roman"/>
          <w:sz w:val="17"/>
          <w:szCs w:val="17"/>
          <w:b w:val="1"/>
          <w:bCs w:val="1"/>
          <w:color w:val="auto"/>
        </w:rPr>
      </w:pPr>
    </w:p>
    <w:p>
      <w:pPr>
        <w:ind w:firstLine="996"/>
        <w:spacing w:after="0" w:line="265" w:lineRule="auto"/>
        <w:tabs>
          <w:tab w:leader="none" w:pos="1373" w:val="left"/>
        </w:tabs>
        <w:numPr>
          <w:ilvl w:val="0"/>
          <w:numId w:val="1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Except as herein otherwise expressly provided, no adjustment in the Warrant Price shall be made by reason of the issuance of any securities of the Company or for any other reason whatsoever.</w:t>
      </w:r>
    </w:p>
    <w:p>
      <w:pPr>
        <w:spacing w:after="0" w:line="126" w:lineRule="exact"/>
        <w:rPr>
          <w:rFonts w:ascii="Times New Roman" w:cs="Times New Roman" w:eastAsia="Times New Roman" w:hAnsi="Times New Roman"/>
          <w:sz w:val="17"/>
          <w:szCs w:val="17"/>
          <w:b w:val="1"/>
          <w:bCs w:val="1"/>
          <w:color w:val="auto"/>
        </w:rPr>
      </w:pPr>
    </w:p>
    <w:p>
      <w:pPr>
        <w:jc w:val="both"/>
        <w:ind w:firstLine="996"/>
        <w:spacing w:after="0" w:line="263" w:lineRule="auto"/>
        <w:tabs>
          <w:tab w:leader="none" w:pos="1344" w:val="left"/>
        </w:tabs>
        <w:numPr>
          <w:ilvl w:val="0"/>
          <w:numId w:val="11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No fractional Warrant Securities shall be issued upon the exercise of Warrants. If more than one Warrant shall be exercised at one time by the same holder, the number of full Warrant Securities which shall be issuable upon such exercise shall be computed on the basis of the aggregate number of Warrant Securities purchased pursuant to the Warrants so exercised. Instead of any fractional Warrant Security which would otherwise be issuable upon exercise of any Warrant, the Company shall pay a cash adjustment in respect of such fraction in an amount equal to the same fraction of the last reported sale price (or bid price if there were no sales) per Warrant Security, in either case as reported on the principal registered national securities exchange on which the Warrant Securities are listed or admitted to trading on the business day that next precedes the day of exercise or, if the Warrant Securities are not then listed or admitted to trading on any registered national securities exchange, the average of the closing high bid and low asked prices as reported on the OTC Bulletin Board Service (the “</w:t>
      </w:r>
      <w:r>
        <w:rPr>
          <w:rFonts w:ascii="Times New Roman" w:cs="Times New Roman" w:eastAsia="Times New Roman" w:hAnsi="Times New Roman"/>
          <w:sz w:val="16"/>
          <w:szCs w:val="16"/>
          <w:b w:val="1"/>
          <w:bCs w:val="1"/>
          <w:i w:val="1"/>
          <w:iCs w:val="1"/>
          <w:color w:val="auto"/>
        </w:rPr>
        <w:t>OTC Bulletin Board</w:t>
      </w:r>
      <w:r>
        <w:rPr>
          <w:rFonts w:ascii="Times New Roman" w:cs="Times New Roman" w:eastAsia="Times New Roman" w:hAnsi="Times New Roman"/>
          <w:sz w:val="16"/>
          <w:szCs w:val="16"/>
          <w:color w:val="auto"/>
        </w:rPr>
        <w:t>”) operated by the Financial Industry Regulatory Authority, Inc. (“</w:t>
      </w:r>
      <w:r>
        <w:rPr>
          <w:rFonts w:ascii="Times New Roman" w:cs="Times New Roman" w:eastAsia="Times New Roman" w:hAnsi="Times New Roman"/>
          <w:sz w:val="16"/>
          <w:szCs w:val="16"/>
          <w:b w:val="1"/>
          <w:bCs w:val="1"/>
          <w:i w:val="1"/>
          <w:iCs w:val="1"/>
          <w:color w:val="auto"/>
        </w:rPr>
        <w:t>FINRA</w:t>
      </w:r>
      <w:r>
        <w:rPr>
          <w:rFonts w:ascii="Times New Roman" w:cs="Times New Roman" w:eastAsia="Times New Roman" w:hAnsi="Times New Roman"/>
          <w:sz w:val="16"/>
          <w:szCs w:val="16"/>
          <w:color w:val="auto"/>
        </w:rPr>
        <w:t>” ) or, if not available on the OTC Bulletin Board, then the average of the closing high bid and low asked prices as reported on any other U.S. quotation medium or inter-dealer quotation system on such date, or if on any such date the Warrant Securities are not listed or admitted to trading on a registered national securities exchange, are not included in the OTC Bulletin Board, and are not quoted on any other U.S. quotation medium or inter-dealer quotation system, an amount equal to the same fraction of the average of the closing bid and asked prices as furnished by any FINRA member firm selected from time to time by the Company for that purpose at the close of business on the business day that next precedes the day of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80"/>
          </w:cols>
          <w:pgMar w:left="300" w:top="1287" w:right="319" w:bottom="1440" w:gutter="0" w:footer="0" w:header="0"/>
        </w:sectPr>
      </w:pPr>
    </w:p>
    <w:bookmarkStart w:id="126" w:name="page127"/>
    <w:bookmarkEnd w:id="126"/>
    <w:p>
      <w:pPr>
        <w:jc w:val="both"/>
        <w:ind w:firstLine="996"/>
        <w:spacing w:after="0" w:line="253" w:lineRule="auto"/>
        <w:tabs>
          <w:tab w:leader="none" w:pos="1392" w:val="left"/>
        </w:tabs>
        <w:numPr>
          <w:ilvl w:val="0"/>
          <w:numId w:val="1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Whenever the Warrant Price then in effect is adjusted as herein provided, the Company shall mail to each holder of the Warrants at such holder’s address as it shall appear on the books of the Company a statement setting forth the adjusted Warrant Price then and thereafter effective under the provisions hereof, together with the facts, in reasonable detail, upon which such adjustment is based.</w:t>
      </w:r>
    </w:p>
    <w:p>
      <w:pPr>
        <w:spacing w:after="0" w:line="147" w:lineRule="exact"/>
        <w:rPr>
          <w:rFonts w:ascii="Times New Roman" w:cs="Times New Roman" w:eastAsia="Times New Roman" w:hAnsi="Times New Roman"/>
          <w:sz w:val="17"/>
          <w:szCs w:val="17"/>
          <w:b w:val="1"/>
          <w:bCs w:val="1"/>
          <w:color w:val="auto"/>
        </w:rPr>
      </w:pPr>
    </w:p>
    <w:p>
      <w:pPr>
        <w:ind w:firstLine="996"/>
        <w:spacing w:after="0" w:line="265" w:lineRule="auto"/>
        <w:tabs>
          <w:tab w:leader="none" w:pos="1360" w:val="left"/>
        </w:tabs>
        <w:numPr>
          <w:ilvl w:val="0"/>
          <w:numId w:val="1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Notwithstanding anything to the contrary herein, in no event shall the Warrant Price, as adjusted in accordance with the terms hereof, be less than the par value per share of [title of Preferred Stock purchasable through exercise of Warrants].</w:t>
      </w:r>
    </w:p>
    <w:p>
      <w:pPr>
        <w:spacing w:after="0" w:line="123" w:lineRule="exact"/>
        <w:rPr>
          <w:sz w:val="20"/>
          <w:szCs w:val="20"/>
          <w:color w:val="auto"/>
        </w:rPr>
      </w:pPr>
    </w:p>
    <w:p>
      <w:pPr>
        <w:jc w:val="both"/>
        <w:ind w:firstLine="496"/>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3.5 Notice to Warrantholders. </w:t>
      </w:r>
      <w:r>
        <w:rPr>
          <w:rFonts w:ascii="Times New Roman" w:cs="Times New Roman" w:eastAsia="Times New Roman" w:hAnsi="Times New Roman"/>
          <w:sz w:val="16"/>
          <w:szCs w:val="16"/>
          <w:color w:val="auto"/>
        </w:rPr>
        <w:t>In case the Company shall (a) effect any dividend or distribution described in Section 3.4(b), (b) effect any Reorganization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Event, (c) make any distribution on or in respect of the [title of Preferred Stock purchasable through exercise of Warrants] in connection with the dissolution, liquidation or winding up of the Company, or (d) reduce the then current Warrant Price pursuant to Section 3.4(d), then the Company shall mail to each holder of Warrants at such holder’s address as it shall appear on the books of the Warrant Agent, at least ten days prior to the applicable date hereinafter specified, a notice stating (x) the record date for such dividend or distribution, or, if a record is not to be taken, the date as of which the holders of record of [title of Preferred Stock purchasable through exercise of Warrants] that will be entitled to such dividend or distribution are to be determined, (y) the date on which such Reorganization Event, dissolution, liquidation or winding up is expected to become effective, and the date as of which it is expected that holders of [title of Preferred Stock purchasable through exercise of Warrants] of record shall be entitled to exchange their shares of [title of Preferred Stock purchasable through exercise of Warrants] for securities or other property deliverable upon such Reorganization Event, dissolution, liquidation or winding up, or (z) the first date on which the then current Warrant Price shall be reduced pursuant to Section 3.4(d). No failure to mail such notice nor any defect therein or in the mailing thereof shall affect any such transaction or any adjustment in the Warrant Price required by Section 3.4.</w:t>
      </w:r>
    </w:p>
    <w:p>
      <w:pPr>
        <w:spacing w:after="0" w:line="127" w:lineRule="exact"/>
        <w:rPr>
          <w:sz w:val="20"/>
          <w:szCs w:val="20"/>
          <w:color w:val="auto"/>
        </w:rPr>
      </w:pPr>
    </w:p>
    <w:p>
      <w:pPr>
        <w:ind w:left="500"/>
        <w:spacing w:after="0"/>
        <w:tabs>
          <w:tab w:leader="none" w:pos="860" w:val="left"/>
        </w:tabs>
        <w:rPr>
          <w:sz w:val="20"/>
          <w:szCs w:val="20"/>
          <w:color w:val="auto"/>
        </w:rPr>
      </w:pPr>
      <w:r>
        <w:rPr>
          <w:rFonts w:ascii="Times New Roman" w:cs="Times New Roman" w:eastAsia="Times New Roman" w:hAnsi="Times New Roman"/>
          <w:sz w:val="17"/>
          <w:szCs w:val="17"/>
          <w:b w:val="1"/>
          <w:bCs w:val="1"/>
          <w:color w:val="auto"/>
        </w:rPr>
        <w:t>3.6</w:t>
      </w:r>
      <w:r>
        <w:rPr>
          <w:sz w:val="20"/>
          <w:szCs w:val="20"/>
          <w:color w:val="auto"/>
        </w:rPr>
        <w:tab/>
      </w:r>
      <w:r>
        <w:rPr>
          <w:rFonts w:ascii="Times New Roman" w:cs="Times New Roman" w:eastAsia="Times New Roman" w:hAnsi="Times New Roman"/>
          <w:sz w:val="16"/>
          <w:szCs w:val="16"/>
          <w:b w:val="1"/>
          <w:bCs w:val="1"/>
          <w:color w:val="auto"/>
        </w:rPr>
        <w:t>[If the Warrants are Subject to Acceleration by the Company, Insert — Acceleration of Warrants by the Company</w:t>
      </w:r>
      <w:r>
        <w:rPr>
          <w:rFonts w:ascii="Times New Roman" w:cs="Times New Roman" w:eastAsia="Times New Roman" w:hAnsi="Times New Roman"/>
          <w:sz w:val="16"/>
          <w:szCs w:val="16"/>
          <w:color w:val="auto"/>
        </w:rPr>
        <w:t>.</w:t>
      </w:r>
    </w:p>
    <w:p>
      <w:pPr>
        <w:spacing w:after="0" w:line="170" w:lineRule="exact"/>
        <w:rPr>
          <w:sz w:val="20"/>
          <w:szCs w:val="20"/>
          <w:color w:val="auto"/>
        </w:rPr>
      </w:pPr>
    </w:p>
    <w:p>
      <w:pPr>
        <w:jc w:val="both"/>
        <w:ind w:firstLine="996"/>
        <w:spacing w:after="0" w:line="250" w:lineRule="auto"/>
        <w:tabs>
          <w:tab w:leader="none" w:pos="1382" w:val="left"/>
        </w:tabs>
        <w:numPr>
          <w:ilvl w:val="0"/>
          <w:numId w:val="1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At any time on or after [•], the Company shall have the right to accelerate any or all Warrants at any time by causing them to expire at the close of business on the day next preceding a specified date (the “</w:t>
      </w:r>
      <w:r>
        <w:rPr>
          <w:rFonts w:ascii="Times New Roman" w:cs="Times New Roman" w:eastAsia="Times New Roman" w:hAnsi="Times New Roman"/>
          <w:sz w:val="17"/>
          <w:szCs w:val="17"/>
          <w:b w:val="1"/>
          <w:bCs w:val="1"/>
          <w:i w:val="1"/>
          <w:iCs w:val="1"/>
          <w:color w:val="auto"/>
        </w:rPr>
        <w:t>Acceleration Date</w:t>
      </w:r>
      <w:r>
        <w:rPr>
          <w:rFonts w:ascii="Times New Roman" w:cs="Times New Roman" w:eastAsia="Times New Roman" w:hAnsi="Times New Roman"/>
          <w:sz w:val="17"/>
          <w:szCs w:val="17"/>
          <w:color w:val="auto"/>
        </w:rPr>
        <w:t>”), if the Market Price (as hereinafter defined) of the [title of Preferred Stock purchasable through exercise of Warrants] equals or exceeds [•] percent ([•]%) of the then effective Warrant Price on any twenty Trading Days (as hereinafter defined) within a period of thirty consecutive Trading Days ending no more than five Trading Days prior to the date on which the Company gives notice to the Warrant Agent of its election to accelerate the Warrants.</w:t>
      </w:r>
    </w:p>
    <w:p>
      <w:pPr>
        <w:spacing w:after="0" w:line="136" w:lineRule="exact"/>
        <w:rPr>
          <w:rFonts w:ascii="Times New Roman" w:cs="Times New Roman" w:eastAsia="Times New Roman" w:hAnsi="Times New Roman"/>
          <w:sz w:val="17"/>
          <w:szCs w:val="17"/>
          <w:b w:val="1"/>
          <w:bCs w:val="1"/>
          <w:color w:val="auto"/>
        </w:rPr>
      </w:pPr>
    </w:p>
    <w:p>
      <w:pPr>
        <w:jc w:val="both"/>
        <w:ind w:firstLine="996"/>
        <w:spacing w:after="0" w:line="255" w:lineRule="auto"/>
        <w:tabs>
          <w:tab w:leader="none" w:pos="1422" w:val="left"/>
        </w:tabs>
        <w:numPr>
          <w:ilvl w:val="0"/>
          <w:numId w:val="1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Market Price</w:t>
      </w:r>
      <w:r>
        <w:rPr>
          <w:rFonts w:ascii="Times New Roman" w:cs="Times New Roman" w:eastAsia="Times New Roman" w:hAnsi="Times New Roman"/>
          <w:sz w:val="17"/>
          <w:szCs w:val="17"/>
          <w:color w:val="auto"/>
        </w:rPr>
        <w:t>” for each Trading Day shall be, if the [title of Preferred Stock purchasable through exercise of Warrants] is listed or admitted to trading on any registered national securities exchange, the last reported sale price, regular way (or, if no such price is reported, the average of the reported closing bid and asked prices, regular way) of [title of Preferred Stock purchasable through exercise of Warrants], in either case as reported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80"/>
          </w:cols>
          <w:pgMar w:left="300" w:top="1287" w:right="319" w:bottom="1440" w:gutter="0" w:footer="0" w:header="0"/>
        </w:sectPr>
      </w:pPr>
    </w:p>
    <w:bookmarkStart w:id="127" w:name="page128"/>
    <w:bookmarkEnd w:id="127"/>
    <w:p>
      <w:pPr>
        <w:jc w:val="both"/>
        <w:spacing w:after="0" w:line="246" w:lineRule="auto"/>
        <w:rPr>
          <w:sz w:val="20"/>
          <w:szCs w:val="20"/>
          <w:color w:val="auto"/>
        </w:rPr>
      </w:pPr>
      <w:r>
        <w:rPr>
          <w:rFonts w:ascii="Times New Roman" w:cs="Times New Roman" w:eastAsia="Times New Roman" w:hAnsi="Times New Roman"/>
          <w:sz w:val="17"/>
          <w:szCs w:val="17"/>
          <w:color w:val="auto"/>
        </w:rPr>
        <w:t>principal registered national securities exchange on which the [title of Preferred Stock purchasable through exercise of Warrants] is listed or admitted to trading or, if not listed or admitted to trading on any registered national securities exchange, the average of the closing high bid and low asked prices as reported on the OTC Bulletin Board operated by FINRA, or if not available on the OTC Bulletin Board, then the average of the closing high bid and low asked prices as reported on any other U.S. quotation medium or inter-dealer quotation system, or if on any such date the shares of [title of Preferred Stock purchasable through exercise of Warrants] are not listed or admitted to trading on a registered national securities exchange, are not included in the OTC Bulletin Board, and are not quoted on any other U.S. quotation medium or inter-dealer quotation system, the average of the closing bid and asked prices as furnished by any FINRA member firm selected from time to time by the Company for that purpose. “Trading Day” shall be each Monday through Friday, other than any day on which securities are not traded in the system or on the exchange that is the principal market for the [title of Preferred Stock purchasable through exercise of Warrants], as determined by the Board of Directors of the Company. In the event of an acceleration of less than all of the Warrants, the Warrant Agent shall select the Warrants to be accelerated by lot, pro rata or in such other manner as it deems, in its discretion, to be fair and appropriate.</w:t>
      </w:r>
    </w:p>
    <w:p>
      <w:pPr>
        <w:spacing w:after="0" w:line="147" w:lineRule="exact"/>
        <w:rPr>
          <w:sz w:val="20"/>
          <w:szCs w:val="20"/>
          <w:color w:val="auto"/>
        </w:rPr>
      </w:pPr>
    </w:p>
    <w:p>
      <w:pPr>
        <w:jc w:val="both"/>
        <w:ind w:firstLine="996"/>
        <w:spacing w:after="0" w:line="249" w:lineRule="auto"/>
        <w:tabs>
          <w:tab w:leader="none" w:pos="1383" w:val="left"/>
        </w:tabs>
        <w:numPr>
          <w:ilvl w:val="0"/>
          <w:numId w:val="1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Notice of an acceleration specifying the Acceleration Date shall be sent by mail first class, postage prepaid, to each registered holder of a Warrant Certificate representing a Warrant accelerated at such holder’s address appearing on the books of the Warrant Agent not more than sixty days nor less than thirty days before the Acceleration Date. Such notice of an acceleration also shall be given no more than twenty days, and no less than ten days, prior to the mailing of notice to registered holders of Warrants pursuant to this Section 3.6, by publication at least once in a newspaper of general circulation in the City of New York.</w:t>
      </w:r>
    </w:p>
    <w:p>
      <w:pPr>
        <w:spacing w:after="0" w:line="150" w:lineRule="exact"/>
        <w:rPr>
          <w:rFonts w:ascii="Times New Roman" w:cs="Times New Roman" w:eastAsia="Times New Roman" w:hAnsi="Times New Roman"/>
          <w:sz w:val="17"/>
          <w:szCs w:val="17"/>
          <w:b w:val="1"/>
          <w:bCs w:val="1"/>
          <w:color w:val="auto"/>
        </w:rPr>
      </w:pPr>
    </w:p>
    <w:p>
      <w:pPr>
        <w:ind w:firstLine="996"/>
        <w:spacing w:after="0" w:line="265" w:lineRule="auto"/>
        <w:tabs>
          <w:tab w:leader="none" w:pos="1391" w:val="left"/>
        </w:tabs>
        <w:numPr>
          <w:ilvl w:val="0"/>
          <w:numId w:val="1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Warrant accelerated may be exercised until [•] p.m., [City] time, on the business day next preceding the Acceleration Date. The Warrant Price shall be payable as provided in Section 2.]</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4</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EXCHANGE AND TRANSFER OF WARRANT CERTIFICATES</w:t>
      </w:r>
    </w:p>
    <w:p>
      <w:pPr>
        <w:spacing w:after="0" w:line="166" w:lineRule="exact"/>
        <w:rPr>
          <w:sz w:val="20"/>
          <w:szCs w:val="20"/>
          <w:color w:val="auto"/>
        </w:rPr>
      </w:pPr>
    </w:p>
    <w:p>
      <w:pPr>
        <w:jc w:val="both"/>
        <w:ind w:firstLine="496"/>
        <w:spacing w:after="0" w:line="250" w:lineRule="auto"/>
        <w:rPr>
          <w:sz w:val="20"/>
          <w:szCs w:val="20"/>
          <w:color w:val="auto"/>
        </w:rPr>
      </w:pPr>
      <w:r>
        <w:rPr>
          <w:rFonts w:ascii="Times New Roman" w:cs="Times New Roman" w:eastAsia="Times New Roman" w:hAnsi="Times New Roman"/>
          <w:sz w:val="17"/>
          <w:szCs w:val="17"/>
          <w:b w:val="1"/>
          <w:bCs w:val="1"/>
          <w:color w:val="auto"/>
        </w:rPr>
        <w:t>4.1 Exchange and Transfer of Warrant Certificates</w:t>
      </w:r>
      <w:r>
        <w:rPr>
          <w:rFonts w:ascii="Times New Roman" w:cs="Times New Roman" w:eastAsia="Times New Roman" w:hAnsi="Times New Roman"/>
          <w:sz w:val="17"/>
          <w:szCs w:val="17"/>
          <w:color w:val="auto"/>
        </w:rPr>
        <w:t>. Upon surrender at the corporate trust office of the Warrant Agent, Warrant Certificates evidencing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Warrants may be exchanged for Warrant Certificates in other denominations evidencing such Warrants or the transfer thereof may be registered in whole or in part; provided that such other Warrant Certificates evidence Warrants for the same aggregate number of Warrant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280"/>
          </w:cols>
          <w:pgMar w:left="300" w:top="1287" w:right="319" w:bottom="1440" w:gutter="0" w:footer="0" w:header="0"/>
        </w:sectPr>
      </w:pPr>
    </w:p>
    <w:bookmarkStart w:id="128" w:name="page129"/>
    <w:bookmarkEnd w:id="128"/>
    <w:p>
      <w:pPr>
        <w:jc w:val="both"/>
        <w:spacing w:after="0" w:line="246" w:lineRule="auto"/>
        <w:rPr>
          <w:sz w:val="20"/>
          <w:szCs w:val="20"/>
          <w:color w:val="auto"/>
        </w:rPr>
      </w:pPr>
      <w:r>
        <w:rPr>
          <w:rFonts w:ascii="Times New Roman" w:cs="Times New Roman" w:eastAsia="Times New Roman" w:hAnsi="Times New Roman"/>
          <w:sz w:val="17"/>
          <w:szCs w:val="17"/>
          <w:color w:val="auto"/>
        </w:rPr>
        <w:t>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Security or a number of Warrants for a whole number of Warrant Securities and a fraction of a Warrant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w:t>
      </w:r>
    </w:p>
    <w:p>
      <w:pPr>
        <w:spacing w:after="0" w:line="151"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7"/>
          <w:szCs w:val="17"/>
          <w:b w:val="1"/>
          <w:bCs w:val="1"/>
          <w:color w:val="auto"/>
        </w:rPr>
        <w:t xml:space="preserve">4.2 Treatment of Holders of Warrant Certificates. </w:t>
      </w:r>
      <w:r>
        <w:rPr>
          <w:rFonts w:ascii="Times New Roman" w:cs="Times New Roman" w:eastAsia="Times New Roman" w:hAnsi="Times New Roman"/>
          <w:sz w:val="17"/>
          <w:szCs w:val="17"/>
          <w:color w:val="auto"/>
        </w:rPr>
        <w:t>The Company, the Warrant Agent and all other persons may treat the registered holder of a Warrant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Certificate as the absolute owner thereof for any purpose and as the person entitled to exercise the rights represented by the Warrants evidenced thereby, any notice to the contrary notwithstanding.</w:t>
      </w:r>
    </w:p>
    <w:p>
      <w:pPr>
        <w:spacing w:after="0" w:line="132"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7"/>
          <w:szCs w:val="17"/>
          <w:b w:val="1"/>
          <w:bCs w:val="1"/>
          <w:color w:val="auto"/>
        </w:rPr>
        <w:t xml:space="preserve">4.3 Cancellation of Warrant Certificates. </w:t>
      </w:r>
      <w:r>
        <w:rPr>
          <w:rFonts w:ascii="Times New Roman" w:cs="Times New Roman" w:eastAsia="Times New Roman" w:hAnsi="Times New Roman"/>
          <w:sz w:val="17"/>
          <w:szCs w:val="17"/>
          <w:color w:val="auto"/>
        </w:rPr>
        <w:t>Any Warrant Certificate surrendered for exchange, registration of transfer or exercise of the Warrants evidenced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5</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CONCERNING THE WARRANT AGENT</w:t>
      </w:r>
    </w:p>
    <w:p>
      <w:pPr>
        <w:spacing w:after="0" w:line="166" w:lineRule="exact"/>
        <w:rPr>
          <w:sz w:val="20"/>
          <w:szCs w:val="20"/>
          <w:color w:val="auto"/>
        </w:rPr>
      </w:pPr>
    </w:p>
    <w:p>
      <w:pPr>
        <w:jc w:val="both"/>
        <w:ind w:firstLine="496"/>
        <w:spacing w:after="0" w:line="251" w:lineRule="auto"/>
        <w:rPr>
          <w:sz w:val="20"/>
          <w:szCs w:val="20"/>
          <w:color w:val="auto"/>
        </w:rPr>
      </w:pPr>
      <w:r>
        <w:rPr>
          <w:rFonts w:ascii="Times New Roman" w:cs="Times New Roman" w:eastAsia="Times New Roman" w:hAnsi="Times New Roman"/>
          <w:sz w:val="17"/>
          <w:szCs w:val="17"/>
          <w:b w:val="1"/>
          <w:bCs w:val="1"/>
          <w:color w:val="auto"/>
        </w:rPr>
        <w:t xml:space="preserve">5.1 Warrant Agent. </w:t>
      </w:r>
      <w:r>
        <w:rPr>
          <w:rFonts w:ascii="Times New Roman" w:cs="Times New Roman" w:eastAsia="Times New Roman" w:hAnsi="Times New Roman"/>
          <w:sz w:val="17"/>
          <w:szCs w:val="17"/>
          <w:color w:val="auto"/>
        </w:rPr>
        <w:t>The Company hereby appoints [•] as Warrant Agent of the Company in respect of the Warrants and the Warrant Certificates upon the terms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subject to the 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w:t>
      </w:r>
    </w:p>
    <w:p>
      <w:pPr>
        <w:spacing w:after="0" w:line="136" w:lineRule="exact"/>
        <w:rPr>
          <w:sz w:val="20"/>
          <w:szCs w:val="20"/>
          <w:color w:val="auto"/>
        </w:rPr>
      </w:pPr>
    </w:p>
    <w:p>
      <w:pPr>
        <w:jc w:val="both"/>
        <w:ind w:firstLine="496"/>
        <w:spacing w:after="0" w:line="283" w:lineRule="auto"/>
        <w:rPr>
          <w:sz w:val="20"/>
          <w:szCs w:val="20"/>
          <w:color w:val="auto"/>
        </w:rPr>
      </w:pPr>
      <w:r>
        <w:rPr>
          <w:rFonts w:ascii="Times New Roman" w:cs="Times New Roman" w:eastAsia="Times New Roman" w:hAnsi="Times New Roman"/>
          <w:sz w:val="17"/>
          <w:szCs w:val="17"/>
          <w:b w:val="1"/>
          <w:bCs w:val="1"/>
          <w:color w:val="auto"/>
        </w:rPr>
        <w:t xml:space="preserve">5.2 Conditions of Warrant Agent’s Obligations. </w:t>
      </w:r>
      <w:r>
        <w:rPr>
          <w:rFonts w:ascii="Times New Roman" w:cs="Times New Roman" w:eastAsia="Times New Roman" w:hAnsi="Times New Roman"/>
          <w:sz w:val="17"/>
          <w:szCs w:val="17"/>
          <w:color w:val="auto"/>
        </w:rPr>
        <w:t>The Warrant Agent accepts its obligations herein set forth upon the terms and conditions hereof, including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following to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280"/>
          </w:cols>
          <w:pgMar w:left="300" w:top="1287" w:right="31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7"/>
          <w:szCs w:val="17"/>
          <w:color w:val="auto"/>
        </w:rPr>
        <w:t>of which the Company agrees and to all of which the rights hereunder of the holders from time to time of the Warrant Certificates shall be subject:</w:t>
      </w:r>
    </w:p>
    <w:p>
      <w:pPr>
        <w:spacing w:after="0" w:line="162" w:lineRule="exact"/>
        <w:rPr>
          <w:sz w:val="20"/>
          <w:szCs w:val="20"/>
          <w:color w:val="auto"/>
        </w:rPr>
      </w:pPr>
    </w:p>
    <w:p>
      <w:pPr>
        <w:jc w:val="both"/>
        <w:ind w:firstLine="996"/>
        <w:spacing w:after="0" w:line="249" w:lineRule="auto"/>
        <w:tabs>
          <w:tab w:leader="none" w:pos="1452" w:val="left"/>
        </w:tabs>
        <w:numPr>
          <w:ilvl w:val="0"/>
          <w:numId w:val="1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Compensation and Indemnification. </w:t>
      </w:r>
      <w:r>
        <w:rPr>
          <w:rFonts w:ascii="Times New Roman" w:cs="Times New Roman" w:eastAsia="Times New Roman" w:hAnsi="Times New Roman"/>
          <w:sz w:val="17"/>
          <w:szCs w:val="17"/>
          <w:color w:val="auto"/>
        </w:rPr>
        <w:t>The Company agrees promptly to pay the Warrant Agent the compensation to be agreed upon with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for all services 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w:t>
      </w:r>
    </w:p>
    <w:p>
      <w:pPr>
        <w:spacing w:after="0" w:line="137" w:lineRule="exact"/>
        <w:rPr>
          <w:rFonts w:ascii="Times New Roman" w:cs="Times New Roman" w:eastAsia="Times New Roman" w:hAnsi="Times New Roman"/>
          <w:sz w:val="17"/>
          <w:szCs w:val="17"/>
          <w:b w:val="1"/>
          <w:bCs w:val="1"/>
          <w:color w:val="auto"/>
        </w:rPr>
      </w:pPr>
    </w:p>
    <w:p>
      <w:pPr>
        <w:jc w:val="both"/>
        <w:ind w:firstLine="996"/>
        <w:spacing w:after="0" w:line="262" w:lineRule="auto"/>
        <w:tabs>
          <w:tab w:leader="none" w:pos="1356" w:val="left"/>
        </w:tabs>
        <w:numPr>
          <w:ilvl w:val="0"/>
          <w:numId w:val="1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Agent for the Company. </w:t>
      </w:r>
      <w:r>
        <w:rPr>
          <w:rFonts w:ascii="Times New Roman" w:cs="Times New Roman" w:eastAsia="Times New Roman" w:hAnsi="Times New Roman"/>
          <w:sz w:val="17"/>
          <w:szCs w:val="17"/>
          <w:color w:val="auto"/>
        </w:rPr>
        <w:t>In acting under this Agreement and in connection with the Warrant Certificates, the Warrant Agent is acting solely as agent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Company and does not assume any obligations or relationship of agency or trust for or with any of the holders of Warrant Certificates or beneficial owners of Warrants.</w:t>
      </w:r>
    </w:p>
    <w:p>
      <w:pPr>
        <w:spacing w:after="0" w:line="125" w:lineRule="exact"/>
        <w:rPr>
          <w:rFonts w:ascii="Times New Roman" w:cs="Times New Roman" w:eastAsia="Times New Roman" w:hAnsi="Times New Roman"/>
          <w:sz w:val="17"/>
          <w:szCs w:val="17"/>
          <w:b w:val="1"/>
          <w:bCs w:val="1"/>
          <w:color w:val="auto"/>
        </w:rPr>
      </w:pPr>
    </w:p>
    <w:p>
      <w:pPr>
        <w:jc w:val="both"/>
        <w:ind w:firstLine="996"/>
        <w:spacing w:after="0" w:line="255" w:lineRule="auto"/>
        <w:tabs>
          <w:tab w:leader="none" w:pos="1350" w:val="left"/>
        </w:tabs>
        <w:numPr>
          <w:ilvl w:val="0"/>
          <w:numId w:val="1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Counsel. </w:t>
      </w:r>
      <w:r>
        <w:rPr>
          <w:rFonts w:ascii="Times New Roman" w:cs="Times New Roman" w:eastAsia="Times New Roman" w:hAnsi="Times New Roman"/>
          <w:sz w:val="17"/>
          <w:szCs w:val="17"/>
          <w:color w:val="auto"/>
        </w:rPr>
        <w:t>The Warrant Agent may consult with counsel satisfactory to it, which may include counsel for the Company, and the written advice of such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counsel shall be full and complete authorization and protection in respect of any action taken, suffered or omitted by it hereunder in good faith and in accordance with the advice of such counsel.</w:t>
      </w:r>
    </w:p>
    <w:p>
      <w:pPr>
        <w:spacing w:after="0" w:line="131" w:lineRule="exact"/>
        <w:rPr>
          <w:rFonts w:ascii="Times New Roman" w:cs="Times New Roman" w:eastAsia="Times New Roman" w:hAnsi="Times New Roman"/>
          <w:sz w:val="17"/>
          <w:szCs w:val="17"/>
          <w:b w:val="1"/>
          <w:bCs w:val="1"/>
          <w:color w:val="auto"/>
        </w:rPr>
      </w:pPr>
    </w:p>
    <w:p>
      <w:pPr>
        <w:jc w:val="both"/>
        <w:ind w:firstLine="996"/>
        <w:spacing w:after="0" w:line="262" w:lineRule="auto"/>
        <w:tabs>
          <w:tab w:leader="none" w:pos="1385" w:val="left"/>
        </w:tabs>
        <w:numPr>
          <w:ilvl w:val="0"/>
          <w:numId w:val="1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Documents. </w:t>
      </w:r>
      <w:r>
        <w:rPr>
          <w:rFonts w:ascii="Times New Roman" w:cs="Times New Roman" w:eastAsia="Times New Roman" w:hAnsi="Times New Roman"/>
          <w:sz w:val="17"/>
          <w:szCs w:val="17"/>
          <w:color w:val="auto"/>
        </w:rPr>
        <w:t>The Warrant Agent shall be protected and shall incur no liability for or in respect of any action taken or omitted by it in reliance upon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Warrant Certificate, notice, direction, consent, certificate, affidavit, statement or other paper or document reasonably believed by it to be genuine and to have been presented or signed by the proper parties.</w:t>
      </w:r>
    </w:p>
    <w:p>
      <w:pPr>
        <w:spacing w:after="0" w:line="125" w:lineRule="exact"/>
        <w:rPr>
          <w:rFonts w:ascii="Times New Roman" w:cs="Times New Roman" w:eastAsia="Times New Roman" w:hAnsi="Times New Roman"/>
          <w:sz w:val="17"/>
          <w:szCs w:val="17"/>
          <w:b w:val="1"/>
          <w:bCs w:val="1"/>
          <w:color w:val="auto"/>
        </w:rPr>
      </w:pPr>
    </w:p>
    <w:p>
      <w:pPr>
        <w:jc w:val="both"/>
        <w:ind w:firstLine="996"/>
        <w:spacing w:after="0" w:line="251" w:lineRule="auto"/>
        <w:tabs>
          <w:tab w:leader="none" w:pos="1356" w:val="left"/>
        </w:tabs>
        <w:numPr>
          <w:ilvl w:val="0"/>
          <w:numId w:val="1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Certain Transactions. </w:t>
      </w:r>
      <w:r>
        <w:rPr>
          <w:rFonts w:ascii="Times New Roman" w:cs="Times New Roman" w:eastAsia="Times New Roman" w:hAnsi="Times New Roman"/>
          <w:sz w:val="17"/>
          <w:szCs w:val="17"/>
          <w:color w:val="auto"/>
        </w:rPr>
        <w:t>The Warrant Agent, and its officers, directors and employees, may become the owner of, or acquire any interest in, Warrants,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Securities or other obligations of the Company as freely as if it were not the Warrant Agent hereunder. Nothing in this Agreement shall be deemed to prevent the Warrant Agent from acting as trustee under any indenture to which the Company is a party.</w:t>
      </w:r>
    </w:p>
    <w:p>
      <w:pPr>
        <w:spacing w:after="0" w:line="136" w:lineRule="exact"/>
        <w:rPr>
          <w:rFonts w:ascii="Times New Roman" w:cs="Times New Roman" w:eastAsia="Times New Roman" w:hAnsi="Times New Roman"/>
          <w:sz w:val="17"/>
          <w:szCs w:val="17"/>
          <w:b w:val="1"/>
          <w:bCs w:val="1"/>
          <w:color w:val="auto"/>
        </w:rPr>
      </w:pPr>
    </w:p>
    <w:p>
      <w:pPr>
        <w:ind w:firstLine="996"/>
        <w:spacing w:after="0" w:line="270" w:lineRule="auto"/>
        <w:tabs>
          <w:tab w:leader="none" w:pos="1370" w:val="left"/>
        </w:tabs>
        <w:numPr>
          <w:ilvl w:val="0"/>
          <w:numId w:val="1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No Liability for Interest. </w:t>
      </w:r>
      <w:r>
        <w:rPr>
          <w:rFonts w:ascii="Times New Roman" w:cs="Times New Roman" w:eastAsia="Times New Roman" w:hAnsi="Times New Roman"/>
          <w:sz w:val="17"/>
          <w:szCs w:val="17"/>
          <w:color w:val="auto"/>
        </w:rPr>
        <w:t>Unless otherwise agreed with the Company, the Warrant Agent shall have no liability for interest on any monies at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time received by it pursuant to any of the provisions of this Agreement or of the Warrant Certificates.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280"/>
          </w:cols>
          <w:pgMar w:left="300" w:top="1287" w:right="319" w:bottom="1440" w:gutter="0" w:footer="0" w:header="0"/>
        </w:sectPr>
      </w:pPr>
    </w:p>
    <w:bookmarkStart w:id="130" w:name="page131"/>
    <w:bookmarkEnd w:id="130"/>
    <w:p>
      <w:pPr>
        <w:ind w:firstLine="996"/>
        <w:spacing w:after="0" w:line="270" w:lineRule="auto"/>
        <w:tabs>
          <w:tab w:leader="none" w:pos="1439" w:val="left"/>
        </w:tabs>
        <w:numPr>
          <w:ilvl w:val="0"/>
          <w:numId w:val="1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No Liability for Invalidity. </w:t>
      </w:r>
      <w:r>
        <w:rPr>
          <w:rFonts w:ascii="Times New Roman" w:cs="Times New Roman" w:eastAsia="Times New Roman" w:hAnsi="Times New Roman"/>
          <w:sz w:val="17"/>
          <w:szCs w:val="17"/>
          <w:color w:val="auto"/>
        </w:rPr>
        <w:t>The Warrant Agent shall have no liability with respect to any invalidity of this Agreement or any of the Warrant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Certificates (except as to the Warrant Agent’s countersignature thereon).</w:t>
      </w:r>
    </w:p>
    <w:p>
      <w:pPr>
        <w:spacing w:after="0" w:line="118" w:lineRule="exact"/>
        <w:rPr>
          <w:rFonts w:ascii="Times New Roman" w:cs="Times New Roman" w:eastAsia="Times New Roman" w:hAnsi="Times New Roman"/>
          <w:sz w:val="17"/>
          <w:szCs w:val="17"/>
          <w:b w:val="1"/>
          <w:bCs w:val="1"/>
          <w:color w:val="auto"/>
        </w:rPr>
      </w:pPr>
    </w:p>
    <w:p>
      <w:pPr>
        <w:ind w:firstLine="996"/>
        <w:spacing w:after="0" w:line="283" w:lineRule="auto"/>
        <w:tabs>
          <w:tab w:leader="none" w:pos="1448" w:val="left"/>
        </w:tabs>
        <w:numPr>
          <w:ilvl w:val="0"/>
          <w:numId w:val="1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No Responsibility for Representations. </w:t>
      </w:r>
      <w:r>
        <w:rPr>
          <w:rFonts w:ascii="Times New Roman" w:cs="Times New Roman" w:eastAsia="Times New Roman" w:hAnsi="Times New Roman"/>
          <w:sz w:val="17"/>
          <w:szCs w:val="17"/>
          <w:color w:val="auto"/>
        </w:rPr>
        <w:t>The Warrant Agent shall not be responsible for any of the recitals or representations herein or 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Warrant Certificates (except as to the Warrant Agent’s countersignature thereon), all of which are made solely by the Company.</w:t>
      </w:r>
    </w:p>
    <w:p>
      <w:pPr>
        <w:spacing w:after="0" w:line="107" w:lineRule="exact"/>
        <w:rPr>
          <w:rFonts w:ascii="Times New Roman" w:cs="Times New Roman" w:eastAsia="Times New Roman" w:hAnsi="Times New Roman"/>
          <w:sz w:val="17"/>
          <w:szCs w:val="17"/>
          <w:b w:val="1"/>
          <w:bCs w:val="1"/>
          <w:color w:val="auto"/>
        </w:rPr>
      </w:pPr>
    </w:p>
    <w:p>
      <w:pPr>
        <w:jc w:val="both"/>
        <w:ind w:firstLine="996"/>
        <w:spacing w:after="0" w:line="246" w:lineRule="auto"/>
        <w:tabs>
          <w:tab w:leader="none" w:pos="1332" w:val="left"/>
        </w:tabs>
        <w:numPr>
          <w:ilvl w:val="0"/>
          <w:numId w:val="1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No Implied Obligations. </w:t>
      </w:r>
      <w:r>
        <w:rPr>
          <w:rFonts w:ascii="Times New Roman" w:cs="Times New Roman" w:eastAsia="Times New Roman" w:hAnsi="Times New Roman"/>
          <w:sz w:val="17"/>
          <w:szCs w:val="17"/>
          <w:color w:val="auto"/>
        </w:rPr>
        <w:t>The Warrant Agent shall be obligated to perform only such duties as are herein and in the Warrant Certificates specifically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w:t>
      </w:r>
    </w:p>
    <w:p>
      <w:pPr>
        <w:spacing w:after="0" w:line="141" w:lineRule="exact"/>
        <w:rPr>
          <w:sz w:val="20"/>
          <w:szCs w:val="20"/>
          <w:color w:val="auto"/>
        </w:rPr>
      </w:pPr>
    </w:p>
    <w:p>
      <w:pPr>
        <w:ind w:left="500"/>
        <w:spacing w:after="0"/>
        <w:tabs>
          <w:tab w:leader="none" w:pos="860" w:val="left"/>
        </w:tabs>
        <w:rPr>
          <w:sz w:val="20"/>
          <w:szCs w:val="20"/>
          <w:color w:val="auto"/>
        </w:rPr>
      </w:pPr>
      <w:r>
        <w:rPr>
          <w:rFonts w:ascii="Times New Roman" w:cs="Times New Roman" w:eastAsia="Times New Roman" w:hAnsi="Times New Roman"/>
          <w:sz w:val="17"/>
          <w:szCs w:val="17"/>
          <w:b w:val="1"/>
          <w:bCs w:val="1"/>
          <w:color w:val="auto"/>
        </w:rPr>
        <w:t>5.3</w:t>
      </w:r>
      <w:r>
        <w:rPr>
          <w:sz w:val="20"/>
          <w:szCs w:val="20"/>
          <w:color w:val="auto"/>
        </w:rPr>
        <w:tab/>
      </w:r>
      <w:r>
        <w:rPr>
          <w:rFonts w:ascii="Times New Roman" w:cs="Times New Roman" w:eastAsia="Times New Roman" w:hAnsi="Times New Roman"/>
          <w:sz w:val="16"/>
          <w:szCs w:val="16"/>
          <w:b w:val="1"/>
          <w:bCs w:val="1"/>
          <w:color w:val="auto"/>
        </w:rPr>
        <w:t>Resignation, Removal and Appointment of Successors</w:t>
      </w:r>
      <w:r>
        <w:rPr>
          <w:rFonts w:ascii="Times New Roman" w:cs="Times New Roman" w:eastAsia="Times New Roman" w:hAnsi="Times New Roman"/>
          <w:sz w:val="16"/>
          <w:szCs w:val="16"/>
          <w:color w:val="auto"/>
        </w:rPr>
        <w:t>.</w:t>
      </w:r>
    </w:p>
    <w:p>
      <w:pPr>
        <w:spacing w:after="0" w:line="181" w:lineRule="exact"/>
        <w:rPr>
          <w:sz w:val="20"/>
          <w:szCs w:val="20"/>
          <w:color w:val="auto"/>
        </w:rPr>
      </w:pPr>
    </w:p>
    <w:p>
      <w:pPr>
        <w:ind w:firstLine="996"/>
        <w:spacing w:after="0" w:line="265" w:lineRule="auto"/>
        <w:tabs>
          <w:tab w:leader="none" w:pos="1403" w:val="left"/>
        </w:tabs>
        <w:numPr>
          <w:ilvl w:val="0"/>
          <w:numId w:val="1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agrees, for the benefit of the holders from time to time of the Warrant Certificates, that there shall at all times be a Warrant Agent hereunder until all the Warrants have been exercised or are no longer exercisable.</w:t>
      </w:r>
    </w:p>
    <w:p>
      <w:pPr>
        <w:spacing w:after="0" w:line="126" w:lineRule="exact"/>
        <w:rPr>
          <w:rFonts w:ascii="Times New Roman" w:cs="Times New Roman" w:eastAsia="Times New Roman" w:hAnsi="Times New Roman"/>
          <w:sz w:val="17"/>
          <w:szCs w:val="17"/>
          <w:b w:val="1"/>
          <w:bCs w:val="1"/>
          <w:color w:val="auto"/>
        </w:rPr>
      </w:pPr>
    </w:p>
    <w:p>
      <w:pPr>
        <w:jc w:val="both"/>
        <w:ind w:firstLine="996"/>
        <w:spacing w:after="0" w:line="247" w:lineRule="auto"/>
        <w:tabs>
          <w:tab w:leader="none" w:pos="1412" w:val="left"/>
        </w:tabs>
        <w:numPr>
          <w:ilvl w:val="0"/>
          <w:numId w:val="1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w:t>
      </w:r>
    </w:p>
    <w:p>
      <w:pPr>
        <w:spacing w:after="0" w:line="142" w:lineRule="exact"/>
        <w:rPr>
          <w:rFonts w:ascii="Times New Roman" w:cs="Times New Roman" w:eastAsia="Times New Roman" w:hAnsi="Times New Roman"/>
          <w:sz w:val="17"/>
          <w:szCs w:val="17"/>
          <w:b w:val="1"/>
          <w:bCs w:val="1"/>
          <w:color w:val="auto"/>
        </w:rPr>
      </w:pPr>
    </w:p>
    <w:p>
      <w:pPr>
        <w:ind w:left="1400" w:hanging="404"/>
        <w:spacing w:after="0"/>
        <w:tabs>
          <w:tab w:leader="none" w:pos="1400" w:val="left"/>
        </w:tabs>
        <w:numPr>
          <w:ilvl w:val="0"/>
          <w:numId w:val="1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case at any time the Warrant Agent shall resign, or shall be removed, or shall become incapable of acting, or shall be adjudged a bankrupt or</w:t>
      </w:r>
    </w:p>
    <w:p>
      <w:pPr>
        <w:spacing w:after="0" w:line="19" w:lineRule="exact"/>
        <w:rPr>
          <w:rFonts w:ascii="Times New Roman" w:cs="Times New Roman" w:eastAsia="Times New Roman" w:hAnsi="Times New Roman"/>
          <w:sz w:val="17"/>
          <w:szCs w:val="17"/>
          <w:b w:val="1"/>
          <w:bCs w:val="1"/>
          <w:color w:val="auto"/>
        </w:rPr>
      </w:pP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insolvent, or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1280"/>
          </w:cols>
          <w:pgMar w:left="300" w:top="1283" w:right="319" w:bottom="1440" w:gutter="0" w:footer="0" w:header="0"/>
        </w:sectPr>
      </w:pPr>
    </w:p>
    <w:bookmarkStart w:id="131" w:name="page132"/>
    <w:bookmarkEnd w:id="131"/>
    <w:p>
      <w:pPr>
        <w:jc w:val="both"/>
        <w:spacing w:after="0" w:line="263" w:lineRule="auto"/>
        <w:rPr>
          <w:sz w:val="20"/>
          <w:szCs w:val="20"/>
          <w:color w:val="auto"/>
        </w:rPr>
      </w:pPr>
      <w:r>
        <w:rPr>
          <w:rFonts w:ascii="Times New Roman" w:cs="Times New Roman" w:eastAsia="Times New Roman" w:hAnsi="Times New Roman"/>
          <w:sz w:val="16"/>
          <w:szCs w:val="16"/>
          <w:color w:val="auto"/>
        </w:rPr>
        <w:t>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w:t>
      </w:r>
    </w:p>
    <w:p>
      <w:pPr>
        <w:spacing w:after="0" w:line="135" w:lineRule="exact"/>
        <w:rPr>
          <w:sz w:val="20"/>
          <w:szCs w:val="20"/>
          <w:color w:val="auto"/>
        </w:rPr>
      </w:pPr>
    </w:p>
    <w:p>
      <w:pPr>
        <w:jc w:val="both"/>
        <w:ind w:firstLine="996"/>
        <w:spacing w:after="0" w:line="250" w:lineRule="auto"/>
        <w:tabs>
          <w:tab w:leader="none" w:pos="1422" w:val="left"/>
        </w:tabs>
        <w:numPr>
          <w:ilvl w:val="0"/>
          <w:numId w:val="1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w:t>
      </w:r>
    </w:p>
    <w:p>
      <w:pPr>
        <w:spacing w:after="0" w:line="140" w:lineRule="exact"/>
        <w:rPr>
          <w:rFonts w:ascii="Times New Roman" w:cs="Times New Roman" w:eastAsia="Times New Roman" w:hAnsi="Times New Roman"/>
          <w:sz w:val="17"/>
          <w:szCs w:val="17"/>
          <w:b w:val="1"/>
          <w:bCs w:val="1"/>
          <w:color w:val="auto"/>
        </w:rPr>
      </w:pPr>
    </w:p>
    <w:p>
      <w:pPr>
        <w:jc w:val="both"/>
        <w:ind w:firstLine="996"/>
        <w:spacing w:after="0" w:line="249" w:lineRule="auto"/>
        <w:tabs>
          <w:tab w:leader="none" w:pos="1393" w:val="left"/>
        </w:tabs>
        <w:numPr>
          <w:ilvl w:val="0"/>
          <w:numId w:val="1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corporation into which the Warrant Agent hereunder may be merged or converted or any corporation with which the Warrant Agent may be consolidated, or any 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6</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MISCELLANEOUS</w:t>
      </w:r>
    </w:p>
    <w:p>
      <w:pPr>
        <w:spacing w:after="0" w:line="166"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7"/>
          <w:szCs w:val="17"/>
          <w:b w:val="1"/>
          <w:bCs w:val="1"/>
          <w:color w:val="auto"/>
        </w:rPr>
        <w:t xml:space="preserve">6.1 Amendment. </w:t>
      </w:r>
      <w:r>
        <w:rPr>
          <w:rFonts w:ascii="Times New Roman" w:cs="Times New Roman" w:eastAsia="Times New Roman" w:hAnsi="Times New Roman"/>
          <w:sz w:val="17"/>
          <w:szCs w:val="17"/>
          <w:color w:val="auto"/>
        </w:rPr>
        <w:t>This Agreement may be amended by the parties hereto, without the consent of the holder of any Warrant Certificate, for the purpose of curing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ambiguity, or of curing, correcting or supplementing any defective provision contained herein, or making any other provisions with respect to matters or questions arising under this Agreement 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1280"/>
          </w:cols>
          <w:pgMar w:left="300" w:top="1287" w:right="319" w:bottom="1440" w:gutter="0" w:footer="0" w:header="0"/>
        </w:sectPr>
      </w:pPr>
    </w:p>
    <w:bookmarkStart w:id="132" w:name="page133"/>
    <w:bookmarkEnd w:id="132"/>
    <w:p>
      <w:pPr>
        <w:jc w:val="both"/>
        <w:spacing w:after="0" w:line="265" w:lineRule="auto"/>
        <w:rPr>
          <w:sz w:val="20"/>
          <w:szCs w:val="20"/>
          <w:color w:val="auto"/>
        </w:rPr>
      </w:pPr>
      <w:r>
        <w:rPr>
          <w:rFonts w:ascii="Times New Roman" w:cs="Times New Roman" w:eastAsia="Times New Roman" w:hAnsi="Times New Roman"/>
          <w:sz w:val="17"/>
          <w:szCs w:val="17"/>
          <w:color w:val="auto"/>
        </w:rPr>
        <w:t>Company and the Warrant Agent may deem necessary or desirable; provided that such action shall not materially adversely affect the interests of the holders of the Warrant Certificates.</w:t>
      </w:r>
    </w:p>
    <w:p>
      <w:pPr>
        <w:spacing w:after="0" w:line="123" w:lineRule="exact"/>
        <w:rPr>
          <w:sz w:val="20"/>
          <w:szCs w:val="20"/>
          <w:color w:val="auto"/>
        </w:rPr>
      </w:pPr>
    </w:p>
    <w:p>
      <w:pPr>
        <w:jc w:val="both"/>
        <w:ind w:firstLine="496"/>
        <w:spacing w:after="0" w:line="316" w:lineRule="auto"/>
        <w:rPr>
          <w:sz w:val="20"/>
          <w:szCs w:val="20"/>
          <w:color w:val="auto"/>
        </w:rPr>
      </w:pPr>
      <w:r>
        <w:rPr>
          <w:rFonts w:ascii="Times New Roman" w:cs="Times New Roman" w:eastAsia="Times New Roman" w:hAnsi="Times New Roman"/>
          <w:sz w:val="16"/>
          <w:szCs w:val="16"/>
          <w:b w:val="1"/>
          <w:bCs w:val="1"/>
          <w:color w:val="auto"/>
        </w:rPr>
        <w:t xml:space="preserve">6.2 Notices and Demands to the Company and Warrant Agent. </w:t>
      </w:r>
      <w:r>
        <w:rPr>
          <w:rFonts w:ascii="Times New Roman" w:cs="Times New Roman" w:eastAsia="Times New Roman" w:hAnsi="Times New Roman"/>
          <w:sz w:val="16"/>
          <w:szCs w:val="16"/>
          <w:color w:val="auto"/>
        </w:rPr>
        <w:t>If the Warrant Agent shall receive any notice or demand addressed to the Company by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holder of a Warrant Certificate pursuant to the provisions of the Warrant Certificates, the Warrant Agent shall promptly forward such notice or demand to the Company.</w:t>
      </w:r>
    </w:p>
    <w:p>
      <w:pPr>
        <w:spacing w:after="0" w:line="84" w:lineRule="exact"/>
        <w:rPr>
          <w:sz w:val="20"/>
          <w:szCs w:val="20"/>
          <w:color w:val="auto"/>
        </w:rPr>
      </w:pPr>
    </w:p>
    <w:p>
      <w:pPr>
        <w:jc w:val="both"/>
        <w:ind w:firstLine="496"/>
        <w:spacing w:after="0" w:line="255" w:lineRule="auto"/>
        <w:rPr>
          <w:sz w:val="20"/>
          <w:szCs w:val="20"/>
          <w:color w:val="auto"/>
        </w:rPr>
      </w:pPr>
      <w:r>
        <w:rPr>
          <w:rFonts w:ascii="Times New Roman" w:cs="Times New Roman" w:eastAsia="Times New Roman" w:hAnsi="Times New Roman"/>
          <w:sz w:val="17"/>
          <w:szCs w:val="17"/>
          <w:b w:val="1"/>
          <w:bCs w:val="1"/>
          <w:color w:val="auto"/>
        </w:rPr>
        <w:t xml:space="preserve">6.3 Addresses. </w:t>
      </w:r>
      <w:r>
        <w:rPr>
          <w:rFonts w:ascii="Times New Roman" w:cs="Times New Roman" w:eastAsia="Times New Roman" w:hAnsi="Times New Roman"/>
          <w:sz w:val="17"/>
          <w:szCs w:val="17"/>
          <w:color w:val="auto"/>
        </w:rPr>
        <w:t>Any communication from the Company to the Warrant Agent with respect to this Agreement shall be addressed to [•], Attention: [•] and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communication from the Warrant Agent to the Company with respect to this Agreement shall be addressed to Acumen Pharmaceuticals, Inc., 427 Park St., Charlottesville, Virginia 22902, Attention: Chief Executive Officer (or such other address as shall be specified in writing by the Warrant Agent or by the Company).</w:t>
      </w:r>
    </w:p>
    <w:p>
      <w:pPr>
        <w:spacing w:after="0" w:line="132" w:lineRule="exact"/>
        <w:rPr>
          <w:sz w:val="20"/>
          <w:szCs w:val="20"/>
          <w:color w:val="auto"/>
        </w:rPr>
      </w:pPr>
    </w:p>
    <w:p>
      <w:pPr>
        <w:jc w:val="both"/>
        <w:ind w:firstLine="496"/>
        <w:spacing w:after="0" w:line="283" w:lineRule="auto"/>
        <w:rPr>
          <w:sz w:val="20"/>
          <w:szCs w:val="20"/>
          <w:color w:val="auto"/>
        </w:rPr>
      </w:pPr>
      <w:r>
        <w:rPr>
          <w:rFonts w:ascii="Times New Roman" w:cs="Times New Roman" w:eastAsia="Times New Roman" w:hAnsi="Times New Roman"/>
          <w:sz w:val="17"/>
          <w:szCs w:val="17"/>
          <w:b w:val="1"/>
          <w:bCs w:val="1"/>
          <w:color w:val="auto"/>
        </w:rPr>
        <w:t xml:space="preserve">6.4 Governing Law. </w:t>
      </w:r>
      <w:r>
        <w:rPr>
          <w:rFonts w:ascii="Times New Roman" w:cs="Times New Roman" w:eastAsia="Times New Roman" w:hAnsi="Times New Roman"/>
          <w:sz w:val="17"/>
          <w:szCs w:val="17"/>
          <w:color w:val="auto"/>
        </w:rPr>
        <w:t>This Agreement and each Warrant Certificate issued hereunder shall be governed by and construed in accordance with the laws of the State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New York.</w:t>
      </w:r>
    </w:p>
    <w:p>
      <w:pPr>
        <w:spacing w:after="0" w:line="108" w:lineRule="exact"/>
        <w:rPr>
          <w:sz w:val="20"/>
          <w:szCs w:val="20"/>
          <w:color w:val="auto"/>
        </w:rPr>
      </w:pPr>
    </w:p>
    <w:p>
      <w:pPr>
        <w:jc w:val="both"/>
        <w:ind w:firstLine="496"/>
        <w:spacing w:after="0" w:line="248" w:lineRule="auto"/>
        <w:rPr>
          <w:sz w:val="20"/>
          <w:szCs w:val="20"/>
          <w:color w:val="auto"/>
        </w:rPr>
      </w:pPr>
      <w:r>
        <w:rPr>
          <w:rFonts w:ascii="Times New Roman" w:cs="Times New Roman" w:eastAsia="Times New Roman" w:hAnsi="Times New Roman"/>
          <w:sz w:val="17"/>
          <w:szCs w:val="17"/>
          <w:b w:val="1"/>
          <w:bCs w:val="1"/>
          <w:color w:val="auto"/>
        </w:rPr>
        <w:t xml:space="preserve">6.5 Delivery of Prospectus. </w:t>
      </w:r>
      <w:r>
        <w:rPr>
          <w:rFonts w:ascii="Times New Roman" w:cs="Times New Roman" w:eastAsia="Times New Roman" w:hAnsi="Times New Roman"/>
          <w:sz w:val="17"/>
          <w:szCs w:val="17"/>
          <w:color w:val="auto"/>
        </w:rPr>
        <w:t>The Company shall furnish to the Warrant Agent sufficient copies of a prospectus meeting the requirements of the Securities Act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1933, as amended, relating to the Warrant Securities deliverable upon exercise of the Warrants (the “</w:t>
      </w:r>
      <w:r>
        <w:rPr>
          <w:rFonts w:ascii="Times New Roman" w:cs="Times New Roman" w:eastAsia="Times New Roman" w:hAnsi="Times New Roman"/>
          <w:sz w:val="17"/>
          <w:szCs w:val="17"/>
          <w:b w:val="1"/>
          <w:bCs w:val="1"/>
          <w:i w:val="1"/>
          <w:iCs w:val="1"/>
          <w:color w:val="auto"/>
        </w:rPr>
        <w:t>Prospectus</w:t>
      </w:r>
      <w:r>
        <w:rPr>
          <w:rFonts w:ascii="Times New Roman" w:cs="Times New Roman" w:eastAsia="Times New Roman" w:hAnsi="Times New Roman"/>
          <w:sz w:val="17"/>
          <w:szCs w:val="17"/>
          <w:color w:val="auto"/>
        </w:rPr>
        <w:t>”), and the Warrant Agent agrees that upon the exercise of any Warrant, the Warrant Agent will deliver to the holder of the Warrant Certificate evidencing such Warrant, prior to or concurrently with the delivery of the Warrant Securities issued upon such exercise, a Prospectus. The Warrant Agent shall not, by reason of any such delivery, assume any responsibility for the accuracy or adequacy of such Prospectus.</w:t>
      </w:r>
    </w:p>
    <w:p>
      <w:pPr>
        <w:spacing w:after="0" w:line="148" w:lineRule="exact"/>
        <w:rPr>
          <w:sz w:val="20"/>
          <w:szCs w:val="20"/>
          <w:color w:val="auto"/>
        </w:rPr>
      </w:pPr>
    </w:p>
    <w:p>
      <w:pPr>
        <w:jc w:val="both"/>
        <w:ind w:firstLine="496"/>
        <w:spacing w:after="0" w:line="248" w:lineRule="auto"/>
        <w:rPr>
          <w:sz w:val="20"/>
          <w:szCs w:val="20"/>
          <w:color w:val="auto"/>
        </w:rPr>
      </w:pPr>
      <w:r>
        <w:rPr>
          <w:rFonts w:ascii="Times New Roman" w:cs="Times New Roman" w:eastAsia="Times New Roman" w:hAnsi="Times New Roman"/>
          <w:sz w:val="17"/>
          <w:szCs w:val="17"/>
          <w:b w:val="1"/>
          <w:bCs w:val="1"/>
          <w:color w:val="auto"/>
        </w:rPr>
        <w:t xml:space="preserve">6.6 Obtaining of Governmental Approvals. </w:t>
      </w:r>
      <w:r>
        <w:rPr>
          <w:rFonts w:ascii="Times New Roman" w:cs="Times New Roman" w:eastAsia="Times New Roman" w:hAnsi="Times New Roman"/>
          <w:sz w:val="17"/>
          <w:szCs w:val="17"/>
          <w:color w:val="auto"/>
        </w:rPr>
        <w:t>The Company will from time to time take all action which may be necessary to obtain and keep effective any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all permits, consents and approvals of governmental agencies and authorities and securities act filings under United States Federal and state laws (including without limitation a registration statement in respect of the Warrants and Warrant Securities under the Securities Act of 1933, as amended), which may be or become requisite in connection with the issuance, sale, transfer, and delivery of the Warrant Securities issued upon exercise of the Warrants, the issuance, sale, transfer and delivery of the Warrants or upon the expiration of the period during which the Warrants are exercisable.</w:t>
      </w:r>
    </w:p>
    <w:p>
      <w:pPr>
        <w:spacing w:after="0" w:line="148" w:lineRule="exact"/>
        <w:rPr>
          <w:sz w:val="20"/>
          <w:szCs w:val="20"/>
          <w:color w:val="auto"/>
        </w:rPr>
      </w:pPr>
    </w:p>
    <w:p>
      <w:pPr>
        <w:jc w:val="both"/>
        <w:ind w:firstLine="496"/>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6.7 Persons Having Rights Under the Agreement. </w:t>
      </w:r>
      <w:r>
        <w:rPr>
          <w:rFonts w:ascii="Times New Roman" w:cs="Times New Roman" w:eastAsia="Times New Roman" w:hAnsi="Times New Roman"/>
          <w:sz w:val="17"/>
          <w:szCs w:val="17"/>
          <w:color w:val="auto"/>
        </w:rPr>
        <w:t>Nothing in this Agreement shall give to any person other than the Company, the Warrant Agent and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holders of the Warrant Certificates any right, remedy or claim under or by reason of this Agreement.</w:t>
      </w:r>
    </w:p>
    <w:p>
      <w:pPr>
        <w:spacing w:after="0" w:line="119" w:lineRule="exact"/>
        <w:rPr>
          <w:sz w:val="20"/>
          <w:szCs w:val="20"/>
          <w:color w:val="auto"/>
        </w:rPr>
      </w:pPr>
    </w:p>
    <w:p>
      <w:pPr>
        <w:jc w:val="both"/>
        <w:ind w:firstLine="496"/>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6.8 Headings. </w:t>
      </w:r>
      <w:r>
        <w:rPr>
          <w:rFonts w:ascii="Times New Roman" w:cs="Times New Roman" w:eastAsia="Times New Roman" w:hAnsi="Times New Roman"/>
          <w:sz w:val="17"/>
          <w:szCs w:val="17"/>
          <w:color w:val="auto"/>
        </w:rPr>
        <w:t>The descriptive headings of the several Articles and Sections of this Agreement are inserted for convenience only and shall not control or affect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meaning or construction of any of the provisions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1280"/>
          </w:cols>
          <w:pgMar w:left="300" w:top="1287" w:right="319" w:bottom="1440" w:gutter="0" w:footer="0" w:header="0"/>
        </w:sectPr>
      </w:pPr>
    </w:p>
    <w:bookmarkStart w:id="133" w:name="page134"/>
    <w:bookmarkEnd w:id="133"/>
    <w:p>
      <w:pPr>
        <w:ind w:firstLine="496"/>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6.9 Counterparts. </w:t>
      </w:r>
      <w:r>
        <w:rPr>
          <w:rFonts w:ascii="Times New Roman" w:cs="Times New Roman" w:eastAsia="Times New Roman" w:hAnsi="Times New Roman"/>
          <w:sz w:val="17"/>
          <w:szCs w:val="17"/>
          <w:color w:val="auto"/>
        </w:rPr>
        <w:t>This Agreement may be executed in any number of counterparts, each of which as so executed shall be deemed to be an original, but such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counterparts shall together constitute but one and the same instrument.</w:t>
      </w:r>
    </w:p>
    <w:p>
      <w:pPr>
        <w:spacing w:after="0" w:line="119" w:lineRule="exact"/>
        <w:rPr>
          <w:sz w:val="20"/>
          <w:szCs w:val="20"/>
          <w:color w:val="auto"/>
        </w:rPr>
      </w:pPr>
    </w:p>
    <w:p>
      <w:pPr>
        <w:ind w:firstLine="496"/>
        <w:spacing w:after="0" w:line="283" w:lineRule="auto"/>
        <w:rPr>
          <w:sz w:val="20"/>
          <w:szCs w:val="20"/>
          <w:color w:val="auto"/>
        </w:rPr>
      </w:pPr>
      <w:r>
        <w:rPr>
          <w:rFonts w:ascii="Times New Roman" w:cs="Times New Roman" w:eastAsia="Times New Roman" w:hAnsi="Times New Roman"/>
          <w:sz w:val="17"/>
          <w:szCs w:val="17"/>
          <w:b w:val="1"/>
          <w:bCs w:val="1"/>
          <w:color w:val="auto"/>
        </w:rPr>
        <w:t xml:space="preserve">6.10 Inspection of Agreement. </w:t>
      </w:r>
      <w:r>
        <w:rPr>
          <w:rFonts w:ascii="Times New Roman" w:cs="Times New Roman" w:eastAsia="Times New Roman" w:hAnsi="Times New Roman"/>
          <w:sz w:val="17"/>
          <w:szCs w:val="17"/>
          <w:color w:val="auto"/>
        </w:rPr>
        <w:t>A copy of this Agreement shall be available at all reasonable times at the principal corporate trust office of the Warrant Agent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 inspection by the holder of any Warrant Certificate. The Warrant Agent may require such holder to submit such holder’s Warrant Certificate for inspection by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1280"/>
          </w:cols>
          <w:pgMar w:left="300" w:top="1283" w:right="319" w:bottom="1440" w:gutter="0" w:footer="0" w:header="0"/>
        </w:sectPr>
      </w:pPr>
    </w:p>
    <w:bookmarkStart w:id="134" w:name="page135"/>
    <w:bookmarkEnd w:id="134"/>
    <w:p>
      <w:pPr>
        <w:ind w:left="300"/>
        <w:spacing w:after="0"/>
        <w:rPr>
          <w:sz w:val="20"/>
          <w:szCs w:val="20"/>
          <w:color w:val="auto"/>
        </w:rPr>
      </w:pPr>
      <w:r>
        <w:rPr>
          <w:rFonts w:ascii="Times New Roman" w:cs="Times New Roman" w:eastAsia="Times New Roman" w:hAnsi="Times New Roman"/>
          <w:sz w:val="16"/>
          <w:szCs w:val="16"/>
          <w:b w:val="1"/>
          <w:bCs w:val="1"/>
          <w:color w:val="auto"/>
        </w:rPr>
        <w:t>IN WITNESS WHEREOF</w:t>
      </w:r>
      <w:r>
        <w:rPr>
          <w:rFonts w:ascii="Times New Roman" w:cs="Times New Roman" w:eastAsia="Times New Roman" w:hAnsi="Times New Roman"/>
          <w:sz w:val="16"/>
          <w:szCs w:val="16"/>
          <w:color w:val="auto"/>
        </w:rPr>
        <w:t>, the parties hereto have caused this Agreement to be duly executed as of the day and year first above written.</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ACUMEN PHARMACEUTICALS, INC., as Company</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2369820</wp:posOffset>
            </wp:positionH>
            <wp:positionV relativeFrom="paragraph">
              <wp:posOffset>13970</wp:posOffset>
            </wp:positionV>
            <wp:extent cx="4531360"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4531360" cy="6350"/>
                    </a:xfrm>
                    <a:prstGeom prst="rect">
                      <a:avLst/>
                    </a:prstGeom>
                    <a:noFill/>
                  </pic:spPr>
                </pic:pic>
              </a:graphicData>
            </a:graphic>
          </wp:anchor>
        </w:drawing>
      </w:r>
    </w:p>
    <w:p>
      <w:pPr>
        <w:spacing w:after="0" w:line="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auto"/>
        </w:rPr>
        <w:t>Title:</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147320</wp:posOffset>
            </wp:positionV>
            <wp:extent cx="2258695"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2258695" cy="635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16510</wp:posOffset>
            </wp:positionV>
            <wp:extent cx="2258695"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2258695" cy="635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COUNTERSIGNED</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as Warrant Agent</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2369820</wp:posOffset>
            </wp:positionH>
            <wp:positionV relativeFrom="paragraph">
              <wp:posOffset>13970</wp:posOffset>
            </wp:positionV>
            <wp:extent cx="4531360"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4531360" cy="6350"/>
                    </a:xfrm>
                    <a:prstGeom prst="rect">
                      <a:avLst/>
                    </a:prstGeom>
                    <a:noFill/>
                  </pic:spPr>
                </pic:pic>
              </a:graphicData>
            </a:graphic>
          </wp:anchor>
        </w:drawing>
      </w:r>
    </w:p>
    <w:p>
      <w:pPr>
        <w:spacing w:after="0" w:line="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auto"/>
        </w:rPr>
        <w:t>Title:</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147320</wp:posOffset>
            </wp:positionV>
            <wp:extent cx="2258695"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2258695" cy="635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16510</wp:posOffset>
            </wp:positionV>
            <wp:extent cx="2258695"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225869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Acumen Pharmaceuticals, Inc. Preferred Stock Warrant Agreement</w:t>
      </w:r>
      <w:r>
        <w:rPr>
          <w:rFonts w:ascii="Times New Roman" w:cs="Times New Roman" w:eastAsia="Times New Roman" w:hAnsi="Times New Roman"/>
          <w:sz w:val="14"/>
          <w:szCs w:val="14"/>
          <w:color w:val="auto"/>
        </w:rPr>
        <w:t>]</w:t>
      </w:r>
    </w:p>
    <w:p>
      <w:pPr>
        <w:sectPr>
          <w:pgSz w:w="11900" w:h="16838" w:orient="portrait"/>
          <w:cols w:equalWidth="0" w:num="1">
            <w:col w:w="9959"/>
          </w:cols>
          <w:pgMar w:left="500" w:top="1283" w:right="1440"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16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7"/>
          <w:szCs w:val="17"/>
          <w:b w:val="1"/>
          <w:bCs w:val="1"/>
          <w:color w:val="auto"/>
        </w:rPr>
        <w:t>FORM OF WARRANT CERTIFICATE</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7"/>
          <w:szCs w:val="17"/>
          <w:b w:val="1"/>
          <w:bCs w:val="1"/>
          <w:color w:val="auto"/>
        </w:rPr>
        <w:t>[FACE OF WARRANT CERTIFICATE]</w:t>
      </w:r>
    </w:p>
    <w:p>
      <w:pPr>
        <w:spacing w:after="0" w:line="300" w:lineRule="exact"/>
        <w:rPr>
          <w:sz w:val="20"/>
          <w:szCs w:val="20"/>
          <w:color w:val="auto"/>
        </w:rPr>
      </w:pPr>
    </w:p>
    <w:p>
      <w:pPr>
        <w:ind w:left="20"/>
        <w:spacing w:after="0"/>
        <w:tabs>
          <w:tab w:leader="none" w:pos="5060" w:val="left"/>
        </w:tabs>
        <w:rPr>
          <w:sz w:val="20"/>
          <w:szCs w:val="20"/>
          <w:color w:val="auto"/>
        </w:rPr>
      </w:pPr>
      <w:r>
        <w:rPr>
          <w:rFonts w:ascii="Times New Roman" w:cs="Times New Roman" w:eastAsia="Times New Roman" w:hAnsi="Times New Roman"/>
          <w:sz w:val="17"/>
          <w:szCs w:val="17"/>
          <w:b w:val="1"/>
          <w:bCs w:val="1"/>
          <w:i w:val="1"/>
          <w:iCs w:val="1"/>
          <w:color w:val="auto"/>
        </w:rPr>
        <w:t>[Form of Legend if Warrants are not immediately exercisable.]</w:t>
      </w:r>
      <w:r>
        <w:rPr>
          <w:sz w:val="20"/>
          <w:szCs w:val="20"/>
          <w:color w:val="auto"/>
        </w:rPr>
        <w:tab/>
      </w:r>
      <w:r>
        <w:rPr>
          <w:rFonts w:ascii="Times New Roman" w:cs="Times New Roman" w:eastAsia="Times New Roman" w:hAnsi="Times New Roman"/>
          <w:sz w:val="16"/>
          <w:szCs w:val="16"/>
          <w:color w:val="auto"/>
        </w:rPr>
        <w:t>[Prior to [•], Warrants evidenced by this Warrant Certificate cannot be exercised.]</w:t>
      </w:r>
    </w:p>
    <w:p>
      <w:pPr>
        <w:spacing w:after="0" w:line="2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EXERCISABLE ONLY IF COUNTERSIGNED BY THE WARRANT AGENT AS PROVIDED HEREIN</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VOID AFTER [•] P.M., [City] time, ON [•].</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ACUMEN PHARMACEUTICALS,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WARRANT CERTIFICATE REPRESENTING</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WARRANTS TO PURCHASE</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[TITLE OF WARRANT SECURITIES]</w:t>
      </w:r>
    </w:p>
    <w:p>
      <w:pPr>
        <w:spacing w:after="0" w:line="169" w:lineRule="exact"/>
        <w:rPr>
          <w:sz w:val="20"/>
          <w:szCs w:val="20"/>
          <w:color w:val="auto"/>
        </w:rPr>
      </w:pPr>
    </w:p>
    <w:p>
      <w:pPr>
        <w:ind w:left="20"/>
        <w:spacing w:after="0"/>
        <w:tabs>
          <w:tab w:leader="none" w:pos="10500" w:val="left"/>
        </w:tabs>
        <w:rPr>
          <w:sz w:val="20"/>
          <w:szCs w:val="20"/>
          <w:color w:val="auto"/>
        </w:rPr>
      </w:pPr>
      <w:r>
        <w:rPr>
          <w:rFonts w:ascii="Times New Roman" w:cs="Times New Roman" w:eastAsia="Times New Roman" w:hAnsi="Times New Roman"/>
          <w:sz w:val="17"/>
          <w:szCs w:val="17"/>
          <w:color w:val="auto"/>
        </w:rPr>
        <w:t>No. []</w:t>
      </w:r>
      <w:r>
        <w:rPr>
          <w:sz w:val="20"/>
          <w:szCs w:val="20"/>
          <w:color w:val="auto"/>
        </w:rPr>
        <w:tab/>
      </w:r>
      <w:r>
        <w:rPr>
          <w:rFonts w:ascii="Times New Roman" w:cs="Times New Roman" w:eastAsia="Times New Roman" w:hAnsi="Times New Roman"/>
          <w:sz w:val="16"/>
          <w:szCs w:val="16"/>
          <w:color w:val="auto"/>
        </w:rPr>
        <w:t>[] Warrants</w:t>
      </w:r>
    </w:p>
    <w:p>
      <w:pPr>
        <w:spacing w:after="0" w:line="24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This certifies that [•] or registered assigns is the registered owner of the above indicated number of Warrants, each Warrant entitling such owner to purchase, at any time [after [•] p.m., [City] time, [on [•] and] on or before [•] p.m., [City] time, on [•], [•] shares of [TITLE OF WARRANT SECURITIES], par value $0.0001 per share (the “</w:t>
      </w:r>
      <w:r>
        <w:rPr>
          <w:rFonts w:ascii="Times New Roman" w:cs="Times New Roman" w:eastAsia="Times New Roman" w:hAnsi="Times New Roman"/>
          <w:sz w:val="17"/>
          <w:szCs w:val="17"/>
          <w:b w:val="1"/>
          <w:bCs w:val="1"/>
          <w:i w:val="1"/>
          <w:iCs w:val="1"/>
          <w:color w:val="auto"/>
        </w:rPr>
        <w:t>Warrant Securities</w:t>
      </w:r>
      <w:r>
        <w:rPr>
          <w:rFonts w:ascii="Times New Roman" w:cs="Times New Roman" w:eastAsia="Times New Roman" w:hAnsi="Times New Roman"/>
          <w:sz w:val="17"/>
          <w:szCs w:val="17"/>
          <w:color w:val="auto"/>
        </w:rPr>
        <w:t>”), of Acumen Pharmaceuticals, Inc.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on the following basis: during the period from [•], through and including [•], the exercise price per Warrant Security will be $[•], subject to adjustment as provided in the Warrant Agreement (as hereinafter defined) (the “</w:t>
      </w:r>
      <w:r>
        <w:rPr>
          <w:rFonts w:ascii="Times New Roman" w:cs="Times New Roman" w:eastAsia="Times New Roman" w:hAnsi="Times New Roman"/>
          <w:sz w:val="17"/>
          <w:szCs w:val="17"/>
          <w:b w:val="1"/>
          <w:bCs w:val="1"/>
          <w:i w:val="1"/>
          <w:iCs w:val="1"/>
          <w:color w:val="auto"/>
        </w:rPr>
        <w:t>Warrant Price</w:t>
      </w:r>
      <w:r>
        <w:rPr>
          <w:rFonts w:ascii="Times New Roman" w:cs="Times New Roman" w:eastAsia="Times New Roman" w:hAnsi="Times New Roman"/>
          <w:sz w:val="17"/>
          <w:szCs w:val="17"/>
          <w:color w:val="auto"/>
        </w:rPr>
        <w:t>”). The Holder may exercise the Warrants evidenced hereby by providing certain information set forth on the back hereof and by paying in full, in lawful money of the United States of America, [in cash or by certified check or official bank check in New York Clearing House funds] [by bank wire transfer in immediately available funds], the Warrant Price for each Warrant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Times New Roman" w:cs="Times New Roman" w:eastAsia="Times New Roman" w:hAnsi="Times New Roman"/>
          <w:sz w:val="17"/>
          <w:szCs w:val="17"/>
          <w:b w:val="1"/>
          <w:bCs w:val="1"/>
          <w:i w:val="1"/>
          <w:iCs w:val="1"/>
          <w:color w:val="auto"/>
        </w:rPr>
        <w:t>Warrant Agent</w:t>
      </w:r>
      <w:r>
        <w:rPr>
          <w:rFonts w:ascii="Times New Roman" w:cs="Times New Roman" w:eastAsia="Times New Roman" w:hAnsi="Times New Roman"/>
          <w:sz w:val="17"/>
          <w:szCs w:val="17"/>
          <w:color w:val="auto"/>
        </w:rPr>
        <w:t>”), which is, on the date hereof, at the address specified on the reverse hereof, and upon compliance with and subject to the conditions set forth herein and in the Warrant Agreement (as hereinafter defined).</w:t>
      </w:r>
    </w:p>
    <w:p>
      <w:pPr>
        <w:spacing w:after="0" w:line="1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term “</w:t>
      </w:r>
      <w:r>
        <w:rPr>
          <w:rFonts w:ascii="Times New Roman" w:cs="Times New Roman" w:eastAsia="Times New Roman" w:hAnsi="Times New Roman"/>
          <w:sz w:val="17"/>
          <w:szCs w:val="17"/>
          <w:b w:val="1"/>
          <w:bCs w:val="1"/>
          <w:i w:val="1"/>
          <w:iCs w:val="1"/>
          <w:color w:val="auto"/>
        </w:rPr>
        <w:t>Holder</w:t>
      </w:r>
      <w:r>
        <w:rPr>
          <w:rFonts w:ascii="Times New Roman" w:cs="Times New Roman" w:eastAsia="Times New Roman" w:hAnsi="Times New Roman"/>
          <w:sz w:val="17"/>
          <w:szCs w:val="17"/>
          <w:color w:val="auto"/>
        </w:rPr>
        <w:t>” as used herein shall mean the person in whose name at the time this Warrant Certificate shall be registered upon the books to be maintained by the Warrant Agent for that purpose pursuant to Section 4 of the Warrant Agreement.</w:t>
      </w:r>
    </w:p>
    <w:p>
      <w:pPr>
        <w:spacing w:after="0" w:line="12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Warrants evidenced by this Warrant Certificate may be exercised to purchase a whole number of Warrant Securities in registered form. Upon any exercise of fewer than all of the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Exhibit A-1</w:t>
      </w:r>
    </w:p>
    <w:p>
      <w:pPr>
        <w:sectPr>
          <w:pgSz w:w="11900" w:h="16838" w:orient="portrait"/>
          <w:cols w:equalWidth="0" w:num="1">
            <w:col w:w="11280"/>
          </w:cols>
          <w:pgMar w:left="300" w:top="1283" w:right="319" w:bottom="1440" w:gutter="0" w:footer="0" w:header="0"/>
        </w:sectPr>
      </w:pPr>
    </w:p>
    <w:bookmarkStart w:id="136" w:name="page137"/>
    <w:bookmarkEnd w:id="136"/>
    <w:p>
      <w:pPr>
        <w:jc w:val="both"/>
        <w:spacing w:after="0" w:line="265" w:lineRule="auto"/>
        <w:rPr>
          <w:sz w:val="20"/>
          <w:szCs w:val="20"/>
          <w:color w:val="auto"/>
        </w:rPr>
      </w:pPr>
      <w:r>
        <w:rPr>
          <w:rFonts w:ascii="Times New Roman" w:cs="Times New Roman" w:eastAsia="Times New Roman" w:hAnsi="Times New Roman"/>
          <w:sz w:val="17"/>
          <w:szCs w:val="17"/>
          <w:color w:val="auto"/>
        </w:rPr>
        <w:t>Warrants evidenced by this Warrant Certificate, there shall be issued to the Holder hereof a new Warrant Certificate evidencing Warrants for the number of Warrant Securities remaining unexercised.</w:t>
      </w:r>
    </w:p>
    <w:p>
      <w:pPr>
        <w:spacing w:after="0" w:line="12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This Warrant Certificate is issued under and in accordance with the Warrant Agreement dated as of [•] (the “</w:t>
      </w:r>
      <w:r>
        <w:rPr>
          <w:rFonts w:ascii="Times New Roman" w:cs="Times New Roman" w:eastAsia="Times New Roman" w:hAnsi="Times New Roman"/>
          <w:sz w:val="17"/>
          <w:szCs w:val="17"/>
          <w:b w:val="1"/>
          <w:bCs w:val="1"/>
          <w:i w:val="1"/>
          <w:iCs w:val="1"/>
          <w:color w:val="auto"/>
        </w:rPr>
        <w:t>Warrant Agreement</w:t>
      </w:r>
      <w:r>
        <w:rPr>
          <w:rFonts w:ascii="Times New Roman" w:cs="Times New Roman" w:eastAsia="Times New Roman" w:hAnsi="Times New Roman"/>
          <w:sz w:val="17"/>
          <w:szCs w:val="17"/>
          <w:color w:val="auto"/>
        </w:rPr>
        <w:t>”),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w:t>
      </w:r>
    </w:p>
    <w:p>
      <w:pPr>
        <w:spacing w:after="0" w:line="12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Transfer of this Warrant Certificate may be registered when this Warrant Certificate is surrendered at the corporate trust office of the Warrant Agent by the registered owner or such owner’s assigns, in the manner and subject to the limitations provided in the Warrant Agreement.</w:t>
      </w:r>
    </w:p>
    <w:p>
      <w:pPr>
        <w:spacing w:after="0" w:line="12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After countersignature by the Warrant Agent and prior to the expiration of this Warrant Certificate, this Warrant Certificate may be exchanged at the corporate trust office of the Warrant Agent for Warrant Certificates representing Warrants for the same aggregate number of Warrant Securities.</w:t>
      </w:r>
    </w:p>
    <w:p>
      <w:pPr>
        <w:spacing w:after="0" w:line="11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This Warrant Certificate shall not entitle the Holder hereof to any of the rights of a holder of the Warrant Securities, including, without limitation, the right to receive payments of dividends or distributions, if any, on the Warrant Securities (except to the extent set forth in the Warrant Agreement) or to exercise any voting rights.</w:t>
      </w:r>
    </w:p>
    <w:p>
      <w:pPr>
        <w:spacing w:after="0" w:line="1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Reference is hereby made to the further provisions of this Warrant Certificate set forth on the reverse hereof, which further provisions shall for all purposes have the same effect as if set forth at this place.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Warrant Certificate shall not be valid or obligatory for any purpose until countersigned by the Warrant Agent.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Exhibit A-2</w:t>
      </w:r>
    </w:p>
    <w:p>
      <w:pPr>
        <w:sectPr>
          <w:pgSz w:w="11900" w:h="16838" w:orient="portrait"/>
          <w:cols w:equalWidth="0" w:num="1">
            <w:col w:w="11280"/>
          </w:cols>
          <w:pgMar w:left="300" w:top="1287" w:right="319" w:bottom="1440" w:gutter="0" w:footer="0" w:header="0"/>
        </w:sectPr>
      </w:pPr>
    </w:p>
    <w:bookmarkStart w:id="137" w:name="page138"/>
    <w:bookmarkEnd w:id="137"/>
    <w:p>
      <w:pPr>
        <w:ind w:firstLine="496"/>
        <w:spacing w:after="0" w:line="270" w:lineRule="auto"/>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Company has caused this Warrant to be executed in its name and on its behalf by the facsimile signatures of its duly authorized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officers.</w:t>
      </w:r>
    </w:p>
    <w:p>
      <w:pPr>
        <w:spacing w:after="0" w:line="3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5813425</wp:posOffset>
            </wp:positionH>
            <wp:positionV relativeFrom="paragraph">
              <wp:posOffset>13970</wp:posOffset>
            </wp:positionV>
            <wp:extent cx="1149350"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1149350" cy="6350"/>
                    </a:xfrm>
                    <a:prstGeom prst="rect">
                      <a:avLst/>
                    </a:prstGeom>
                    <a:noFill/>
                  </pic:spPr>
                </pic:pic>
              </a:graphicData>
            </a:graphic>
          </wp:anchor>
        </w:drawing>
      </w:r>
    </w:p>
    <w:p>
      <w:pPr>
        <w:spacing w:after="0" w:line="3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color w:val="auto"/>
        </w:rPr>
        <w:t>ACUMEN PHARMACEUTICALS, INC., as Company</w:t>
      </w:r>
    </w:p>
    <w:p>
      <w:pPr>
        <w:spacing w:after="0" w:line="34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2930525</wp:posOffset>
            </wp:positionH>
            <wp:positionV relativeFrom="paragraph">
              <wp:posOffset>13970</wp:posOffset>
            </wp:positionV>
            <wp:extent cx="4032250"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4032250" cy="6350"/>
                    </a:xfrm>
                    <a:prstGeom prst="rect">
                      <a:avLst/>
                    </a:prstGeom>
                    <a:noFill/>
                  </pic:spPr>
                </pic:pic>
              </a:graphicData>
            </a:graphic>
          </wp:anchor>
        </w:drawing>
      </w:r>
    </w:p>
    <w:p>
      <w:pPr>
        <w:spacing w:after="0" w:line="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Title:</w:t>
      </w:r>
    </w:p>
    <w:p>
      <w:pPr>
        <w:spacing w:after="0" w:line="33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5813425</wp:posOffset>
            </wp:positionH>
            <wp:positionV relativeFrom="paragraph">
              <wp:posOffset>147320</wp:posOffset>
            </wp:positionV>
            <wp:extent cx="1149350"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1149350" cy="6350"/>
                    </a:xfrm>
                    <a:prstGeom prst="rect">
                      <a:avLst/>
                    </a:prstGeom>
                    <a:noFill/>
                  </pic:spPr>
                </pic:pic>
              </a:graphicData>
            </a:graphic>
          </wp:anchor>
        </w:drawing>
        <w:drawing>
          <wp:anchor simplePos="0" relativeHeight="251657728" behindDoc="1" locked="0" layoutInCell="0" allowOverlap="1">
            <wp:simplePos x="0" y="0"/>
            <wp:positionH relativeFrom="column">
              <wp:posOffset>5813425</wp:posOffset>
            </wp:positionH>
            <wp:positionV relativeFrom="paragraph">
              <wp:posOffset>16510</wp:posOffset>
            </wp:positionV>
            <wp:extent cx="1149350"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1149350" cy="635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color w:val="auto"/>
        </w:rPr>
        <w:t>COUNTERSIGNED</w:t>
      </w:r>
    </w:p>
    <w:p>
      <w:pPr>
        <w:spacing w:after="0" w:line="3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color w:val="auto"/>
        </w:rPr>
        <w:t>[•], as Warrant Agent</w:t>
      </w:r>
    </w:p>
    <w:p>
      <w:pPr>
        <w:spacing w:after="0" w:line="34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2930525</wp:posOffset>
            </wp:positionH>
            <wp:positionV relativeFrom="paragraph">
              <wp:posOffset>13970</wp:posOffset>
            </wp:positionV>
            <wp:extent cx="4032250"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4032250" cy="6350"/>
                    </a:xfrm>
                    <a:prstGeom prst="rect">
                      <a:avLst/>
                    </a:prstGeom>
                    <a:noFill/>
                  </pic:spPr>
                </pic:pic>
              </a:graphicData>
            </a:graphic>
          </wp:anchor>
        </w:drawing>
      </w:r>
    </w:p>
    <w:p>
      <w:pPr>
        <w:spacing w:after="0" w:line="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color w:val="auto"/>
        </w:rPr>
        <w:t>Title:</w:t>
      </w:r>
    </w:p>
    <w:p>
      <w:pPr>
        <w:spacing w:after="0" w:line="33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5813425</wp:posOffset>
            </wp:positionH>
            <wp:positionV relativeFrom="paragraph">
              <wp:posOffset>147320</wp:posOffset>
            </wp:positionV>
            <wp:extent cx="1149350"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1149350" cy="6350"/>
                    </a:xfrm>
                    <a:prstGeom prst="rect">
                      <a:avLst/>
                    </a:prstGeom>
                    <a:noFill/>
                  </pic:spPr>
                </pic:pic>
              </a:graphicData>
            </a:graphic>
          </wp:anchor>
        </w:drawing>
        <w:drawing>
          <wp:anchor simplePos="0" relativeHeight="251657728" behindDoc="1" locked="0" layoutInCell="0" allowOverlap="1">
            <wp:simplePos x="0" y="0"/>
            <wp:positionH relativeFrom="column">
              <wp:posOffset>5813425</wp:posOffset>
            </wp:positionH>
            <wp:positionV relativeFrom="paragraph">
              <wp:posOffset>16510</wp:posOffset>
            </wp:positionV>
            <wp:extent cx="1149350"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114935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Exhibit A-3</w:t>
      </w:r>
    </w:p>
    <w:p>
      <w:pPr>
        <w:sectPr>
          <w:pgSz w:w="11900" w:h="16838" w:orient="portrait"/>
          <w:cols w:equalWidth="0" w:num="1">
            <w:col w:w="11280"/>
          </w:cols>
          <w:pgMar w:left="300" w:top="1283" w:right="31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7"/>
          <w:szCs w:val="17"/>
          <w:b w:val="1"/>
          <w:bCs w:val="1"/>
          <w:color w:val="auto"/>
        </w:rPr>
        <w:t>[REVERSE OF WARRANT CERTIFICATE]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(Instructions for Exercise of Warrant)</w:t>
      </w:r>
    </w:p>
    <w:p>
      <w:pPr>
        <w:spacing w:after="0" w:line="14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To exercise any Warrants evidenced hereby for Warrant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(To be executed upon exercise of Warrants)</w:t>
      </w:r>
    </w:p>
    <w:p>
      <w:pPr>
        <w:spacing w:after="0" w:line="166" w:lineRule="exact"/>
        <w:rPr>
          <w:sz w:val="20"/>
          <w:szCs w:val="20"/>
          <w:color w:val="auto"/>
        </w:rPr>
      </w:pPr>
    </w:p>
    <w:p>
      <w:pPr>
        <w:spacing w:after="0"/>
        <w:tabs>
          <w:tab w:leader="none" w:pos="4100" w:val="left"/>
        </w:tabs>
        <w:rPr>
          <w:sz w:val="20"/>
          <w:szCs w:val="20"/>
          <w:color w:val="auto"/>
        </w:rPr>
      </w:pPr>
      <w:r>
        <w:rPr>
          <w:rFonts w:ascii="Times New Roman" w:cs="Times New Roman" w:eastAsia="Times New Roman" w:hAnsi="Times New Roman"/>
          <w:sz w:val="17"/>
          <w:szCs w:val="17"/>
          <w:color w:val="auto"/>
        </w:rPr>
        <w:t>The undersigned hereby irrevocably elects to exercise</w:t>
      </w:r>
      <w:r>
        <w:rPr>
          <w:sz w:val="20"/>
          <w:szCs w:val="20"/>
          <w:color w:val="auto"/>
        </w:rPr>
        <w:tab/>
      </w:r>
      <w:r>
        <w:rPr>
          <w:rFonts w:ascii="Times New Roman" w:cs="Times New Roman" w:eastAsia="Times New Roman" w:hAnsi="Times New Roman"/>
          <w:sz w:val="16"/>
          <w:szCs w:val="16"/>
          <w:color w:val="auto"/>
        </w:rPr>
        <w:t>Warrants, evidenced by this Warrant Certificate, to purchase _______ shares of the [TITLE OF WARRANT</w:t>
      </w:r>
    </w:p>
    <w:p>
      <w:pPr>
        <w:spacing w:after="0" w:line="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SECURITIES], par value $0.0001 per share (the “</w:t>
      </w:r>
      <w:r>
        <w:rPr>
          <w:rFonts w:ascii="Times New Roman" w:cs="Times New Roman" w:eastAsia="Times New Roman" w:hAnsi="Times New Roman"/>
          <w:sz w:val="16"/>
          <w:szCs w:val="16"/>
          <w:b w:val="1"/>
          <w:bCs w:val="1"/>
          <w:i w:val="1"/>
          <w:iCs w:val="1"/>
          <w:color w:val="auto"/>
        </w:rPr>
        <w:t>Warrant Securities</w:t>
      </w:r>
      <w:r>
        <w:rPr>
          <w:rFonts w:ascii="Times New Roman" w:cs="Times New Roman" w:eastAsia="Times New Roman" w:hAnsi="Times New Roman"/>
          <w:sz w:val="16"/>
          <w:szCs w:val="16"/>
          <w:color w:val="auto"/>
        </w:rPr>
        <w:t>”), of Acumen Pharmaceuticals, Inc. and represents that the undersigned has tendered payment for such Warrant Securities, in lawful money of the United States of America, [in cash or by certified check or official bank check in New York Clearing House funds] [by bank wire transfer in immediately available funds], to the order of Acumen Pharmaceuticals, Inc., c/o [insert name and address of Warrant Agent], in the amount of $_________ in accordance with the terms hereof. The undersigned requests that said Warrant Securities be in fully registered form in the authorized denominations,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 in such names and delivered all as specified in accordance with the instructions set forth below.</w:t>
      </w:r>
    </w:p>
    <w:p>
      <w:pPr>
        <w:spacing w:after="0" w:line="15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If the number of Warrants exercised is less than all of the Warrants evidenced hereby, the undersigned requests that a new Warrant Certificate evidencing the Warrants for the number of Warrant Securities remaining unexercised be issued and delivered to the undersigned unless otherwise specified in the instructions below.</w:t>
      </w:r>
    </w:p>
    <w:p>
      <w:pPr>
        <w:spacing w:after="0" w:line="313" w:lineRule="exact"/>
        <w:rPr>
          <w:sz w:val="20"/>
          <w:szCs w:val="20"/>
          <w:color w:val="auto"/>
        </w:rPr>
      </w:pPr>
    </w:p>
    <w:p>
      <w:pPr>
        <w:ind w:left="20"/>
        <w:spacing w:after="0"/>
        <w:tabs>
          <w:tab w:leader="none" w:pos="8360" w:val="left"/>
        </w:tabs>
        <w:rPr>
          <w:sz w:val="20"/>
          <w:szCs w:val="20"/>
          <w:color w:val="auto"/>
        </w:rPr>
      </w:pPr>
      <w:r>
        <w:rPr>
          <w:rFonts w:ascii="Times New Roman" w:cs="Times New Roman" w:eastAsia="Times New Roman" w:hAnsi="Times New Roman"/>
          <w:sz w:val="17"/>
          <w:szCs w:val="17"/>
          <w:color w:val="auto"/>
        </w:rPr>
        <w:t>Dated:</w:t>
      </w:r>
      <w:r>
        <w:rPr>
          <w:sz w:val="20"/>
          <w:szCs w:val="20"/>
          <w:color w:val="auto"/>
        </w:rPr>
        <w:tab/>
      </w: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6128385</wp:posOffset>
            </wp:positionH>
            <wp:positionV relativeFrom="paragraph">
              <wp:posOffset>13970</wp:posOffset>
            </wp:positionV>
            <wp:extent cx="1037590"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1037590" cy="6350"/>
                    </a:xfrm>
                    <a:prstGeom prst="rect">
                      <a:avLst/>
                    </a:prstGeom>
                    <a:noFill/>
                  </pic:spPr>
                </pic:pic>
              </a:graphicData>
            </a:graphic>
          </wp:anchor>
        </w:drawing>
        <w:drawing>
          <wp:anchor simplePos="0" relativeHeight="251657728" behindDoc="1" locked="0" layoutInCell="0" allowOverlap="1">
            <wp:simplePos x="0" y="0"/>
            <wp:positionH relativeFrom="column">
              <wp:posOffset>4276725</wp:posOffset>
            </wp:positionH>
            <wp:positionV relativeFrom="paragraph">
              <wp:posOffset>13970</wp:posOffset>
            </wp:positionV>
            <wp:extent cx="860425"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860425" cy="6350"/>
                    </a:xfrm>
                    <a:prstGeom prst="rect">
                      <a:avLst/>
                    </a:prstGeom>
                    <a:noFill/>
                  </pic:spPr>
                </pic:pic>
              </a:graphicData>
            </a:graphic>
          </wp:anchor>
        </w:drawing>
      </w:r>
    </w:p>
    <w:p>
      <w:pPr>
        <w:spacing w:after="0" w:line="5" w:lineRule="exact"/>
        <w:rPr>
          <w:sz w:val="20"/>
          <w:szCs w:val="20"/>
          <w:color w:val="auto"/>
        </w:rPr>
      </w:pPr>
    </w:p>
    <w:p>
      <w:pPr>
        <w:ind w:left="10200"/>
        <w:spacing w:after="0"/>
        <w:rPr>
          <w:sz w:val="20"/>
          <w:szCs w:val="20"/>
          <w:color w:val="auto"/>
        </w:rPr>
      </w:pPr>
      <w:r>
        <w:rPr>
          <w:rFonts w:ascii="Times New Roman" w:cs="Times New Roman" w:eastAsia="Times New Roman" w:hAnsi="Times New Roman"/>
          <w:sz w:val="11"/>
          <w:szCs w:val="11"/>
          <w:color w:val="auto"/>
        </w:rPr>
        <w:t>Please Print</w:t>
      </w:r>
    </w:p>
    <w:p>
      <w:pPr>
        <w:spacing w:after="0" w:line="2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263525</wp:posOffset>
            </wp:positionV>
            <wp:extent cx="5135245"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5135245" cy="6350"/>
                    </a:xfrm>
                    <a:prstGeom prst="rect">
                      <a:avLst/>
                    </a:prstGeom>
                    <a:noFill/>
                  </pic:spPr>
                </pic:pic>
              </a:graphicData>
            </a:graphic>
          </wp:anchor>
        </w:drawing>
      </w:r>
    </w:p>
    <w:p>
      <w:pPr>
        <w:spacing w:after="0" w:line="398"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1"/>
          <w:szCs w:val="11"/>
          <w:color w:val="auto"/>
        </w:rPr>
        <w:t>(Insert Social Security or Other Identifying Number of Holder)</w:t>
      </w:r>
    </w:p>
    <w:p>
      <w:pPr>
        <w:spacing w:after="0" w:line="2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263525</wp:posOffset>
            </wp:positionV>
            <wp:extent cx="5135245"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5135245" cy="6350"/>
                    </a:xfrm>
                    <a:prstGeom prst="rect">
                      <a:avLst/>
                    </a:prstGeom>
                    <a:noFill/>
                  </pic:spPr>
                </pic:pic>
              </a:graphicData>
            </a:graphic>
          </wp:anchor>
        </w:drawing>
      </w:r>
    </w:p>
    <w:p>
      <w:pPr>
        <w:spacing w:after="0" w:line="39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1"/>
          <w:szCs w:val="1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Exhibit A-4</w:t>
      </w:r>
    </w:p>
    <w:p>
      <w:pPr>
        <w:sectPr>
          <w:pgSz w:w="11900" w:h="16838" w:orient="portrait"/>
          <w:cols w:equalWidth="0" w:num="1">
            <w:col w:w="11280"/>
          </w:cols>
          <w:pgMar w:left="300" w:top="1283" w:right="319" w:bottom="1440" w:gutter="0" w:footer="0" w:header="0"/>
        </w:sectPr>
      </w:pPr>
    </w:p>
    <w:bookmarkStart w:id="139" w:name="page140"/>
    <w:bookmarkEnd w:id="139"/>
    <w:p>
      <w:pPr>
        <w:spacing w:after="0" w:line="265" w:lineRule="auto"/>
        <w:rPr>
          <w:sz w:val="20"/>
          <w:szCs w:val="20"/>
          <w:color w:val="auto"/>
        </w:rPr>
      </w:pPr>
      <w:r>
        <w:rPr>
          <w:rFonts w:ascii="Times New Roman" w:cs="Times New Roman" w:eastAsia="Times New Roman" w:hAnsi="Times New Roman"/>
          <w:sz w:val="17"/>
          <w:szCs w:val="17"/>
          <w:color w:val="auto"/>
        </w:rPr>
        <w:t>(Signature must conform in all respects to name of holder as specified on the face of this Warrant Certificate and must bear a signature guarantee by a FINRA member firm).</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Warrant may be exercised at the following addresses: By hand at: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mail at:</w:t>
      </w:r>
    </w:p>
    <w:p>
      <w:pPr>
        <w:spacing w:after="0" w:line="166"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[Instructions as to form and delivery of Warrant Securities and, if applicable, Warrant Certificates evidencing Warrants for the number of Warrant Securities remaining unexercised—complete as appropriate.]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Exhibit A-5</w:t>
      </w:r>
    </w:p>
    <w:p>
      <w:pPr>
        <w:sectPr>
          <w:pgSz w:w="11900" w:h="16838" w:orient="portrait"/>
          <w:cols w:equalWidth="0" w:num="1">
            <w:col w:w="11280"/>
          </w:cols>
          <w:pgMar w:left="300" w:top="1287" w:right="319" w:bottom="1440" w:gutter="0" w:footer="0" w:header="0"/>
        </w:sectPr>
      </w:pPr>
    </w:p>
    <w:bookmarkStart w:id="140" w:name="page141"/>
    <w:bookmarkEnd w:id="140"/>
    <w:p>
      <w:pPr>
        <w:ind w:left="5080"/>
        <w:spacing w:after="0"/>
        <w:rPr>
          <w:sz w:val="20"/>
          <w:szCs w:val="20"/>
          <w:color w:val="auto"/>
        </w:rPr>
      </w:pPr>
      <w:r>
        <w:rPr>
          <w:rFonts w:ascii="Times New Roman" w:cs="Times New Roman" w:eastAsia="Times New Roman" w:hAnsi="Times New Roman"/>
          <w:sz w:val="17"/>
          <w:szCs w:val="17"/>
          <w:b w:val="1"/>
          <w:bCs w:val="1"/>
          <w:color w:val="auto"/>
        </w:rPr>
        <w:t>ASSIGNMENT</w:t>
      </w:r>
    </w:p>
    <w:p>
      <w:pPr>
        <w:spacing w:after="0" w:line="170" w:lineRule="exact"/>
        <w:rPr>
          <w:sz w:val="20"/>
          <w:szCs w:val="20"/>
          <w:color w:val="auto"/>
        </w:rPr>
      </w:pPr>
    </w:p>
    <w:p>
      <w:pPr>
        <w:ind w:right="5520"/>
        <w:spacing w:after="0" w:line="513" w:lineRule="auto"/>
        <w:rPr>
          <w:sz w:val="20"/>
          <w:szCs w:val="20"/>
          <w:color w:val="auto"/>
        </w:rPr>
      </w:pPr>
      <w:r>
        <w:rPr>
          <w:rFonts w:ascii="Times New Roman" w:cs="Times New Roman" w:eastAsia="Times New Roman" w:hAnsi="Times New Roman"/>
          <w:sz w:val="16"/>
          <w:szCs w:val="16"/>
          <w:color w:val="auto"/>
        </w:rPr>
        <w:t xml:space="preserve">[Form of assignment to be executed if Warrant Holder desires to transfer Warrant] </w:t>
      </w:r>
      <w:r>
        <w:rPr>
          <w:rFonts w:ascii="Times New Roman" w:cs="Times New Roman" w:eastAsia="Times New Roman" w:hAnsi="Times New Roman"/>
          <w:sz w:val="16"/>
          <w:szCs w:val="16"/>
          <w:b w:val="1"/>
          <w:bCs w:val="1"/>
          <w:color w:val="auto"/>
        </w:rPr>
        <w:t xml:space="preserve">FOR VALUE RECEIVED, </w:t>
      </w:r>
      <w:r>
        <w:rPr>
          <w:rFonts w:ascii="Times New Roman" w:cs="Times New Roman" w:eastAsia="Times New Roman" w:hAnsi="Times New Roman"/>
          <w:sz w:val="16"/>
          <w:szCs w:val="16"/>
          <w:color w:val="auto"/>
        </w:rPr>
        <w:t>______________ hereby sells, assigns and transfers unto:</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00" w:type="dxa"/>
            <w:vAlign w:val="bottom"/>
            <w:tcBorders>
              <w:top w:val="single" w:sz="8" w:color="auto"/>
            </w:tcBorders>
          </w:tcPr>
          <w:p>
            <w:pPr>
              <w:spacing w:after="0"/>
              <w:rPr>
                <w:sz w:val="14"/>
                <w:szCs w:val="14"/>
                <w:color w:val="auto"/>
              </w:rPr>
            </w:pPr>
          </w:p>
        </w:tc>
        <w:tc>
          <w:tcPr>
            <w:tcW w:w="270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2"/>
                <w:szCs w:val="12"/>
                <w:color w:val="auto"/>
              </w:rPr>
              <w:t>(Please print name and address including zip code)</w:t>
            </w:r>
          </w:p>
        </w:tc>
        <w:tc>
          <w:tcPr>
            <w:tcW w:w="14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520" w:type="dxa"/>
            <w:vAlign w:val="bottom"/>
            <w:tcBorders>
              <w:top w:val="single" w:sz="8" w:color="auto"/>
            </w:tcBorders>
            <w:gridSpan w:val="2"/>
          </w:tcPr>
          <w:p>
            <w:pPr>
              <w:jc w:val="right"/>
              <w:ind w:right="1305"/>
              <w:spacing w:after="0"/>
              <w:rPr>
                <w:sz w:val="20"/>
                <w:szCs w:val="20"/>
                <w:color w:val="auto"/>
              </w:rPr>
            </w:pPr>
            <w:r>
              <w:rPr>
                <w:rFonts w:ascii="Times New Roman" w:cs="Times New Roman" w:eastAsia="Times New Roman" w:hAnsi="Times New Roman"/>
                <w:sz w:val="12"/>
                <w:szCs w:val="12"/>
                <w:color w:val="auto"/>
              </w:rPr>
              <w:t>Please print Social Security or other identifying number</w:t>
            </w:r>
          </w:p>
        </w:tc>
        <w:tc>
          <w:tcPr>
            <w:tcW w:w="20" w:type="dxa"/>
            <w:vAlign w:val="bottom"/>
          </w:tcPr>
          <w:p>
            <w:pPr>
              <w:spacing w:after="0"/>
              <w:rPr>
                <w:sz w:val="14"/>
                <w:szCs w:val="14"/>
                <w:color w:val="auto"/>
              </w:rPr>
            </w:pPr>
          </w:p>
        </w:tc>
      </w:tr>
      <w:tr>
        <w:trPr>
          <w:trHeight w:val="419"/>
        </w:trPr>
        <w:tc>
          <w:tcPr>
            <w:tcW w:w="41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the right represented by the within Warrant to purchase</w:t>
            </w:r>
          </w:p>
        </w:tc>
        <w:tc>
          <w:tcPr>
            <w:tcW w:w="7160" w:type="dxa"/>
            <w:vAlign w:val="bottom"/>
            <w:gridSpan w:val="4"/>
          </w:tcPr>
          <w:p>
            <w:pPr>
              <w:jc w:val="right"/>
              <w:ind w:right="385"/>
              <w:spacing w:after="0"/>
              <w:rPr>
                <w:sz w:val="20"/>
                <w:szCs w:val="20"/>
                <w:color w:val="auto"/>
              </w:rPr>
            </w:pPr>
            <w:r>
              <w:rPr>
                <w:rFonts w:ascii="Times New Roman" w:cs="Times New Roman" w:eastAsia="Times New Roman" w:hAnsi="Times New Roman"/>
                <w:sz w:val="17"/>
                <w:szCs w:val="17"/>
                <w:color w:val="auto"/>
                <w:w w:val="97"/>
              </w:rPr>
              <w:t>shares of [Title of Warrant Securities] of Acumen Pharmaceuticals, Inc. to which the within Warrant</w:t>
            </w:r>
          </w:p>
        </w:tc>
        <w:tc>
          <w:tcPr>
            <w:tcW w:w="20" w:type="dxa"/>
            <w:vAlign w:val="bottom"/>
          </w:tcPr>
          <w:p>
            <w:pPr>
              <w:spacing w:after="0"/>
              <w:rPr>
                <w:sz w:val="24"/>
                <w:szCs w:val="24"/>
                <w:color w:val="auto"/>
              </w:rPr>
            </w:pPr>
          </w:p>
        </w:tc>
      </w:tr>
      <w:tr>
        <w:trPr>
          <w:trHeight w:val="215"/>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relates and appoints</w:t>
            </w:r>
          </w:p>
        </w:tc>
        <w:tc>
          <w:tcPr>
            <w:tcW w:w="9860" w:type="dxa"/>
            <w:vAlign w:val="bottom"/>
            <w:gridSpan w:val="7"/>
          </w:tcPr>
          <w:p>
            <w:pPr>
              <w:jc w:val="right"/>
              <w:ind w:right="1305"/>
              <w:spacing w:after="0"/>
              <w:rPr>
                <w:sz w:val="20"/>
                <w:szCs w:val="20"/>
                <w:color w:val="auto"/>
              </w:rPr>
            </w:pPr>
            <w:r>
              <w:rPr>
                <w:rFonts w:ascii="Times New Roman" w:cs="Times New Roman" w:eastAsia="Times New Roman" w:hAnsi="Times New Roman"/>
                <w:sz w:val="17"/>
                <w:szCs w:val="17"/>
                <w:color w:val="auto"/>
              </w:rPr>
              <w:t>attorney to transfer such right on the books of the Warrant Agent with full power of substitution in the premises.</w:t>
            </w:r>
          </w:p>
        </w:tc>
        <w:tc>
          <w:tcPr>
            <w:tcW w:w="20" w:type="dxa"/>
            <w:vAlign w:val="bottom"/>
          </w:tcPr>
          <w:p>
            <w:pPr>
              <w:spacing w:after="0"/>
              <w:rPr>
                <w:sz w:val="18"/>
                <w:szCs w:val="18"/>
                <w:color w:val="auto"/>
              </w:rPr>
            </w:pPr>
          </w:p>
        </w:tc>
      </w:tr>
      <w:tr>
        <w:trPr>
          <w:trHeight w:val="394"/>
        </w:trPr>
        <w:tc>
          <w:tcPr>
            <w:tcW w:w="1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Dated:</w:t>
            </w:r>
          </w:p>
        </w:tc>
        <w:tc>
          <w:tcPr>
            <w:tcW w:w="1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160" w:type="dxa"/>
            <w:vAlign w:val="bottom"/>
            <w:gridSpan w:val="4"/>
          </w:tcPr>
          <w:p>
            <w:pPr>
              <w:jc w:val="right"/>
              <w:ind w:right="6565"/>
              <w:spacing w:after="0"/>
              <w:rPr>
                <w:sz w:val="20"/>
                <w:szCs w:val="20"/>
                <w:color w:val="auto"/>
              </w:rPr>
            </w:pPr>
            <w:r>
              <w:rPr>
                <w:rFonts w:ascii="Times New Roman" w:cs="Times New Roman" w:eastAsia="Times New Roman" w:hAnsi="Times New Roman"/>
                <w:sz w:val="17"/>
                <w:szCs w:val="17"/>
                <w:color w:val="auto"/>
              </w:rPr>
              <w:t>Name:</w:t>
            </w:r>
          </w:p>
        </w:tc>
        <w:tc>
          <w:tcPr>
            <w:tcW w:w="20" w:type="dxa"/>
            <w:vAlign w:val="bottom"/>
          </w:tcPr>
          <w:p>
            <w:pPr>
              <w:spacing w:after="0"/>
              <w:rPr>
                <w:sz w:val="24"/>
                <w:szCs w:val="24"/>
                <w:color w:val="auto"/>
              </w:rPr>
            </w:pPr>
          </w:p>
        </w:tc>
      </w:tr>
      <w:tr>
        <w:trPr>
          <w:trHeight w:val="133"/>
        </w:trPr>
        <w:tc>
          <w:tcPr>
            <w:tcW w:w="14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760" w:type="dxa"/>
            <w:vAlign w:val="bottom"/>
            <w:tcBorders>
              <w:top w:val="single" w:sz="8" w:color="auto"/>
            </w:tcBorders>
          </w:tcPr>
          <w:p>
            <w:pPr>
              <w:jc w:val="right"/>
              <w:ind w:right="1545"/>
              <w:spacing w:after="0"/>
              <w:rPr>
                <w:sz w:val="20"/>
                <w:szCs w:val="20"/>
                <w:color w:val="auto"/>
              </w:rPr>
            </w:pPr>
            <w:r>
              <w:rPr>
                <w:rFonts w:ascii="Times New Roman" w:cs="Times New Roman" w:eastAsia="Times New Roman" w:hAnsi="Times New Roman"/>
                <w:sz w:val="11"/>
                <w:szCs w:val="11"/>
                <w:color w:val="auto"/>
              </w:rPr>
              <w:t>Please Print</w:t>
            </w:r>
          </w:p>
        </w:tc>
        <w:tc>
          <w:tcPr>
            <w:tcW w:w="20" w:type="dxa"/>
            <w:vAlign w:val="bottom"/>
            <w:tcBorders>
              <w:top w:val="single" w:sz="8" w:color="auto"/>
            </w:tcBorders>
          </w:tcPr>
          <w:p>
            <w:pPr>
              <w:spacing w:after="0"/>
              <w:rPr>
                <w:sz w:val="11"/>
                <w:szCs w:val="11"/>
                <w:color w:val="auto"/>
              </w:rPr>
            </w:pPr>
          </w:p>
        </w:tc>
      </w:tr>
    </w:tbl>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must conform in all respects to name of holder as specified on the face of the Warrant)</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144780</wp:posOffset>
            </wp:positionV>
            <wp:extent cx="2344420"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2344420" cy="6350"/>
                    </a:xfrm>
                    <a:prstGeom prst="rect">
                      <a:avLst/>
                    </a:prstGeom>
                    <a:noFill/>
                  </pic:spPr>
                </pic:pic>
              </a:graphicData>
            </a:graphic>
          </wp:anchor>
        </w:drawing>
      </w:r>
    </w:p>
    <w:p>
      <w:pPr>
        <w:spacing w:after="0" w:line="21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1"/>
          <w:szCs w:val="1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Exhibit A-6</w:t>
      </w:r>
    </w:p>
    <w:p>
      <w:pPr>
        <w:sectPr>
          <w:pgSz w:w="11900" w:h="16838" w:orient="portrait"/>
          <w:cols w:equalWidth="0" w:num="1">
            <w:col w:w="11280"/>
          </w:cols>
          <w:pgMar w:left="300" w:top="1283" w:right="31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4"/>
          <w:szCs w:val="14"/>
          <w:b w:val="1"/>
          <w:bCs w:val="1"/>
          <w:color w:val="auto"/>
        </w:rPr>
        <w:t>Exhibit 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ACUMEN PHARMACEUTICALS, INC.</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AND</w:t>
      </w:r>
    </w:p>
    <w:p>
      <w:pPr>
        <w:spacing w:after="0" w:line="16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7"/>
          <w:szCs w:val="17"/>
          <w:b w:val="1"/>
          <w:bCs w:val="1"/>
          <w:color w:val="auto"/>
        </w:rPr>
        <w:t>_____________, AS WARRANT AGENT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DEBT SECURITIES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WARRANT AGREEMENT</w:t>
      </w:r>
    </w:p>
    <w:p>
      <w:pPr>
        <w:spacing w:after="0" w:line="16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b w:val="1"/>
          <w:bCs w:val="1"/>
          <w:color w:val="auto"/>
        </w:rPr>
        <w:t>DATED AS OF __________</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ACUMEN PHARMACEUTICALS, INC. FORM OF DEBT SECURITIES WARRANT AGREEMENT</w:t>
      </w:r>
    </w:p>
    <w:p>
      <w:pPr>
        <w:spacing w:after="0" w:line="166" w:lineRule="exact"/>
        <w:rPr>
          <w:sz w:val="20"/>
          <w:szCs w:val="20"/>
          <w:color w:val="auto"/>
        </w:rPr>
      </w:pPr>
    </w:p>
    <w:p>
      <w:pPr>
        <w:ind w:right="20" w:firstLine="496"/>
        <w:spacing w:after="0" w:line="262" w:lineRule="auto"/>
        <w:rPr>
          <w:sz w:val="20"/>
          <w:szCs w:val="20"/>
          <w:color w:val="auto"/>
        </w:rPr>
      </w:pPr>
      <w:r>
        <w:rPr>
          <w:rFonts w:ascii="Times New Roman" w:cs="Times New Roman" w:eastAsia="Times New Roman" w:hAnsi="Times New Roman"/>
          <w:sz w:val="17"/>
          <w:szCs w:val="17"/>
          <w:color w:val="auto"/>
        </w:rPr>
        <w:t xml:space="preserve">This </w:t>
      </w:r>
      <w:r>
        <w:rPr>
          <w:rFonts w:ascii="Times New Roman" w:cs="Times New Roman" w:eastAsia="Times New Roman" w:hAnsi="Times New Roman"/>
          <w:sz w:val="17"/>
          <w:szCs w:val="17"/>
          <w:b w:val="1"/>
          <w:bCs w:val="1"/>
          <w:color w:val="auto"/>
        </w:rPr>
        <w:t>DEBT SECURITIES WARRANT AGREEMENT</w:t>
      </w:r>
      <w:r>
        <w:rPr>
          <w:rFonts w:ascii="Times New Roman" w:cs="Times New Roman" w:eastAsia="Times New Roman" w:hAnsi="Times New Roman"/>
          <w:sz w:val="17"/>
          <w:szCs w:val="17"/>
          <w:color w:val="auto"/>
        </w:rPr>
        <w:t xml:space="preserve"> (this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xml:space="preserve">”), dated as of [•], between </w:t>
      </w:r>
      <w:r>
        <w:rPr>
          <w:rFonts w:ascii="Times New Roman" w:cs="Times New Roman" w:eastAsia="Times New Roman" w:hAnsi="Times New Roman"/>
          <w:sz w:val="17"/>
          <w:szCs w:val="17"/>
          <w:b w:val="1"/>
          <w:bCs w:val="1"/>
          <w:color w:val="auto"/>
        </w:rPr>
        <w:t>ACUMEN PHARMACEUTICALS, INC.</w:t>
      </w:r>
      <w:r>
        <w:rPr>
          <w:rFonts w:ascii="Times New Roman" w:cs="Times New Roman" w:eastAsia="Times New Roman" w:hAnsi="Times New Roman"/>
          <w:sz w:val="17"/>
          <w:szCs w:val="17"/>
          <w:color w:val="auto"/>
        </w:rPr>
        <w:t>, a Delaware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and [•], a [corporation] [national banking association] organized and existing under the laws of [•] and having a corporate trust office in [•], as warrant agent (the “</w:t>
      </w:r>
      <w:r>
        <w:rPr>
          <w:rFonts w:ascii="Times New Roman" w:cs="Times New Roman" w:eastAsia="Times New Roman" w:hAnsi="Times New Roman"/>
          <w:sz w:val="17"/>
          <w:szCs w:val="17"/>
          <w:b w:val="1"/>
          <w:bCs w:val="1"/>
          <w:i w:val="1"/>
          <w:iCs w:val="1"/>
          <w:color w:val="auto"/>
        </w:rPr>
        <w:t>Warrant Agent</w:t>
      </w:r>
      <w:r>
        <w:rPr>
          <w:rFonts w:ascii="Times New Roman" w:cs="Times New Roman" w:eastAsia="Times New Roman" w:hAnsi="Times New Roman"/>
          <w:sz w:val="17"/>
          <w:szCs w:val="17"/>
          <w:color w:val="auto"/>
        </w:rPr>
        <w:t>”).</w:t>
      </w:r>
    </w:p>
    <w:p>
      <w:pPr>
        <w:spacing w:after="0" w:line="125" w:lineRule="exact"/>
        <w:rPr>
          <w:sz w:val="20"/>
          <w:szCs w:val="20"/>
          <w:color w:val="auto"/>
        </w:rPr>
      </w:pPr>
    </w:p>
    <w:p>
      <w:pPr>
        <w:ind w:right="120" w:firstLine="496"/>
        <w:spacing w:after="0" w:line="255"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Company has entered into an indenture dated as of [•] (the “</w:t>
      </w:r>
      <w:r>
        <w:rPr>
          <w:rFonts w:ascii="Times New Roman" w:cs="Times New Roman" w:eastAsia="Times New Roman" w:hAnsi="Times New Roman"/>
          <w:sz w:val="17"/>
          <w:szCs w:val="17"/>
          <w:b w:val="1"/>
          <w:bCs w:val="1"/>
          <w:i w:val="1"/>
          <w:iCs w:val="1"/>
          <w:color w:val="auto"/>
        </w:rPr>
        <w:t>Indenture</w:t>
      </w:r>
      <w:r>
        <w:rPr>
          <w:rFonts w:ascii="Times New Roman" w:cs="Times New Roman" w:eastAsia="Times New Roman" w:hAnsi="Times New Roman"/>
          <w:sz w:val="17"/>
          <w:szCs w:val="17"/>
          <w:color w:val="auto"/>
        </w:rPr>
        <w:t>”), with [•], as trustee (such trustee, and any successors to such trustee,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herein called the “</w:t>
      </w:r>
      <w:r>
        <w:rPr>
          <w:rFonts w:ascii="Times New Roman" w:cs="Times New Roman" w:eastAsia="Times New Roman" w:hAnsi="Times New Roman"/>
          <w:sz w:val="17"/>
          <w:szCs w:val="17"/>
          <w:b w:val="1"/>
          <w:bCs w:val="1"/>
          <w:i w:val="1"/>
          <w:iCs w:val="1"/>
          <w:color w:val="auto"/>
        </w:rPr>
        <w:t>Trustee</w:t>
      </w:r>
      <w:r>
        <w:rPr>
          <w:rFonts w:ascii="Times New Roman" w:cs="Times New Roman" w:eastAsia="Times New Roman" w:hAnsi="Times New Roman"/>
          <w:sz w:val="17"/>
          <w:szCs w:val="17"/>
          <w:color w:val="auto"/>
        </w:rPr>
        <w:t>”), providing for the issuance from time to time of its debt securities, to be issued in one or more series as provided in the Indenture (the “</w:t>
      </w:r>
      <w:r>
        <w:rPr>
          <w:rFonts w:ascii="Times New Roman" w:cs="Times New Roman" w:eastAsia="Times New Roman" w:hAnsi="Times New Roman"/>
          <w:sz w:val="17"/>
          <w:szCs w:val="17"/>
          <w:b w:val="1"/>
          <w:bCs w:val="1"/>
          <w:i w:val="1"/>
          <w:iCs w:val="1"/>
          <w:color w:val="auto"/>
        </w:rPr>
        <w:t>Debt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Securities</w:t>
      </w:r>
      <w:r>
        <w:rPr>
          <w:rFonts w:ascii="Times New Roman" w:cs="Times New Roman" w:eastAsia="Times New Roman" w:hAnsi="Times New Roman"/>
          <w:sz w:val="17"/>
          <w:szCs w:val="17"/>
          <w:color w:val="auto"/>
        </w:rPr>
        <w:t>”);</w:t>
      </w:r>
    </w:p>
    <w:p>
      <w:pPr>
        <w:spacing w:after="0" w:line="132" w:lineRule="exact"/>
        <w:rPr>
          <w:sz w:val="20"/>
          <w:szCs w:val="20"/>
          <w:color w:val="auto"/>
        </w:rPr>
      </w:pPr>
    </w:p>
    <w:p>
      <w:pPr>
        <w:ind w:right="300" w:firstLine="496"/>
        <w:spacing w:after="0" w:line="255" w:lineRule="auto"/>
        <w:rPr>
          <w:sz w:val="20"/>
          <w:szCs w:val="20"/>
          <w:color w:val="auto"/>
        </w:rPr>
      </w:pPr>
      <w:r>
        <w:rPr>
          <w:rFonts w:ascii="Times New Roman" w:cs="Times New Roman" w:eastAsia="Times New Roman" w:hAnsi="Times New Roman"/>
          <w:sz w:val="17"/>
          <w:szCs w:val="17"/>
          <w:b w:val="1"/>
          <w:bCs w:val="1"/>
          <w:color w:val="auto"/>
        </w:rPr>
        <w:t xml:space="preserve">WHEREAS, </w:t>
      </w:r>
      <w:r>
        <w:rPr>
          <w:rFonts w:ascii="Times New Roman" w:cs="Times New Roman" w:eastAsia="Times New Roman" w:hAnsi="Times New Roman"/>
          <w:sz w:val="17"/>
          <w:szCs w:val="17"/>
          <w:color w:val="auto"/>
        </w:rPr>
        <w:t>the Company proposes to sell [</w:t>
      </w:r>
      <w:r>
        <w:rPr>
          <w:rFonts w:ascii="Times New Roman" w:cs="Times New Roman" w:eastAsia="Times New Roman" w:hAnsi="Times New Roman"/>
          <w:sz w:val="17"/>
          <w:szCs w:val="17"/>
          <w:b w:val="1"/>
          <w:bCs w:val="1"/>
          <w:i w:val="1"/>
          <w:iCs w:val="1"/>
          <w:color w:val="auto"/>
        </w:rPr>
        <w:t>If Warrants are sold with other securities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[title of such other securities being offered] (the “</w:t>
      </w:r>
      <w:r>
        <w:rPr>
          <w:rFonts w:ascii="Times New Roman" w:cs="Times New Roman" w:eastAsia="Times New Roman" w:hAnsi="Times New Roman"/>
          <w:sz w:val="17"/>
          <w:szCs w:val="17"/>
          <w:b w:val="1"/>
          <w:bCs w:val="1"/>
          <w:i w:val="1"/>
          <w:iCs w:val="1"/>
          <w:color w:val="auto"/>
        </w:rPr>
        <w:t>Other Securities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 warrant certificates evidencing one or more warrants (the “</w:t>
      </w:r>
      <w:r>
        <w:rPr>
          <w:rFonts w:ascii="Times New Roman" w:cs="Times New Roman" w:eastAsia="Times New Roman" w:hAnsi="Times New Roman"/>
          <w:sz w:val="17"/>
          <w:szCs w:val="17"/>
          <w:b w:val="1"/>
          <w:bCs w:val="1"/>
          <w:i w:val="1"/>
          <w:iCs w:val="1"/>
          <w:color w:val="auto"/>
        </w:rPr>
        <w:t>Warrants</w:t>
      </w:r>
      <w:r>
        <w:rPr>
          <w:rFonts w:ascii="Times New Roman" w:cs="Times New Roman" w:eastAsia="Times New Roman" w:hAnsi="Times New Roman"/>
          <w:sz w:val="17"/>
          <w:szCs w:val="17"/>
          <w:color w:val="auto"/>
        </w:rPr>
        <w:t>” or, individually, a “</w:t>
      </w:r>
      <w:r>
        <w:rPr>
          <w:rFonts w:ascii="Times New Roman" w:cs="Times New Roman" w:eastAsia="Times New Roman" w:hAnsi="Times New Roman"/>
          <w:sz w:val="17"/>
          <w:szCs w:val="17"/>
          <w:b w:val="1"/>
          <w:bCs w:val="1"/>
          <w:i w:val="1"/>
          <w:iCs w:val="1"/>
          <w:color w:val="auto"/>
        </w:rPr>
        <w:t>Warrant</w:t>
      </w:r>
      <w:r>
        <w:rPr>
          <w:rFonts w:ascii="Times New Roman" w:cs="Times New Roman" w:eastAsia="Times New Roman" w:hAnsi="Times New Roman"/>
          <w:sz w:val="17"/>
          <w:szCs w:val="17"/>
          <w:color w:val="auto"/>
        </w:rPr>
        <w:t>”) representing the right to purchase [title of Debt Securities purchasable through exercise of Warrants] (the “</w:t>
      </w:r>
      <w:r>
        <w:rPr>
          <w:rFonts w:ascii="Times New Roman" w:cs="Times New Roman" w:eastAsia="Times New Roman" w:hAnsi="Times New Roman"/>
          <w:sz w:val="17"/>
          <w:szCs w:val="17"/>
          <w:b w:val="1"/>
          <w:bCs w:val="1"/>
          <w:i w:val="1"/>
          <w:iCs w:val="1"/>
          <w:color w:val="auto"/>
        </w:rPr>
        <w:t>Warrant Debt Securities</w:t>
      </w:r>
      <w:r>
        <w:rPr>
          <w:rFonts w:ascii="Times New Roman" w:cs="Times New Roman" w:eastAsia="Times New Roman" w:hAnsi="Times New Roman"/>
          <w:sz w:val="17"/>
          <w:szCs w:val="17"/>
          <w:color w:val="auto"/>
        </w:rPr>
        <w:t>”), such warrant certificates and other warrant certificates issued pursuant to this Agreement being herein called the “</w:t>
      </w:r>
      <w:r>
        <w:rPr>
          <w:rFonts w:ascii="Times New Roman" w:cs="Times New Roman" w:eastAsia="Times New Roman" w:hAnsi="Times New Roman"/>
          <w:sz w:val="17"/>
          <w:szCs w:val="17"/>
          <w:b w:val="1"/>
          <w:bCs w:val="1"/>
          <w:i w:val="1"/>
          <w:iCs w:val="1"/>
          <w:color w:val="auto"/>
        </w:rPr>
        <w:t>Warrant Certificates</w:t>
      </w:r>
      <w:r>
        <w:rPr>
          <w:rFonts w:ascii="Times New Roman" w:cs="Times New Roman" w:eastAsia="Times New Roman" w:hAnsi="Times New Roman"/>
          <w:sz w:val="17"/>
          <w:szCs w:val="17"/>
          <w:color w:val="auto"/>
        </w:rPr>
        <w:t>”; and</w:t>
      </w:r>
    </w:p>
    <w:p>
      <w:pPr>
        <w:spacing w:after="0" w:line="131" w:lineRule="exact"/>
        <w:rPr>
          <w:sz w:val="20"/>
          <w:szCs w:val="20"/>
          <w:color w:val="auto"/>
        </w:rPr>
      </w:pPr>
    </w:p>
    <w:p>
      <w:pPr>
        <w:ind w:firstLine="496"/>
        <w:spacing w:after="0" w:line="286" w:lineRule="auto"/>
        <w:rPr>
          <w:sz w:val="20"/>
          <w:szCs w:val="20"/>
          <w:color w:val="auto"/>
        </w:rPr>
      </w:pPr>
      <w:r>
        <w:rPr>
          <w:rFonts w:ascii="Times New Roman" w:cs="Times New Roman" w:eastAsia="Times New Roman" w:hAnsi="Times New Roman"/>
          <w:sz w:val="16"/>
          <w:szCs w:val="16"/>
          <w:b w:val="1"/>
          <w:bCs w:val="1"/>
          <w:color w:val="auto"/>
        </w:rPr>
        <w:t xml:space="preserve">WHEREAS, </w:t>
      </w:r>
      <w:r>
        <w:rPr>
          <w:rFonts w:ascii="Times New Roman" w:cs="Times New Roman" w:eastAsia="Times New Roman" w:hAnsi="Times New Roman"/>
          <w:sz w:val="16"/>
          <w:szCs w:val="16"/>
          <w:color w:val="auto"/>
        </w:rPr>
        <w:t>the Company desires the Warrant Agent to act on behalf of the Company, and the Warrant Agent is willing so to act, in connection with the issuance,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registration, transfer, exchange, exercise and replacement of the Warrant Certificates, and in this Agreement wishes to set forth, among other things, the form and provisions of the Warrant Certificates and the terms and conditions on which they may be issued, registered, transferred, exchanged, exercised and replaced.</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 xml:space="preserve">NOW THEREFORE, </w:t>
      </w:r>
      <w:r>
        <w:rPr>
          <w:rFonts w:ascii="Times New Roman" w:cs="Times New Roman" w:eastAsia="Times New Roman" w:hAnsi="Times New Roman"/>
          <w:sz w:val="17"/>
          <w:szCs w:val="17"/>
          <w:color w:val="auto"/>
        </w:rPr>
        <w:t>in consideration of the premises and of the mutual agreements herein contained, the parties hereto agree as follows:</w:t>
      </w:r>
    </w:p>
    <w:p>
      <w:pPr>
        <w:sectPr>
          <w:pgSz w:w="11900" w:h="16838" w:orient="portrait"/>
          <w:cols w:equalWidth="0" w:num="1">
            <w:col w:w="11280"/>
          </w:cols>
          <w:pgMar w:left="300" w:top="123" w:right="319" w:bottom="1440" w:gutter="0" w:footer="0" w:header="0"/>
        </w:sectPr>
      </w:pPr>
    </w:p>
    <w:bookmarkStart w:id="142" w:name="page143"/>
    <w:bookmarkEnd w:id="142"/>
    <w:p>
      <w:pPr>
        <w:ind w:left="5200"/>
        <w:spacing w:after="0"/>
        <w:rPr>
          <w:sz w:val="20"/>
          <w:szCs w:val="20"/>
          <w:color w:val="auto"/>
        </w:rPr>
      </w:pPr>
      <w:r>
        <w:rPr>
          <w:rFonts w:ascii="Times New Roman" w:cs="Times New Roman" w:eastAsia="Times New Roman" w:hAnsi="Times New Roman"/>
          <w:sz w:val="17"/>
          <w:szCs w:val="17"/>
          <w:b w:val="1"/>
          <w:bCs w:val="1"/>
          <w:color w:val="auto"/>
        </w:rPr>
        <w:t>ARTICLE 1</w:t>
      </w:r>
    </w:p>
    <w:p>
      <w:pPr>
        <w:spacing w:after="0" w:line="166"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7"/>
          <w:szCs w:val="17"/>
          <w:b w:val="1"/>
          <w:bCs w:val="1"/>
          <w:color w:val="auto"/>
        </w:rPr>
        <w:t>ISSUANCE OF WARRANTS AND EXECUTION AND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DELIVERY OF WARRANT CERTIFICATES</w:t>
      </w:r>
    </w:p>
    <w:p>
      <w:pPr>
        <w:spacing w:after="0" w:line="155" w:lineRule="exact"/>
        <w:rPr>
          <w:sz w:val="20"/>
          <w:szCs w:val="20"/>
          <w:color w:val="auto"/>
        </w:rPr>
      </w:pPr>
    </w:p>
    <w:p>
      <w:pPr>
        <w:ind w:right="120" w:firstLine="496"/>
        <w:spacing w:after="0" w:line="248" w:lineRule="auto"/>
        <w:rPr>
          <w:sz w:val="20"/>
          <w:szCs w:val="20"/>
          <w:color w:val="auto"/>
        </w:rPr>
      </w:pPr>
      <w:r>
        <w:rPr>
          <w:rFonts w:ascii="Times New Roman" w:cs="Times New Roman" w:eastAsia="Times New Roman" w:hAnsi="Times New Roman"/>
          <w:sz w:val="17"/>
          <w:szCs w:val="17"/>
          <w:b w:val="1"/>
          <w:bCs w:val="1"/>
          <w:color w:val="auto"/>
        </w:rPr>
        <w:t xml:space="preserve">1.1Issuance of Warrants.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If Warrants alone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Upon issuance, each Warrant Certificate shall evidence one or more Warrants.] [</w:t>
      </w:r>
      <w:r>
        <w:rPr>
          <w:rFonts w:ascii="Times New Roman" w:cs="Times New Roman" w:eastAsia="Times New Roman" w:hAnsi="Times New Roman"/>
          <w:sz w:val="17"/>
          <w:szCs w:val="17"/>
          <w:b w:val="1"/>
          <w:bCs w:val="1"/>
          <w:i w:val="1"/>
          <w:iCs w:val="1"/>
          <w:color w:val="auto"/>
        </w:rPr>
        <w:t>If Other Securities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i w:val="1"/>
          <w:iCs w:val="1"/>
          <w:color w:val="auto"/>
        </w:rPr>
        <w:t xml:space="preserve">Warrants </w:t>
      </w:r>
      <w:r>
        <w:rPr>
          <w:rFonts w:ascii="Times New Roman" w:cs="Times New Roman" w:eastAsia="Times New Roman" w:hAnsi="Times New Roman"/>
          <w:sz w:val="17"/>
          <w:szCs w:val="17"/>
          <w:color w:val="auto"/>
        </w:rPr>
        <w:t>— Warrant Certificates will be issued in connection with the issuance of the Other Securities but shall be separately transferable and each Warrant Certificate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shall evidence one or more Warrants.] Each Warrant evidenced thereby shall represent the right, subject to the provisions contained herein and therein, to purchase one Warrant Debt Security. [</w:t>
      </w:r>
      <w:r>
        <w:rPr>
          <w:rFonts w:ascii="Times New Roman" w:cs="Times New Roman" w:eastAsia="Times New Roman" w:hAnsi="Times New Roman"/>
          <w:sz w:val="17"/>
          <w:szCs w:val="17"/>
          <w:b w:val="1"/>
          <w:bCs w:val="1"/>
          <w:i w:val="1"/>
          <w:iCs w:val="1"/>
          <w:color w:val="auto"/>
        </w:rPr>
        <w:t>If Other Securities and Warrants</w:t>
      </w:r>
      <w:r>
        <w:rPr>
          <w:rFonts w:ascii="Times New Roman" w:cs="Times New Roman" w:eastAsia="Times New Roman" w:hAnsi="Times New Roman"/>
          <w:sz w:val="17"/>
          <w:szCs w:val="17"/>
          <w:color w:val="auto"/>
        </w:rPr>
        <w:t xml:space="preserve"> — Warrant Certificates will be issued with the Other Securities and each Warrant Certificate will evidence [•] Warrants for each [$[•] principal amount] [[•] shares] of Other Securities issued.]</w:t>
      </w:r>
    </w:p>
    <w:p>
      <w:pPr>
        <w:spacing w:after="0" w:line="148" w:lineRule="exact"/>
        <w:rPr>
          <w:sz w:val="20"/>
          <w:szCs w:val="20"/>
          <w:color w:val="auto"/>
        </w:rPr>
      </w:pPr>
    </w:p>
    <w:p>
      <w:pPr>
        <w:ind w:right="20" w:firstLine="496"/>
        <w:spacing w:after="0" w:line="245" w:lineRule="auto"/>
        <w:rPr>
          <w:sz w:val="20"/>
          <w:szCs w:val="20"/>
          <w:color w:val="auto"/>
        </w:rPr>
      </w:pPr>
      <w:r>
        <w:rPr>
          <w:rFonts w:ascii="Times New Roman" w:cs="Times New Roman" w:eastAsia="Times New Roman" w:hAnsi="Times New Roman"/>
          <w:sz w:val="17"/>
          <w:szCs w:val="17"/>
          <w:b w:val="1"/>
          <w:bCs w:val="1"/>
          <w:color w:val="auto"/>
        </w:rPr>
        <w:t xml:space="preserve">1.2Execution and Delivery of Warrant Certificates. </w:t>
      </w:r>
      <w:r>
        <w:rPr>
          <w:rFonts w:ascii="Times New Roman" w:cs="Times New Roman" w:eastAsia="Times New Roman" w:hAnsi="Times New Roman"/>
          <w:sz w:val="17"/>
          <w:szCs w:val="17"/>
          <w:color w:val="auto"/>
        </w:rPr>
        <w:t>Each Warrant Certificate, whenever issued, shall be in registered form substantially in the form set forth in</w:t>
      </w:r>
      <w:r>
        <w:rPr>
          <w:rFonts w:ascii="Times New Roman" w:cs="Times New Roman" w:eastAsia="Times New Roman" w:hAnsi="Times New Roman"/>
          <w:sz w:val="17"/>
          <w:szCs w:val="17"/>
          <w:b w:val="1"/>
          <w:bCs w:val="1"/>
          <w:color w:val="auto"/>
        </w:rPr>
        <w:t xml:space="preserve"> Exhibit A </w:t>
      </w:r>
      <w:r>
        <w:rPr>
          <w:rFonts w:ascii="Times New Roman" w:cs="Times New Roman" w:eastAsia="Times New Roman" w:hAnsi="Times New Roman"/>
          <w:sz w:val="17"/>
          <w:szCs w:val="17"/>
          <w:color w:val="auto"/>
        </w:rPr>
        <w:t>hereto, shall be dated the date of its countersignature by the Warrant Agent and may have such letters, numbers, or other marks of identification or designation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on which the Warrants may be listed, or to conform to usage. The Warrant Certificates shall be signed on behalf of the Company by any of its present or future chief executive officers, presidents, senior vice presidents, vice presidents, chief financial officers, chief legal officers, treasurers, assistant treasurers, controllers, assistant controllers, secretaries or assistant secretaries under its corporate seal reproduced thereon. Such signatures may be manual or facsimile signatures of such authorized officers and may be imprinted or otherwise reproduced on the Warrant Certificates. The seal of the Company may be in the form of a facsimile thereof and may be impressed, affixed, imprinted or otherwise reproduced on the Warrant Certificates.</w:t>
      </w:r>
    </w:p>
    <w:p>
      <w:pPr>
        <w:spacing w:after="0" w:line="149" w:lineRule="exact"/>
        <w:rPr>
          <w:sz w:val="20"/>
          <w:szCs w:val="20"/>
          <w:color w:val="auto"/>
        </w:rPr>
      </w:pPr>
    </w:p>
    <w:p>
      <w:pPr>
        <w:ind w:right="480" w:firstLine="496"/>
        <w:spacing w:after="0" w:line="259" w:lineRule="auto"/>
        <w:rPr>
          <w:sz w:val="20"/>
          <w:szCs w:val="20"/>
          <w:color w:val="auto"/>
        </w:rPr>
      </w:pPr>
      <w:r>
        <w:rPr>
          <w:rFonts w:ascii="Times New Roman" w:cs="Times New Roman" w:eastAsia="Times New Roman" w:hAnsi="Times New Roman"/>
          <w:sz w:val="17"/>
          <w:szCs w:val="17"/>
          <w:color w:val="auto"/>
        </w:rPr>
        <w:t>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w:t>
      </w:r>
    </w:p>
    <w:p>
      <w:pPr>
        <w:spacing w:after="0" w:line="132" w:lineRule="exact"/>
        <w:rPr>
          <w:sz w:val="20"/>
          <w:szCs w:val="20"/>
          <w:color w:val="auto"/>
        </w:rPr>
      </w:pPr>
    </w:p>
    <w:p>
      <w:pPr>
        <w:ind w:firstLine="496"/>
        <w:spacing w:after="0" w:line="250" w:lineRule="auto"/>
        <w:rPr>
          <w:sz w:val="20"/>
          <w:szCs w:val="20"/>
          <w:color w:val="auto"/>
        </w:rPr>
      </w:pPr>
      <w:r>
        <w:rPr>
          <w:rFonts w:ascii="Times New Roman" w:cs="Times New Roman" w:eastAsia="Times New Roman" w:hAnsi="Times New Roman"/>
          <w:sz w:val="17"/>
          <w:szCs w:val="17"/>
          <w:color w:val="auto"/>
        </w:rPr>
        <w:t>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w:t>
      </w:r>
    </w:p>
    <w:p>
      <w:pPr>
        <w:sectPr>
          <w:pgSz w:w="11900" w:h="16838" w:orient="portrait"/>
          <w:cols w:equalWidth="0" w:num="1">
            <w:col w:w="11280"/>
          </w:cols>
          <w:pgMar w:left="300" w:top="1118" w:right="319" w:bottom="1440" w:gutter="0" w:footer="0" w:header="0"/>
        </w:sectPr>
      </w:pPr>
    </w:p>
    <w:bookmarkStart w:id="143" w:name="page144"/>
    <w:bookmarkEnd w:id="143"/>
    <w:p>
      <w:pPr>
        <w:ind w:right="620" w:firstLine="496"/>
        <w:spacing w:after="0" w:line="270" w:lineRule="auto"/>
        <w:rPr>
          <w:sz w:val="20"/>
          <w:szCs w:val="20"/>
          <w:color w:val="auto"/>
        </w:rPr>
      </w:pPr>
      <w:r>
        <w:rPr>
          <w:rFonts w:ascii="Times New Roman" w:cs="Times New Roman" w:eastAsia="Times New Roman" w:hAnsi="Times New Roman"/>
          <w:sz w:val="17"/>
          <w:szCs w:val="17"/>
          <w:color w:val="auto"/>
        </w:rPr>
        <w:t>The term “</w:t>
      </w:r>
      <w:r>
        <w:rPr>
          <w:rFonts w:ascii="Times New Roman" w:cs="Times New Roman" w:eastAsia="Times New Roman" w:hAnsi="Times New Roman"/>
          <w:sz w:val="17"/>
          <w:szCs w:val="17"/>
          <w:b w:val="1"/>
          <w:bCs w:val="1"/>
          <w:i w:val="1"/>
          <w:iCs w:val="1"/>
          <w:color w:val="auto"/>
        </w:rPr>
        <w:t>holder</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i w:val="1"/>
          <w:iCs w:val="1"/>
          <w:color w:val="auto"/>
        </w:rPr>
        <w:t>holder of a Warrant Certificate</w:t>
      </w:r>
      <w:r>
        <w:rPr>
          <w:rFonts w:ascii="Times New Roman" w:cs="Times New Roman" w:eastAsia="Times New Roman" w:hAnsi="Times New Roman"/>
          <w:sz w:val="17"/>
          <w:szCs w:val="17"/>
          <w:color w:val="auto"/>
        </w:rPr>
        <w:t>” as used herein shall mean any person in whose name at the time any Warrant Certificate shall be registered upon the books to be maintained by the Warrant Agent for that purpose.</w:t>
      </w:r>
    </w:p>
    <w:p>
      <w:pPr>
        <w:spacing w:after="0" w:line="119" w:lineRule="exact"/>
        <w:rPr>
          <w:sz w:val="20"/>
          <w:szCs w:val="20"/>
          <w:color w:val="auto"/>
        </w:rPr>
      </w:pPr>
    </w:p>
    <w:p>
      <w:pPr>
        <w:ind w:right="100" w:firstLine="496"/>
        <w:spacing w:after="0" w:line="286" w:lineRule="auto"/>
        <w:rPr>
          <w:sz w:val="20"/>
          <w:szCs w:val="20"/>
          <w:color w:val="auto"/>
        </w:rPr>
      </w:pPr>
      <w:r>
        <w:rPr>
          <w:rFonts w:ascii="Times New Roman" w:cs="Times New Roman" w:eastAsia="Times New Roman" w:hAnsi="Times New Roman"/>
          <w:sz w:val="16"/>
          <w:szCs w:val="16"/>
          <w:b w:val="1"/>
          <w:bCs w:val="1"/>
          <w:color w:val="auto"/>
        </w:rPr>
        <w:t xml:space="preserve">1.3Issuance of Warrant Certificates. </w:t>
      </w:r>
      <w:r>
        <w:rPr>
          <w:rFonts w:ascii="Times New Roman" w:cs="Times New Roman" w:eastAsia="Times New Roman" w:hAnsi="Times New Roman"/>
          <w:sz w:val="16"/>
          <w:szCs w:val="16"/>
          <w:color w:val="auto"/>
        </w:rPr>
        <w:t>Warrant Certificates evidencing the right to purchase Warrant Debt Securities may be executed by the Company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delivered to the Warrant Agent upon the execution of this Agreement or from time to time thereafter. The Warrant Agent shall, upon receipt of Warrant Certificates duly executed on behalf of the Company, countersign such Warrant Certificates and shall deliver such Warrant Certificates to or upon the order of the Company.</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ARTICLE 2</w:t>
      </w:r>
    </w:p>
    <w:p>
      <w:pPr>
        <w:spacing w:after="0" w:line="1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WARRANT PRICE, DURATION AND EXERCISE OF WARRANTS</w:t>
      </w:r>
    </w:p>
    <w:p>
      <w:pPr>
        <w:spacing w:after="0" w:line="166" w:lineRule="exact"/>
        <w:rPr>
          <w:sz w:val="20"/>
          <w:szCs w:val="20"/>
          <w:color w:val="auto"/>
        </w:rPr>
      </w:pPr>
    </w:p>
    <w:p>
      <w:pPr>
        <w:ind w:right="20" w:firstLine="496"/>
        <w:spacing w:after="0" w:line="248" w:lineRule="auto"/>
        <w:rPr>
          <w:sz w:val="20"/>
          <w:szCs w:val="20"/>
          <w:color w:val="auto"/>
        </w:rPr>
      </w:pPr>
      <w:r>
        <w:rPr>
          <w:rFonts w:ascii="Times New Roman" w:cs="Times New Roman" w:eastAsia="Times New Roman" w:hAnsi="Times New Roman"/>
          <w:sz w:val="17"/>
          <w:szCs w:val="17"/>
          <w:b w:val="1"/>
          <w:bCs w:val="1"/>
          <w:color w:val="auto"/>
        </w:rPr>
        <w:t xml:space="preserve">2.1Warrant Price. </w:t>
      </w:r>
      <w:r>
        <w:rPr>
          <w:rFonts w:ascii="Times New Roman" w:cs="Times New Roman" w:eastAsia="Times New Roman" w:hAnsi="Times New Roman"/>
          <w:sz w:val="17"/>
          <w:szCs w:val="17"/>
          <w:color w:val="auto"/>
        </w:rPr>
        <w:t>During the period specified in Section 2.2, each Warrant shall, subject to the terms of this Agreement and the applicable Warrant Certificate,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entitle the holder thereof to purchase the principal amount of Warrant Debt Securities specified in the applicable Warrant Certificate at an exercise price of [•]% of the principal amount thereof [plus accrued amortization, if any, of the original issue discount of the Warrant Debt Securities] [plus accrued interest, if any, from the most recent date from which interest shall have been paid on the Warrant Debt Securities or, if no interest shall have been paid on the Warrant Debt Securities, from the date of their initial issuance.] [The original issue discount ($[•] for each $1,000 principal amount of Warrant Debt Securities) will be amortized at a [•]% annual rate, computed on a[n] [semi-] annual basis [using a 360-day year consisting of twelve 30-day months].] Such purchase price for the Warrant Debt Securities is referred to in this Agreement as the “</w:t>
      </w:r>
      <w:r>
        <w:rPr>
          <w:rFonts w:ascii="Times New Roman" w:cs="Times New Roman" w:eastAsia="Times New Roman" w:hAnsi="Times New Roman"/>
          <w:sz w:val="17"/>
          <w:szCs w:val="17"/>
          <w:b w:val="1"/>
          <w:bCs w:val="1"/>
          <w:i w:val="1"/>
          <w:iCs w:val="1"/>
          <w:color w:val="auto"/>
        </w:rPr>
        <w:t>Warrant Price.</w:t>
      </w:r>
    </w:p>
    <w:p>
      <w:pPr>
        <w:spacing w:after="0" w:line="148" w:lineRule="exact"/>
        <w:rPr>
          <w:sz w:val="20"/>
          <w:szCs w:val="20"/>
          <w:color w:val="auto"/>
        </w:rPr>
      </w:pPr>
    </w:p>
    <w:p>
      <w:pPr>
        <w:ind w:firstLine="496"/>
        <w:spacing w:after="0" w:line="251" w:lineRule="auto"/>
        <w:rPr>
          <w:sz w:val="20"/>
          <w:szCs w:val="20"/>
          <w:color w:val="auto"/>
        </w:rPr>
      </w:pPr>
      <w:r>
        <w:rPr>
          <w:rFonts w:ascii="Times New Roman" w:cs="Times New Roman" w:eastAsia="Times New Roman" w:hAnsi="Times New Roman"/>
          <w:sz w:val="17"/>
          <w:szCs w:val="17"/>
          <w:b w:val="1"/>
          <w:bCs w:val="1"/>
          <w:color w:val="auto"/>
        </w:rPr>
        <w:t xml:space="preserve">2.2Duration of Warrants. </w:t>
      </w:r>
      <w:r>
        <w:rPr>
          <w:rFonts w:ascii="Times New Roman" w:cs="Times New Roman" w:eastAsia="Times New Roman" w:hAnsi="Times New Roman"/>
          <w:sz w:val="17"/>
          <w:szCs w:val="17"/>
          <w:color w:val="auto"/>
        </w:rPr>
        <w:t>Each Warrant may be exercised in whole or in part at any time, as specified herein, on or after [the date thereof] [•] and at or before [•]</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p.m., [City] time, on [•] or such later date as the Company may designate by notice to the Warrant Agent and the holders of Warrant Certificates mailed to their addresses as set forth in the record books of the Warrant Agent (the “</w:t>
      </w:r>
      <w:r>
        <w:rPr>
          <w:rFonts w:ascii="Times New Roman" w:cs="Times New Roman" w:eastAsia="Times New Roman" w:hAnsi="Times New Roman"/>
          <w:sz w:val="17"/>
          <w:szCs w:val="17"/>
          <w:b w:val="1"/>
          <w:bCs w:val="1"/>
          <w:i w:val="1"/>
          <w:iCs w:val="1"/>
          <w:color w:val="auto"/>
        </w:rPr>
        <w:t>Expiration Date</w:t>
      </w:r>
      <w:r>
        <w:rPr>
          <w:rFonts w:ascii="Times New Roman" w:cs="Times New Roman" w:eastAsia="Times New Roman" w:hAnsi="Times New Roman"/>
          <w:sz w:val="17"/>
          <w:szCs w:val="17"/>
          <w:color w:val="auto"/>
        </w:rPr>
        <w:t>”). Each Warrant not exercised at or before [•] p.m., [City] time, on the Expiration Date shall become void, and all rights of the holder of the Warrant Certificate evidencing such Warrant under this Agreement shall cease.</w:t>
      </w:r>
    </w:p>
    <w:p>
      <w:pPr>
        <w:spacing w:after="0" w:line="1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2.3Exercise of Warrants</w:t>
      </w:r>
      <w:r>
        <w:rPr>
          <w:rFonts w:ascii="Times New Roman" w:cs="Times New Roman" w:eastAsia="Times New Roman" w:hAnsi="Times New Roman"/>
          <w:sz w:val="17"/>
          <w:szCs w:val="17"/>
          <w:color w:val="auto"/>
        </w:rPr>
        <w:t>.</w:t>
      </w:r>
    </w:p>
    <w:p>
      <w:pPr>
        <w:spacing w:after="0" w:line="177" w:lineRule="exact"/>
        <w:rPr>
          <w:sz w:val="20"/>
          <w:szCs w:val="20"/>
          <w:color w:val="auto"/>
        </w:rPr>
      </w:pPr>
    </w:p>
    <w:p>
      <w:pPr>
        <w:ind w:firstLine="993"/>
        <w:spacing w:after="0" w:line="248" w:lineRule="auto"/>
        <w:rPr>
          <w:sz w:val="20"/>
          <w:szCs w:val="20"/>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7"/>
          <w:szCs w:val="17"/>
          <w:color w:val="auto"/>
        </w:rPr>
        <w:t>During the period specified in Section 2.2, the Warrants may be exercised to purchase a whole number of Warrant Debt Securities in registered form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providing certain information as set forth on the reverse side of the Warrant Certificate and by paying in full, in lawful money of the United States of America, [in cash or by certified check or official bank check in New York Clearing House funds] [by bank wire transfer in immediately available funds] the Warrant Price for each Warrant Debt Security with respect to which a Warrant is being exercised to the Warrant Agent at its corporate trust office, provided that such exercise is subject to receipt within five business days of such payment by the Warrant Agent of the</w:t>
      </w:r>
    </w:p>
    <w:p>
      <w:pPr>
        <w:sectPr>
          <w:pgSz w:w="11900" w:h="16838" w:orient="portrait"/>
          <w:cols w:equalWidth="0" w:num="1">
            <w:col w:w="11240"/>
          </w:cols>
          <w:pgMar w:left="300" w:top="1118" w:right="359" w:bottom="1440" w:gutter="0" w:footer="0" w:header="0"/>
        </w:sectPr>
      </w:pPr>
    </w:p>
    <w:bookmarkStart w:id="144" w:name="page145"/>
    <w:bookmarkEnd w:id="144"/>
    <w:p>
      <w:pPr>
        <w:ind w:right="20"/>
        <w:spacing w:after="0" w:line="245" w:lineRule="auto"/>
        <w:rPr>
          <w:sz w:val="20"/>
          <w:szCs w:val="20"/>
          <w:color w:val="auto"/>
        </w:rPr>
      </w:pPr>
      <w:r>
        <w:rPr>
          <w:rFonts w:ascii="Times New Roman" w:cs="Times New Roman" w:eastAsia="Times New Roman" w:hAnsi="Times New Roman"/>
          <w:sz w:val="17"/>
          <w:szCs w:val="17"/>
          <w:color w:val="auto"/>
        </w:rPr>
        <w:t>Warrant Certificate with the form of election to purchase Warrant Debt Securities set forth on the reverse side of the Warrant Certificate properly completed and duly executed. The date on which payment in full of the Warrant Price is received by the Warrant Agent shall, subject to receipt of the Warrant Certificate as aforesaid, be deemed to be the date on which the Warrant is exercised; provided, however, that if, at the date of receipt of such Warrant Certificates and payment in full of the Warrant Price, the transfer books for the Warrant Debt Securities purchasable upon the exercise of such Warrants shall be closed, no such receipt of such Warrant Certificates and no such payment of such Warrant Price shall be effective to constitute the person so designated to be named as the holder of record of such Warrant Debt Securities on such date, but shall be effective to constitute such person as the holder of record of such Warrant Debt Securities for all purposes at the opening of business on the next succeeding day on which the transfer books for the Warrant Debt Securities purchasable upon the exercise of such Warrants shall be opened, and the certificates for the Warrant Debt Securities in respect of which such Warrants are then exercised shall be issuable as of the date on such next succeeding day on which the transfer books shall next be opened, and until such date the Company shall be under no duty to deliver any certificate for such Warrant Debt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w:t>
      </w:r>
    </w:p>
    <w:p>
      <w:pPr>
        <w:spacing w:after="0" w:line="145" w:lineRule="exact"/>
        <w:rPr>
          <w:sz w:val="20"/>
          <w:szCs w:val="20"/>
          <w:color w:val="auto"/>
        </w:rPr>
      </w:pPr>
    </w:p>
    <w:p>
      <w:pPr>
        <w:ind w:right="100" w:firstLine="993"/>
        <w:spacing w:after="0" w:line="255" w:lineRule="auto"/>
        <w:rPr>
          <w:sz w:val="20"/>
          <w:szCs w:val="20"/>
          <w:color w:val="auto"/>
        </w:rPr>
      </w:pPr>
      <w:r>
        <w:rPr>
          <w:rFonts w:ascii="Times New Roman" w:cs="Times New Roman" w:eastAsia="Times New Roman" w:hAnsi="Times New Roman"/>
          <w:sz w:val="17"/>
          <w:szCs w:val="17"/>
          <w:b w:val="1"/>
          <w:bCs w:val="1"/>
          <w:color w:val="auto"/>
        </w:rPr>
        <w:t>(b)</w:t>
      </w:r>
      <w:r>
        <w:rPr>
          <w:rFonts w:ascii="Times New Roman" w:cs="Times New Roman" w:eastAsia="Times New Roman" w:hAnsi="Times New Roman"/>
          <w:sz w:val="17"/>
          <w:szCs w:val="17"/>
          <w:color w:val="auto"/>
        </w:rPr>
        <w:t>The Warrant Agent shall, from time to time, as promptly as practicable, advise the Company of (i) the number of Warrant Debt Securities with respect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which Warrants were exercised, (ii) the instructions of each holder of the Warrant Certificates evidencing such Warrants with respect to delivery of the Warrant Debt Securities to which such holder is entitled upon such exercise, (iii) delivery of Warrant Certificates evidencing the balance, if any, of the Warrants for the remaining Warrant Debt Securities after such exercise, and (iv) such other information as the Company or the Trustee shall reasonably require.</w:t>
      </w:r>
    </w:p>
    <w:p>
      <w:pPr>
        <w:spacing w:after="0" w:line="131" w:lineRule="exact"/>
        <w:rPr>
          <w:sz w:val="20"/>
          <w:szCs w:val="20"/>
          <w:color w:val="auto"/>
        </w:rPr>
      </w:pPr>
    </w:p>
    <w:p>
      <w:pPr>
        <w:ind w:firstLine="993"/>
        <w:spacing w:after="0" w:line="251" w:lineRule="auto"/>
        <w:rPr>
          <w:sz w:val="20"/>
          <w:szCs w:val="20"/>
          <w:color w:val="auto"/>
        </w:rPr>
      </w:pP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7"/>
          <w:szCs w:val="17"/>
          <w:color w:val="auto"/>
        </w:rPr>
        <w:t>As soon as practicable after the exercise of any Warrant, the Company shall issue pursuant to the Indenture, in authorized denominations, to or upon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order of the holder of the Warrant Certificate evidencing such Warrant the Warrant Debt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Debt Securities remaining unexercised.</w:t>
      </w:r>
    </w:p>
    <w:p>
      <w:pPr>
        <w:spacing w:after="0" w:line="136" w:lineRule="exact"/>
        <w:rPr>
          <w:sz w:val="20"/>
          <w:szCs w:val="20"/>
          <w:color w:val="auto"/>
        </w:rPr>
      </w:pPr>
    </w:p>
    <w:p>
      <w:pPr>
        <w:ind w:right="20" w:firstLine="993"/>
        <w:spacing w:after="0" w:line="279" w:lineRule="auto"/>
        <w:rPr>
          <w:sz w:val="20"/>
          <w:szCs w:val="20"/>
          <w:color w:val="auto"/>
        </w:rPr>
      </w:pPr>
      <w:r>
        <w:rPr>
          <w:rFonts w:ascii="Times New Roman" w:cs="Times New Roman" w:eastAsia="Times New Roman" w:hAnsi="Times New Roman"/>
          <w:sz w:val="16"/>
          <w:szCs w:val="16"/>
          <w:b w:val="1"/>
          <w:bCs w:val="1"/>
          <w:color w:val="auto"/>
        </w:rPr>
        <w:t>(d)</w:t>
      </w:r>
      <w:r>
        <w:rPr>
          <w:rFonts w:ascii="Times New Roman" w:cs="Times New Roman" w:eastAsia="Times New Roman" w:hAnsi="Times New Roman"/>
          <w:sz w:val="16"/>
          <w:szCs w:val="16"/>
          <w:color w:val="auto"/>
        </w:rPr>
        <w:t>The Company shall not be required to pay any stamp or other tax or other governmental charge required to be paid in connection with any transfer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involved in the issue of the Warrant Debt Securities, and in the event that any such transfer is involved, the Company shall not be required to issue or deliver any Warrant Debt Securities until such tax or other charge shall have been paid or it has been established to the Company’s satisfaction that no such tax or other charge is due.</w:t>
      </w:r>
    </w:p>
    <w:p>
      <w:pPr>
        <w:sectPr>
          <w:pgSz w:w="11900" w:h="16838" w:orient="portrait"/>
          <w:cols w:equalWidth="0" w:num="1">
            <w:col w:w="11240"/>
          </w:cols>
          <w:pgMar w:left="300" w:top="1122" w:right="359" w:bottom="1440" w:gutter="0" w:footer="0" w:header="0"/>
        </w:sectPr>
      </w:pPr>
    </w:p>
    <w:bookmarkStart w:id="145" w:name="page146"/>
    <w:bookmarkEnd w:id="145"/>
    <w:p>
      <w:pPr>
        <w:ind w:right="100" w:firstLine="993"/>
        <w:spacing w:after="0" w:line="270" w:lineRule="auto"/>
        <w:rPr>
          <w:sz w:val="20"/>
          <w:szCs w:val="20"/>
          <w:color w:val="auto"/>
        </w:rPr>
      </w:pPr>
      <w:r>
        <w:rPr>
          <w:rFonts w:ascii="Times New Roman" w:cs="Times New Roman" w:eastAsia="Times New Roman" w:hAnsi="Times New Roman"/>
          <w:sz w:val="17"/>
          <w:szCs w:val="17"/>
          <w:b w:val="1"/>
          <w:bCs w:val="1"/>
          <w:color w:val="auto"/>
        </w:rPr>
        <w:t>(e)</w:t>
      </w:r>
      <w:r>
        <w:rPr>
          <w:rFonts w:ascii="Times New Roman" w:cs="Times New Roman" w:eastAsia="Times New Roman" w:hAnsi="Times New Roman"/>
          <w:sz w:val="17"/>
          <w:szCs w:val="17"/>
          <w:color w:val="auto"/>
        </w:rPr>
        <w:t>Prior to the issuance of any Warrants there shall have been reserved, and the Company shall at all times through the Expiration Date keep reserved, out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its authorized but unissued Warrant Debt Securities, a number of shares sufficient to provide for the exercise of the Warrants.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3</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OTHER PROVISIONS RELATING TO RIGHTS OF HOLDERS OF WARRANT CERTIFICATES</w:t>
      </w:r>
    </w:p>
    <w:p>
      <w:pPr>
        <w:spacing w:after="0" w:line="166" w:lineRule="exact"/>
        <w:rPr>
          <w:sz w:val="20"/>
          <w:szCs w:val="20"/>
          <w:color w:val="auto"/>
        </w:rPr>
      </w:pPr>
    </w:p>
    <w:p>
      <w:pPr>
        <w:ind w:right="40" w:firstLine="496"/>
        <w:spacing w:after="0" w:line="255" w:lineRule="auto"/>
        <w:rPr>
          <w:sz w:val="20"/>
          <w:szCs w:val="20"/>
          <w:color w:val="auto"/>
        </w:rPr>
      </w:pPr>
      <w:r>
        <w:rPr>
          <w:rFonts w:ascii="Times New Roman" w:cs="Times New Roman" w:eastAsia="Times New Roman" w:hAnsi="Times New Roman"/>
          <w:sz w:val="17"/>
          <w:szCs w:val="17"/>
          <w:b w:val="1"/>
          <w:bCs w:val="1"/>
          <w:color w:val="auto"/>
        </w:rPr>
        <w:t xml:space="preserve">3.1No Rights as Holder of Warrant Debt Securities Conferred by Warrants or Warrant Certificates. </w:t>
      </w:r>
      <w:r>
        <w:rPr>
          <w:rFonts w:ascii="Times New Roman" w:cs="Times New Roman" w:eastAsia="Times New Roman" w:hAnsi="Times New Roman"/>
          <w:sz w:val="17"/>
          <w:szCs w:val="17"/>
          <w:color w:val="auto"/>
        </w:rPr>
        <w:t>No Warrant Certificate or Warrant evidenced thereby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entitle the holder thereof to any of the rights of a holder of Warrant Debt Securities, including, without limitation, the right to receive the payment of principal of (or premium, if any) or interest, if any, on the Warrant Debt Securities or to enforce any of the covenants in the Indenture.</w:t>
      </w:r>
    </w:p>
    <w:p>
      <w:pPr>
        <w:spacing w:after="0" w:line="132" w:lineRule="exact"/>
        <w:rPr>
          <w:sz w:val="20"/>
          <w:szCs w:val="20"/>
          <w:color w:val="auto"/>
        </w:rPr>
      </w:pPr>
    </w:p>
    <w:p>
      <w:pPr>
        <w:ind w:firstLine="496"/>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3.2Lost, Stolen, Mutilated or Destroyed Warrant Certificates. </w:t>
      </w:r>
      <w:r>
        <w:rPr>
          <w:rFonts w:ascii="Times New Roman" w:cs="Times New Roman" w:eastAsia="Times New Roman" w:hAnsi="Times New Roman"/>
          <w:sz w:val="16"/>
          <w:szCs w:val="16"/>
          <w:color w:val="auto"/>
        </w:rPr>
        <w:t>Upon receipt by the Warrant Agent of evidence reasonably satisfactory to it and the Company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principal amount of Warrant Debt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w:t>
      </w:r>
    </w:p>
    <w:p>
      <w:pPr>
        <w:spacing w:after="0" w:line="144" w:lineRule="exact"/>
        <w:rPr>
          <w:sz w:val="20"/>
          <w:szCs w:val="20"/>
          <w:color w:val="auto"/>
        </w:rPr>
      </w:pPr>
    </w:p>
    <w:p>
      <w:pPr>
        <w:ind w:right="20" w:firstLine="496"/>
        <w:spacing w:after="0" w:line="248" w:lineRule="auto"/>
        <w:rPr>
          <w:sz w:val="20"/>
          <w:szCs w:val="20"/>
          <w:color w:val="auto"/>
        </w:rPr>
      </w:pPr>
      <w:r>
        <w:rPr>
          <w:rFonts w:ascii="Times New Roman" w:cs="Times New Roman" w:eastAsia="Times New Roman" w:hAnsi="Times New Roman"/>
          <w:sz w:val="17"/>
          <w:szCs w:val="17"/>
          <w:b w:val="1"/>
          <w:bCs w:val="1"/>
          <w:color w:val="auto"/>
        </w:rPr>
        <w:t xml:space="preserve">3.3Holder of Warrant Certificate May Enforce Rights. </w:t>
      </w:r>
      <w:r>
        <w:rPr>
          <w:rFonts w:ascii="Times New Roman" w:cs="Times New Roman" w:eastAsia="Times New Roman" w:hAnsi="Times New Roman"/>
          <w:sz w:val="17"/>
          <w:szCs w:val="17"/>
          <w:color w:val="auto"/>
        </w:rPr>
        <w:t>Notwithstanding any of the provisions of this Agreement, any holder of a Warrant Certificate, without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consent of the Warrant Agent, , the Trustee, the holder of any Warrant Debt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Certificates and in this Agreement.</w:t>
      </w:r>
    </w:p>
    <w:p>
      <w:pPr>
        <w:sectPr>
          <w:pgSz w:w="11900" w:h="16838" w:orient="portrait"/>
          <w:cols w:equalWidth="0" w:num="1">
            <w:col w:w="11260"/>
          </w:cols>
          <w:pgMar w:left="300" w:top="1118" w:right="339" w:bottom="1440" w:gutter="0" w:footer="0" w:header="0"/>
        </w:sectPr>
      </w:pPr>
    </w:p>
    <w:bookmarkStart w:id="146" w:name="page147"/>
    <w:bookmarkEnd w:id="146"/>
    <w:p>
      <w:pPr>
        <w:ind w:firstLine="496"/>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3.4Merger, Sale, Conveyance or Lease. </w:t>
      </w:r>
      <w:r>
        <w:rPr>
          <w:rFonts w:ascii="Times New Roman" w:cs="Times New Roman" w:eastAsia="Times New Roman" w:hAnsi="Times New Roman"/>
          <w:sz w:val="16"/>
          <w:szCs w:val="16"/>
          <w:color w:val="auto"/>
        </w:rPr>
        <w:t>In case of (a) any share exchange, merger or similar transaction of the Company with or into another person or entity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(other than a share exchange, merger or similar transaction in which the Company is the acquiring or surviving corporation) or (b) the sale, exchange, lease, transfer or other disposition of all or substantially all of the properties and assets of the Company as an entirety (in any such case, a “</w:t>
      </w:r>
      <w:r>
        <w:rPr>
          <w:rFonts w:ascii="Times New Roman" w:cs="Times New Roman" w:eastAsia="Times New Roman" w:hAnsi="Times New Roman"/>
          <w:sz w:val="16"/>
          <w:szCs w:val="16"/>
          <w:b w:val="1"/>
          <w:bCs w:val="1"/>
          <w:i w:val="1"/>
          <w:iCs w:val="1"/>
          <w:color w:val="auto"/>
        </w:rPr>
        <w:t>Reorganization Event</w:t>
      </w:r>
      <w:r>
        <w:rPr>
          <w:rFonts w:ascii="Times New Roman" w:cs="Times New Roman" w:eastAsia="Times New Roman" w:hAnsi="Times New Roman"/>
          <w:sz w:val="16"/>
          <w:szCs w:val="16"/>
          <w:color w:val="auto"/>
        </w:rPr>
        <w:t>”), then, as a condition of such Reorganization Event, lawful provisions shall be made, and duly executed documents evidencing the same from the Company’s successor shall be delivered to the holders of the Warrants, so that such successor shall succeed to and be substituted for the Company, and assume all the Company’s obligations under, this Agreement and the Warrants. The Company shall thereupon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Debt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w:t>
      </w:r>
    </w:p>
    <w:p>
      <w:pPr>
        <w:spacing w:after="0" w:line="129" w:lineRule="exact"/>
        <w:rPr>
          <w:sz w:val="20"/>
          <w:szCs w:val="20"/>
          <w:color w:val="auto"/>
        </w:rPr>
      </w:pPr>
    </w:p>
    <w:p>
      <w:pPr>
        <w:ind w:right="20" w:firstLine="496"/>
        <w:spacing w:after="0" w:line="268" w:lineRule="auto"/>
        <w:rPr>
          <w:sz w:val="20"/>
          <w:szCs w:val="20"/>
          <w:color w:val="auto"/>
        </w:rPr>
      </w:pPr>
      <w:r>
        <w:rPr>
          <w:rFonts w:ascii="Times New Roman" w:cs="Times New Roman" w:eastAsia="Times New Roman" w:hAnsi="Times New Roman"/>
          <w:sz w:val="16"/>
          <w:szCs w:val="16"/>
          <w:b w:val="1"/>
          <w:bCs w:val="1"/>
          <w:color w:val="auto"/>
        </w:rPr>
        <w:t xml:space="preserve">3.5Notice to Warrantholders. </w:t>
      </w:r>
      <w:r>
        <w:rPr>
          <w:rFonts w:ascii="Times New Roman" w:cs="Times New Roman" w:eastAsia="Times New Roman" w:hAnsi="Times New Roman"/>
          <w:sz w:val="16"/>
          <w:szCs w:val="16"/>
          <w:color w:val="auto"/>
        </w:rPr>
        <w:t>In case the Company shall (a) effect any Reorganization Event or (b) make any distribution on or in respect of the [title of Warrant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Debt Securities] in connection with the dissolution, liquidation or winding up of the Company, then the Company shall mail to each holder of Warrants at such holder’s address as it shall appear on the books of the Warrant Agent, at least ten days prior to the applicable date hereinafter specified, a notice stating the date on which such Reorganization Event, dissolution, liquidation or winding up is expected to become effective, and the date as of which it is expected that holders of [title of Warrant Debt Securities] of record shall be entitled to exchange their shares of [title of Warrant Debt Securities] for securities or other property deliverable upon such Reorganization Event, dissolution, liquidation or winding up. No failure to mail such notice nor any defect therein or in the mailing thereof shall affect any such transaction.</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4</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EXCHANGE AND TRANSFER OF WARRANT CERTIFICATES</w:t>
      </w:r>
    </w:p>
    <w:p>
      <w:pPr>
        <w:spacing w:after="0" w:line="166" w:lineRule="exact"/>
        <w:rPr>
          <w:sz w:val="20"/>
          <w:szCs w:val="20"/>
          <w:color w:val="auto"/>
        </w:rPr>
      </w:pPr>
    </w:p>
    <w:p>
      <w:pPr>
        <w:ind w:firstLine="496"/>
        <w:spacing w:after="0" w:line="255" w:lineRule="auto"/>
        <w:rPr>
          <w:sz w:val="20"/>
          <w:szCs w:val="20"/>
          <w:color w:val="auto"/>
        </w:rPr>
      </w:pPr>
      <w:r>
        <w:rPr>
          <w:rFonts w:ascii="Times New Roman" w:cs="Times New Roman" w:eastAsia="Times New Roman" w:hAnsi="Times New Roman"/>
          <w:sz w:val="17"/>
          <w:szCs w:val="17"/>
          <w:b w:val="1"/>
          <w:bCs w:val="1"/>
          <w:color w:val="auto"/>
        </w:rPr>
        <w:t xml:space="preserve">4.1Exchange and Transfer of Warrant Certificates. </w:t>
      </w:r>
      <w:r>
        <w:rPr>
          <w:rFonts w:ascii="Times New Roman" w:cs="Times New Roman" w:eastAsia="Times New Roman" w:hAnsi="Times New Roman"/>
          <w:sz w:val="17"/>
          <w:szCs w:val="17"/>
          <w:color w:val="auto"/>
        </w:rPr>
        <w:t>Upon surrender at the corporate trust office of the Warrant Agent, Warrant Certificates evidencing Warrants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may be exchanged for Warrant Certificates in other denominations evidencing such Warrants or the transfer thereof may be registered in whole or in part; provided that such other Warrant Certificates evidence Warrants for the same aggregate principal amount of Warrant Debt Securities as the Warrant</w:t>
      </w:r>
    </w:p>
    <w:p>
      <w:pPr>
        <w:sectPr>
          <w:pgSz w:w="11900" w:h="16838" w:orient="portrait"/>
          <w:cols w:equalWidth="0" w:num="1">
            <w:col w:w="11260"/>
          </w:cols>
          <w:pgMar w:left="300" w:top="1118" w:right="339" w:bottom="1440" w:gutter="0" w:footer="0" w:header="0"/>
        </w:sectPr>
      </w:pPr>
    </w:p>
    <w:bookmarkStart w:id="147" w:name="page148"/>
    <w:bookmarkEnd w:id="147"/>
    <w:p>
      <w:pPr>
        <w:spacing w:after="0" w:line="245" w:lineRule="auto"/>
        <w:rPr>
          <w:sz w:val="20"/>
          <w:szCs w:val="20"/>
          <w:color w:val="auto"/>
        </w:rPr>
      </w:pPr>
      <w:r>
        <w:rPr>
          <w:rFonts w:ascii="Times New Roman" w:cs="Times New Roman" w:eastAsia="Times New Roman" w:hAnsi="Times New Roman"/>
          <w:sz w:val="17"/>
          <w:szCs w:val="17"/>
          <w:color w:val="auto"/>
        </w:rPr>
        <w:t>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Debt Security or a number of Warrants for a whole number of Warrant Debt Securities and a fraction of a Warrant Debt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w:t>
      </w:r>
    </w:p>
    <w:p>
      <w:pPr>
        <w:spacing w:after="0" w:line="145" w:lineRule="exact"/>
        <w:rPr>
          <w:sz w:val="20"/>
          <w:szCs w:val="20"/>
          <w:color w:val="auto"/>
        </w:rPr>
      </w:pPr>
    </w:p>
    <w:p>
      <w:pPr>
        <w:ind w:right="80" w:firstLine="496"/>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4.2Treatment of Holders of Warrant Certificates. </w:t>
      </w:r>
      <w:r>
        <w:rPr>
          <w:rFonts w:ascii="Times New Roman" w:cs="Times New Roman" w:eastAsia="Times New Roman" w:hAnsi="Times New Roman"/>
          <w:sz w:val="17"/>
          <w:szCs w:val="17"/>
          <w:color w:val="auto"/>
        </w:rPr>
        <w:t>The Company, the Warrant Agent and all other persons may treat the registered holder of a Warrant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Certificate as the absolute owner thereof for any purpose and as the person entitled to exercise the rights represented by the Warrants evidenced thereby, any notice to the contrary notwithstanding.</w:t>
      </w:r>
    </w:p>
    <w:p>
      <w:pPr>
        <w:spacing w:after="0" w:line="125" w:lineRule="exact"/>
        <w:rPr>
          <w:sz w:val="20"/>
          <w:szCs w:val="20"/>
          <w:color w:val="auto"/>
        </w:rPr>
      </w:pPr>
    </w:p>
    <w:p>
      <w:pPr>
        <w:ind w:right="60" w:firstLine="496"/>
        <w:spacing w:after="0" w:line="251" w:lineRule="auto"/>
        <w:rPr>
          <w:sz w:val="20"/>
          <w:szCs w:val="20"/>
          <w:color w:val="auto"/>
        </w:rPr>
      </w:pPr>
      <w:r>
        <w:rPr>
          <w:rFonts w:ascii="Times New Roman" w:cs="Times New Roman" w:eastAsia="Times New Roman" w:hAnsi="Times New Roman"/>
          <w:sz w:val="17"/>
          <w:szCs w:val="17"/>
          <w:b w:val="1"/>
          <w:bCs w:val="1"/>
          <w:color w:val="auto"/>
        </w:rPr>
        <w:t xml:space="preserve">4.3Cancellation of Warrant Certificates. </w:t>
      </w:r>
      <w:r>
        <w:rPr>
          <w:rFonts w:ascii="Times New Roman" w:cs="Times New Roman" w:eastAsia="Times New Roman" w:hAnsi="Times New Roman"/>
          <w:sz w:val="17"/>
          <w:szCs w:val="17"/>
          <w:color w:val="auto"/>
        </w:rPr>
        <w:t>Any Warrant Certificate surrendered for exchange, registration of transfer or exercise of the Warrants evidenced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5</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CONCERNING THE WARRANT AGENT</w:t>
      </w:r>
    </w:p>
    <w:p>
      <w:pPr>
        <w:spacing w:after="0" w:line="166" w:lineRule="exact"/>
        <w:rPr>
          <w:sz w:val="20"/>
          <w:szCs w:val="20"/>
          <w:color w:val="auto"/>
        </w:rPr>
      </w:pPr>
    </w:p>
    <w:p>
      <w:pPr>
        <w:ind w:right="160" w:firstLine="496"/>
        <w:spacing w:after="0" w:line="255" w:lineRule="auto"/>
        <w:rPr>
          <w:sz w:val="20"/>
          <w:szCs w:val="20"/>
          <w:color w:val="auto"/>
        </w:rPr>
      </w:pPr>
      <w:r>
        <w:rPr>
          <w:rFonts w:ascii="Times New Roman" w:cs="Times New Roman" w:eastAsia="Times New Roman" w:hAnsi="Times New Roman"/>
          <w:sz w:val="17"/>
          <w:szCs w:val="17"/>
          <w:b w:val="1"/>
          <w:bCs w:val="1"/>
          <w:color w:val="auto"/>
        </w:rPr>
        <w:t xml:space="preserve">5.1Warrant Agent. </w:t>
      </w:r>
      <w:r>
        <w:rPr>
          <w:rFonts w:ascii="Times New Roman" w:cs="Times New Roman" w:eastAsia="Times New Roman" w:hAnsi="Times New Roman"/>
          <w:sz w:val="17"/>
          <w:szCs w:val="17"/>
          <w:color w:val="auto"/>
        </w:rPr>
        <w:t>The Company hereby appoints [•] as Warrant Agent of the Company in respect of the Warrants and the Warrant Certificates upon the terms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subject to the 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w:t>
      </w:r>
    </w:p>
    <w:p>
      <w:pPr>
        <w:sectPr>
          <w:pgSz w:w="11900" w:h="16838" w:orient="portrait"/>
          <w:cols w:equalWidth="0" w:num="1">
            <w:col w:w="11280"/>
          </w:cols>
          <w:pgMar w:left="300" w:top="1122" w:right="31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7"/>
          <w:szCs w:val="17"/>
          <w:color w:val="auto"/>
        </w:rPr>
        <w:t>powers and authority contained in the Warrant Certificates are subject to and governed by the terms and provisions hereof.</w:t>
      </w:r>
    </w:p>
    <w:p>
      <w:pPr>
        <w:spacing w:after="0" w:line="162" w:lineRule="exact"/>
        <w:rPr>
          <w:sz w:val="20"/>
          <w:szCs w:val="20"/>
          <w:color w:val="auto"/>
        </w:rPr>
      </w:pPr>
    </w:p>
    <w:p>
      <w:pPr>
        <w:ind w:right="180" w:firstLine="496"/>
        <w:spacing w:after="0" w:line="302" w:lineRule="auto"/>
        <w:rPr>
          <w:sz w:val="20"/>
          <w:szCs w:val="20"/>
          <w:color w:val="auto"/>
        </w:rPr>
      </w:pPr>
      <w:r>
        <w:rPr>
          <w:rFonts w:ascii="Times New Roman" w:cs="Times New Roman" w:eastAsia="Times New Roman" w:hAnsi="Times New Roman"/>
          <w:sz w:val="16"/>
          <w:szCs w:val="16"/>
          <w:b w:val="1"/>
          <w:bCs w:val="1"/>
          <w:color w:val="auto"/>
        </w:rPr>
        <w:t xml:space="preserve">5.2Conditions of Warrant Agent’s Obligations. </w:t>
      </w:r>
      <w:r>
        <w:rPr>
          <w:rFonts w:ascii="Times New Roman" w:cs="Times New Roman" w:eastAsia="Times New Roman" w:hAnsi="Times New Roman"/>
          <w:sz w:val="16"/>
          <w:szCs w:val="16"/>
          <w:color w:val="auto"/>
        </w:rPr>
        <w:t>The Warrant Agent accepts its obligations herein set forth upon the terms and conditions hereof, including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following to all of which the Company agrees and to all of which the rights hereunder of the holders from time to time of the Warrant Certificates shall be subject:</w:t>
      </w:r>
    </w:p>
    <w:p>
      <w:pPr>
        <w:spacing w:after="0" w:line="106" w:lineRule="exact"/>
        <w:rPr>
          <w:sz w:val="20"/>
          <w:szCs w:val="20"/>
          <w:color w:val="auto"/>
        </w:rPr>
      </w:pPr>
    </w:p>
    <w:p>
      <w:pPr>
        <w:ind w:firstLine="993"/>
        <w:spacing w:after="0" w:line="249" w:lineRule="auto"/>
        <w:rPr>
          <w:sz w:val="20"/>
          <w:szCs w:val="20"/>
          <w:color w:val="auto"/>
        </w:rPr>
      </w:pPr>
      <w:r>
        <w:rPr>
          <w:rFonts w:ascii="Times New Roman" w:cs="Times New Roman" w:eastAsia="Times New Roman" w:hAnsi="Times New Roman"/>
          <w:sz w:val="17"/>
          <w:szCs w:val="17"/>
          <w:b w:val="1"/>
          <w:bCs w:val="1"/>
          <w:color w:val="auto"/>
        </w:rPr>
        <w:t xml:space="preserve">(a)Compensation and Indemnification. </w:t>
      </w:r>
      <w:r>
        <w:rPr>
          <w:rFonts w:ascii="Times New Roman" w:cs="Times New Roman" w:eastAsia="Times New Roman" w:hAnsi="Times New Roman"/>
          <w:sz w:val="17"/>
          <w:szCs w:val="17"/>
          <w:color w:val="auto"/>
        </w:rPr>
        <w:t>The Company agrees promptly to pay the Warrant Agent the compensation to be agreed upon with the Company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 all services 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w:t>
      </w:r>
    </w:p>
    <w:p>
      <w:pPr>
        <w:spacing w:after="0" w:line="138" w:lineRule="exact"/>
        <w:rPr>
          <w:sz w:val="20"/>
          <w:szCs w:val="20"/>
          <w:color w:val="auto"/>
        </w:rPr>
      </w:pPr>
    </w:p>
    <w:p>
      <w:pPr>
        <w:ind w:right="20" w:firstLine="993"/>
        <w:spacing w:after="0" w:line="255" w:lineRule="auto"/>
        <w:rPr>
          <w:sz w:val="20"/>
          <w:szCs w:val="20"/>
          <w:color w:val="auto"/>
        </w:rPr>
      </w:pPr>
      <w:r>
        <w:rPr>
          <w:rFonts w:ascii="Times New Roman" w:cs="Times New Roman" w:eastAsia="Times New Roman" w:hAnsi="Times New Roman"/>
          <w:sz w:val="17"/>
          <w:szCs w:val="17"/>
          <w:b w:val="1"/>
          <w:bCs w:val="1"/>
          <w:color w:val="auto"/>
        </w:rPr>
        <w:t xml:space="preserve">(b)Agent for the Company. </w:t>
      </w:r>
      <w:r>
        <w:rPr>
          <w:rFonts w:ascii="Times New Roman" w:cs="Times New Roman" w:eastAsia="Times New Roman" w:hAnsi="Times New Roman"/>
          <w:sz w:val="17"/>
          <w:szCs w:val="17"/>
          <w:color w:val="auto"/>
        </w:rPr>
        <w:t>In acting under this Agreement and in connection with the Warrant Certificates, the Warrant Agent is acting solely as agent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Company and does not assume any obligations or relationship of agency or trust for or with any of the holders of Warrant Certificates or beneficial owners of Warrants.</w:t>
      </w:r>
    </w:p>
    <w:p>
      <w:pPr>
        <w:spacing w:after="0" w:line="132" w:lineRule="exact"/>
        <w:rPr>
          <w:sz w:val="20"/>
          <w:szCs w:val="20"/>
          <w:color w:val="auto"/>
        </w:rPr>
      </w:pPr>
    </w:p>
    <w:p>
      <w:pPr>
        <w:ind w:right="40" w:firstLine="993"/>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(c)Counsel. </w:t>
      </w:r>
      <w:r>
        <w:rPr>
          <w:rFonts w:ascii="Times New Roman" w:cs="Times New Roman" w:eastAsia="Times New Roman" w:hAnsi="Times New Roman"/>
          <w:sz w:val="17"/>
          <w:szCs w:val="17"/>
          <w:color w:val="auto"/>
        </w:rPr>
        <w:t>The Warrant Agent may consult with counsel satisfactory to it, which may include counsel for the Company, and the written advice of such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counsel shall be full and complete authorization and protection in respect of any action taken, suffered or omitted by it hereunder in good faith and in accordance with the advice of such counsel.</w:t>
      </w:r>
    </w:p>
    <w:p>
      <w:pPr>
        <w:spacing w:after="0" w:line="125" w:lineRule="exact"/>
        <w:rPr>
          <w:sz w:val="20"/>
          <w:szCs w:val="20"/>
          <w:color w:val="auto"/>
        </w:rPr>
      </w:pPr>
    </w:p>
    <w:p>
      <w:pPr>
        <w:ind w:right="100" w:firstLine="993"/>
        <w:spacing w:after="0" w:line="255" w:lineRule="auto"/>
        <w:rPr>
          <w:sz w:val="20"/>
          <w:szCs w:val="20"/>
          <w:color w:val="auto"/>
        </w:rPr>
      </w:pPr>
      <w:r>
        <w:rPr>
          <w:rFonts w:ascii="Times New Roman" w:cs="Times New Roman" w:eastAsia="Times New Roman" w:hAnsi="Times New Roman"/>
          <w:sz w:val="17"/>
          <w:szCs w:val="17"/>
          <w:b w:val="1"/>
          <w:bCs w:val="1"/>
          <w:color w:val="auto"/>
        </w:rPr>
        <w:t xml:space="preserve">(d)Documents. </w:t>
      </w:r>
      <w:r>
        <w:rPr>
          <w:rFonts w:ascii="Times New Roman" w:cs="Times New Roman" w:eastAsia="Times New Roman" w:hAnsi="Times New Roman"/>
          <w:sz w:val="17"/>
          <w:szCs w:val="17"/>
          <w:color w:val="auto"/>
        </w:rPr>
        <w:t>The Warrant Agent shall be protected and shall incur no liability for or in respect of any action taken or omitted by it in reliance upon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Warrant Certificate, notice, direction, consent, certificate, affidavit, statement or other paper or document reasonably believed by it to be genuine and to have been presented or signed by the proper parties.</w:t>
      </w:r>
    </w:p>
    <w:p>
      <w:pPr>
        <w:spacing w:after="0" w:line="132" w:lineRule="exact"/>
        <w:rPr>
          <w:sz w:val="20"/>
          <w:szCs w:val="20"/>
          <w:color w:val="auto"/>
        </w:rPr>
      </w:pPr>
    </w:p>
    <w:p>
      <w:pPr>
        <w:ind w:right="40" w:firstLine="993"/>
        <w:spacing w:after="0" w:line="271" w:lineRule="auto"/>
        <w:rPr>
          <w:sz w:val="20"/>
          <w:szCs w:val="20"/>
          <w:color w:val="auto"/>
        </w:rPr>
      </w:pPr>
      <w:r>
        <w:rPr>
          <w:rFonts w:ascii="Times New Roman" w:cs="Times New Roman" w:eastAsia="Times New Roman" w:hAnsi="Times New Roman"/>
          <w:sz w:val="16"/>
          <w:szCs w:val="16"/>
          <w:b w:val="1"/>
          <w:bCs w:val="1"/>
          <w:color w:val="auto"/>
        </w:rPr>
        <w:t xml:space="preserve">(e)Certain Transactions. </w:t>
      </w:r>
      <w:r>
        <w:rPr>
          <w:rFonts w:ascii="Times New Roman" w:cs="Times New Roman" w:eastAsia="Times New Roman" w:hAnsi="Times New Roman"/>
          <w:sz w:val="16"/>
          <w:szCs w:val="16"/>
          <w:color w:val="auto"/>
        </w:rPr>
        <w:t>The Warrant Agent, and its officers, directors and employees, may become the owner of, or acquire any interest in, Warrants,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Debt Securities or other obligations of the Company as freely as if it were not the Warrant Agent hereunder. Nothing in this Agreement shall be deemed to prevent the Warrant Agent from acting as trustee under any indenture to which the Company is a party, including, without limitation, as Trustee under the Indenture.</w:t>
      </w:r>
    </w:p>
    <w:p>
      <w:pPr>
        <w:sectPr>
          <w:pgSz w:w="11900" w:h="16838" w:orient="portrait"/>
          <w:cols w:equalWidth="0" w:num="1">
            <w:col w:w="11280"/>
          </w:cols>
          <w:pgMar w:left="300" w:top="1122" w:right="319" w:bottom="1440" w:gutter="0" w:footer="0" w:header="0"/>
        </w:sectPr>
      </w:pPr>
    </w:p>
    <w:bookmarkStart w:id="149" w:name="page150"/>
    <w:bookmarkEnd w:id="149"/>
    <w:p>
      <w:pPr>
        <w:ind w:right="120" w:firstLine="993"/>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(f)No Liability for Interest. </w:t>
      </w:r>
      <w:r>
        <w:rPr>
          <w:rFonts w:ascii="Times New Roman" w:cs="Times New Roman" w:eastAsia="Times New Roman" w:hAnsi="Times New Roman"/>
          <w:sz w:val="17"/>
          <w:szCs w:val="17"/>
          <w:color w:val="auto"/>
        </w:rPr>
        <w:t>Unless otherwise agreed with the Company, the Warrant Agent shall have no liability for interest on any monies at any time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received by it pursuant to any of the provisions of this Agreement or of the Warrant Certificates.</w:t>
      </w:r>
    </w:p>
    <w:p>
      <w:pPr>
        <w:spacing w:after="0" w:line="119" w:lineRule="exact"/>
        <w:rPr>
          <w:sz w:val="20"/>
          <w:szCs w:val="20"/>
          <w:color w:val="auto"/>
        </w:rPr>
      </w:pPr>
    </w:p>
    <w:p>
      <w:pPr>
        <w:ind w:right="740" w:firstLine="993"/>
        <w:spacing w:after="0" w:line="283" w:lineRule="auto"/>
        <w:rPr>
          <w:sz w:val="20"/>
          <w:szCs w:val="20"/>
          <w:color w:val="auto"/>
        </w:rPr>
      </w:pPr>
      <w:r>
        <w:rPr>
          <w:rFonts w:ascii="Times New Roman" w:cs="Times New Roman" w:eastAsia="Times New Roman" w:hAnsi="Times New Roman"/>
          <w:sz w:val="17"/>
          <w:szCs w:val="17"/>
          <w:b w:val="1"/>
          <w:bCs w:val="1"/>
          <w:color w:val="auto"/>
        </w:rPr>
        <w:t xml:space="preserve">(g)No Liability for Invalidity. </w:t>
      </w:r>
      <w:r>
        <w:rPr>
          <w:rFonts w:ascii="Times New Roman" w:cs="Times New Roman" w:eastAsia="Times New Roman" w:hAnsi="Times New Roman"/>
          <w:sz w:val="17"/>
          <w:szCs w:val="17"/>
          <w:color w:val="auto"/>
        </w:rPr>
        <w:t>The Warrant Agent shall have no liability with respect to any invalidity of this Agreement or any of the Warrant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Certificates (except as to the Warrant Agent’s countersignature thereon).</w:t>
      </w:r>
    </w:p>
    <w:p>
      <w:pPr>
        <w:spacing w:after="0" w:line="108" w:lineRule="exact"/>
        <w:rPr>
          <w:sz w:val="20"/>
          <w:szCs w:val="20"/>
          <w:color w:val="auto"/>
        </w:rPr>
      </w:pPr>
    </w:p>
    <w:p>
      <w:pPr>
        <w:ind w:right="120" w:firstLine="993"/>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(h)No Responsibility for Representations. </w:t>
      </w:r>
      <w:r>
        <w:rPr>
          <w:rFonts w:ascii="Times New Roman" w:cs="Times New Roman" w:eastAsia="Times New Roman" w:hAnsi="Times New Roman"/>
          <w:sz w:val="17"/>
          <w:szCs w:val="17"/>
          <w:color w:val="auto"/>
        </w:rPr>
        <w:t>The Warrant Agent shall not be responsible for any of the recitals or representations herein or in the Warrant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Certificates (except as to the Warrant Agent’s countersignature thereon), all of which are made solely by the Company.</w:t>
      </w:r>
    </w:p>
    <w:p>
      <w:pPr>
        <w:spacing w:after="0" w:line="119" w:lineRule="exact"/>
        <w:rPr>
          <w:sz w:val="20"/>
          <w:szCs w:val="20"/>
          <w:color w:val="auto"/>
        </w:rPr>
      </w:pPr>
    </w:p>
    <w:p>
      <w:pPr>
        <w:ind w:firstLine="993"/>
        <w:spacing w:after="0" w:line="248" w:lineRule="auto"/>
        <w:rPr>
          <w:sz w:val="20"/>
          <w:szCs w:val="20"/>
          <w:color w:val="auto"/>
        </w:rPr>
      </w:pPr>
      <w:r>
        <w:rPr>
          <w:rFonts w:ascii="Times New Roman" w:cs="Times New Roman" w:eastAsia="Times New Roman" w:hAnsi="Times New Roman"/>
          <w:sz w:val="17"/>
          <w:szCs w:val="17"/>
          <w:b w:val="1"/>
          <w:bCs w:val="1"/>
          <w:color w:val="auto"/>
        </w:rPr>
        <w:t xml:space="preserve">(i)No Implied Obligations. </w:t>
      </w:r>
      <w:r>
        <w:rPr>
          <w:rFonts w:ascii="Times New Roman" w:cs="Times New Roman" w:eastAsia="Times New Roman" w:hAnsi="Times New Roman"/>
          <w:sz w:val="17"/>
          <w:szCs w:val="17"/>
          <w:color w:val="auto"/>
        </w:rPr>
        <w:t>The Warrant Agent shall be obligated to perform only such duties as are herein and in the Warrant Certificates specifically set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w:t>
      </w:r>
    </w:p>
    <w:p>
      <w:pPr>
        <w:spacing w:after="0" w:line="13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5.3Resignation, Removal and Appointment of Successors</w:t>
      </w:r>
      <w:r>
        <w:rPr>
          <w:rFonts w:ascii="Times New Roman" w:cs="Times New Roman" w:eastAsia="Times New Roman" w:hAnsi="Times New Roman"/>
          <w:sz w:val="17"/>
          <w:szCs w:val="17"/>
          <w:color w:val="auto"/>
        </w:rPr>
        <w:t>.</w:t>
      </w:r>
    </w:p>
    <w:p>
      <w:pPr>
        <w:spacing w:after="0" w:line="166" w:lineRule="exact"/>
        <w:rPr>
          <w:sz w:val="20"/>
          <w:szCs w:val="20"/>
          <w:color w:val="auto"/>
        </w:rPr>
      </w:pPr>
    </w:p>
    <w:p>
      <w:pPr>
        <w:ind w:right="520" w:firstLine="993"/>
        <w:spacing w:after="0" w:line="270" w:lineRule="auto"/>
        <w:rPr>
          <w:sz w:val="20"/>
          <w:szCs w:val="20"/>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7"/>
          <w:szCs w:val="17"/>
          <w:color w:val="auto"/>
        </w:rPr>
        <w:t>The Company agrees, for the benefit of the holders from time to time of the Warrant Certificates, that there shall at all times be a Warrant Agent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hereunder until all the Warrants have been exercised or are no longer exercisable.</w:t>
      </w:r>
    </w:p>
    <w:p>
      <w:pPr>
        <w:spacing w:after="0" w:line="119" w:lineRule="exact"/>
        <w:rPr>
          <w:sz w:val="20"/>
          <w:szCs w:val="20"/>
          <w:color w:val="auto"/>
        </w:rPr>
      </w:pPr>
    </w:p>
    <w:p>
      <w:pPr>
        <w:ind w:right="20" w:firstLine="993"/>
        <w:spacing w:after="0" w:line="249" w:lineRule="auto"/>
        <w:rPr>
          <w:sz w:val="20"/>
          <w:szCs w:val="20"/>
          <w:color w:val="auto"/>
        </w:rPr>
      </w:pPr>
      <w:r>
        <w:rPr>
          <w:rFonts w:ascii="Times New Roman" w:cs="Times New Roman" w:eastAsia="Times New Roman" w:hAnsi="Times New Roman"/>
          <w:sz w:val="17"/>
          <w:szCs w:val="17"/>
          <w:b w:val="1"/>
          <w:bCs w:val="1"/>
          <w:color w:val="auto"/>
        </w:rPr>
        <w:t>(b)</w:t>
      </w:r>
      <w:r>
        <w:rPr>
          <w:rFonts w:ascii="Times New Roman" w:cs="Times New Roman" w:eastAsia="Times New Roman" w:hAnsi="Times New Roman"/>
          <w:sz w:val="17"/>
          <w:szCs w:val="17"/>
          <w:color w:val="auto"/>
        </w:rPr>
        <w:t>The Warrant Agent may at any time resign as agent by giving written notice to the Company of such intention on its part, specifying the date on which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w:t>
      </w:r>
    </w:p>
    <w:p>
      <w:pPr>
        <w:sectPr>
          <w:pgSz w:w="11900" w:h="16838" w:orient="portrait"/>
          <w:cols w:equalWidth="0" w:num="1">
            <w:col w:w="11240"/>
          </w:cols>
          <w:pgMar w:left="300" w:top="1118" w:right="35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7"/>
          <w:szCs w:val="17"/>
          <w:color w:val="auto"/>
        </w:rPr>
        <w:t>obligation of the Company under Section 5.2(a) shall continue to the extent set forth therein notwithstanding the resignation or removal of the Warrant Agent.</w:t>
      </w:r>
    </w:p>
    <w:p>
      <w:pPr>
        <w:spacing w:after="0" w:line="162" w:lineRule="exact"/>
        <w:rPr>
          <w:sz w:val="20"/>
          <w:szCs w:val="20"/>
          <w:color w:val="auto"/>
        </w:rPr>
      </w:pPr>
    </w:p>
    <w:p>
      <w:pPr>
        <w:ind w:firstLine="993"/>
        <w:spacing w:after="0" w:line="263" w:lineRule="auto"/>
        <w:rPr>
          <w:sz w:val="20"/>
          <w:szCs w:val="20"/>
          <w:color w:val="auto"/>
        </w:rPr>
      </w:pPr>
      <w:r>
        <w:rPr>
          <w:rFonts w:ascii="Times New Roman" w:cs="Times New Roman" w:eastAsia="Times New Roman" w:hAnsi="Times New Roman"/>
          <w:sz w:val="16"/>
          <w:szCs w:val="16"/>
          <w:b w:val="1"/>
          <w:bCs w:val="1"/>
          <w:color w:val="auto"/>
        </w:rPr>
        <w:t>(c)</w:t>
      </w:r>
      <w:r>
        <w:rPr>
          <w:rFonts w:ascii="Times New Roman" w:cs="Times New Roman" w:eastAsia="Times New Roman" w:hAnsi="Times New Roman"/>
          <w:sz w:val="16"/>
          <w:szCs w:val="16"/>
          <w:color w:val="auto"/>
        </w:rPr>
        <w:t>In case at any time the Warrant Agent shall resign, or shall be removed, or shall become incapable of acting, or shall be adjudged a bankrupt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w:t>
      </w:r>
    </w:p>
    <w:p>
      <w:pPr>
        <w:spacing w:after="0" w:line="130" w:lineRule="exact"/>
        <w:rPr>
          <w:sz w:val="20"/>
          <w:szCs w:val="20"/>
          <w:color w:val="auto"/>
        </w:rPr>
      </w:pPr>
    </w:p>
    <w:p>
      <w:pPr>
        <w:ind w:right="100" w:firstLine="993"/>
        <w:spacing w:after="0" w:line="251" w:lineRule="auto"/>
        <w:rPr>
          <w:sz w:val="20"/>
          <w:szCs w:val="20"/>
          <w:color w:val="auto"/>
        </w:rPr>
      </w:pPr>
      <w:r>
        <w:rPr>
          <w:rFonts w:ascii="Times New Roman" w:cs="Times New Roman" w:eastAsia="Times New Roman" w:hAnsi="Times New Roman"/>
          <w:sz w:val="17"/>
          <w:szCs w:val="17"/>
          <w:b w:val="1"/>
          <w:bCs w:val="1"/>
          <w:color w:val="auto"/>
        </w:rPr>
        <w:t>(d)</w:t>
      </w:r>
      <w:r>
        <w:rPr>
          <w:rFonts w:ascii="Times New Roman" w:cs="Times New Roman" w:eastAsia="Times New Roman" w:hAnsi="Times New Roman"/>
          <w:sz w:val="17"/>
          <w:szCs w:val="17"/>
          <w:color w:val="auto"/>
        </w:rPr>
        <w:t>Any successor Warrant Agent appointed hereunder shall execute, acknowledge and deliver to its predecessor and to the Company an instrument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accepting such appointment 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w:t>
      </w:r>
    </w:p>
    <w:p>
      <w:pPr>
        <w:spacing w:after="0" w:line="136" w:lineRule="exact"/>
        <w:rPr>
          <w:sz w:val="20"/>
          <w:szCs w:val="20"/>
          <w:color w:val="auto"/>
        </w:rPr>
      </w:pPr>
    </w:p>
    <w:p>
      <w:pPr>
        <w:ind w:right="100" w:firstLine="993"/>
        <w:spacing w:after="0" w:line="276" w:lineRule="auto"/>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6"/>
          <w:szCs w:val="16"/>
          <w:color w:val="auto"/>
        </w:rPr>
        <w:t>Any corporation into which the Warrant Agent hereunder may be merged or converted or any corporation with which the Warrant Agent may be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consolidated, or any 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w:t>
      </w:r>
    </w:p>
    <w:p>
      <w:pPr>
        <w:sectPr>
          <w:pgSz w:w="11900" w:h="16838" w:orient="portrait"/>
          <w:cols w:equalWidth="0" w:num="1">
            <w:col w:w="11280"/>
          </w:cols>
          <w:pgMar w:left="300" w:top="1122" w:right="319" w:bottom="1440" w:gutter="0" w:footer="0" w:header="0"/>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7"/>
          <w:szCs w:val="17"/>
          <w:b w:val="1"/>
          <w:bCs w:val="1"/>
          <w:color w:val="auto"/>
        </w:rPr>
        <w:t>ARTICLE 6</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MISCELLANEOUS</w:t>
      </w:r>
    </w:p>
    <w:p>
      <w:pPr>
        <w:spacing w:after="0" w:line="166" w:lineRule="exact"/>
        <w:rPr>
          <w:sz w:val="20"/>
          <w:szCs w:val="20"/>
          <w:color w:val="auto"/>
        </w:rPr>
      </w:pPr>
    </w:p>
    <w:p>
      <w:pPr>
        <w:ind w:right="60" w:firstLine="496"/>
        <w:spacing w:after="0" w:line="255" w:lineRule="auto"/>
        <w:rPr>
          <w:sz w:val="20"/>
          <w:szCs w:val="20"/>
          <w:color w:val="auto"/>
        </w:rPr>
      </w:pPr>
      <w:r>
        <w:rPr>
          <w:rFonts w:ascii="Times New Roman" w:cs="Times New Roman" w:eastAsia="Times New Roman" w:hAnsi="Times New Roman"/>
          <w:sz w:val="17"/>
          <w:szCs w:val="17"/>
          <w:b w:val="1"/>
          <w:bCs w:val="1"/>
          <w:color w:val="auto"/>
        </w:rPr>
        <w:t xml:space="preserve">6.1Amendment. </w:t>
      </w:r>
      <w:r>
        <w:rPr>
          <w:rFonts w:ascii="Times New Roman" w:cs="Times New Roman" w:eastAsia="Times New Roman" w:hAnsi="Times New Roman"/>
          <w:sz w:val="17"/>
          <w:szCs w:val="17"/>
          <w:color w:val="auto"/>
        </w:rPr>
        <w:t>This Agreement may be amended by the parties hereto, without the consent of the holder of any Warrant Certificate, for the purpose of curing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ambiguity, or of 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w:t>
      </w:r>
    </w:p>
    <w:p>
      <w:pPr>
        <w:spacing w:after="0" w:line="131" w:lineRule="exact"/>
        <w:rPr>
          <w:sz w:val="20"/>
          <w:szCs w:val="20"/>
          <w:color w:val="auto"/>
        </w:rPr>
      </w:pPr>
    </w:p>
    <w:p>
      <w:pPr>
        <w:ind w:right="160" w:firstLine="496"/>
        <w:spacing w:after="0" w:line="302" w:lineRule="auto"/>
        <w:rPr>
          <w:sz w:val="20"/>
          <w:szCs w:val="20"/>
          <w:color w:val="auto"/>
        </w:rPr>
      </w:pPr>
      <w:r>
        <w:rPr>
          <w:rFonts w:ascii="Times New Roman" w:cs="Times New Roman" w:eastAsia="Times New Roman" w:hAnsi="Times New Roman"/>
          <w:sz w:val="16"/>
          <w:szCs w:val="16"/>
          <w:b w:val="1"/>
          <w:bCs w:val="1"/>
          <w:color w:val="auto"/>
        </w:rPr>
        <w:t xml:space="preserve">6.2Notices and Demands to the Company and Warrant Agent. </w:t>
      </w:r>
      <w:r>
        <w:rPr>
          <w:rFonts w:ascii="Times New Roman" w:cs="Times New Roman" w:eastAsia="Times New Roman" w:hAnsi="Times New Roman"/>
          <w:sz w:val="16"/>
          <w:szCs w:val="16"/>
          <w:color w:val="auto"/>
        </w:rPr>
        <w:t>If the Warrant Agent shall receive any notice or demand addressed to the Company by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holder of a Warrant Certificate pursuant to the provisions of the Warrant Certificates, the Warrant Agent shall promptly forward such notice or demand to the Company.</w:t>
      </w:r>
    </w:p>
    <w:p>
      <w:pPr>
        <w:spacing w:after="0" w:line="106" w:lineRule="exact"/>
        <w:rPr>
          <w:sz w:val="20"/>
          <w:szCs w:val="20"/>
          <w:color w:val="auto"/>
        </w:rPr>
      </w:pPr>
    </w:p>
    <w:p>
      <w:pPr>
        <w:ind w:right="420" w:firstLine="496"/>
        <w:spacing w:after="0" w:line="279" w:lineRule="auto"/>
        <w:rPr>
          <w:sz w:val="20"/>
          <w:szCs w:val="20"/>
          <w:color w:val="auto"/>
        </w:rPr>
      </w:pPr>
      <w:r>
        <w:rPr>
          <w:rFonts w:ascii="Times New Roman" w:cs="Times New Roman" w:eastAsia="Times New Roman" w:hAnsi="Times New Roman"/>
          <w:sz w:val="16"/>
          <w:szCs w:val="16"/>
          <w:b w:val="1"/>
          <w:bCs w:val="1"/>
          <w:color w:val="auto"/>
        </w:rPr>
        <w:t xml:space="preserve">6.3Addresses. </w:t>
      </w:r>
      <w:r>
        <w:rPr>
          <w:rFonts w:ascii="Times New Roman" w:cs="Times New Roman" w:eastAsia="Times New Roman" w:hAnsi="Times New Roman"/>
          <w:sz w:val="16"/>
          <w:szCs w:val="16"/>
          <w:color w:val="auto"/>
        </w:rPr>
        <w:t>Any communication from the Company to the Warrant Agent with respect to this Agreement shall be addressed to [•], Attention: [•] and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communication from the Warrant Agent to the Company with respect to this Agreement shall be addressed to Acumen Pharmaceuticals, Inc., 427 Park St., Charlottesville, Virginia 22902, Attention: Chief Executive Officer (or such other address as shall be specified in writing by the Warrant Agent or by the Company).</w:t>
      </w:r>
    </w:p>
    <w:p>
      <w:pPr>
        <w:spacing w:after="0" w:line="113" w:lineRule="exact"/>
        <w:rPr>
          <w:sz w:val="20"/>
          <w:szCs w:val="20"/>
          <w:color w:val="auto"/>
        </w:rPr>
      </w:pPr>
    </w:p>
    <w:p>
      <w:pPr>
        <w:ind w:firstLine="496"/>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6.4Governing Law. </w:t>
      </w:r>
      <w:r>
        <w:rPr>
          <w:rFonts w:ascii="Times New Roman" w:cs="Times New Roman" w:eastAsia="Times New Roman" w:hAnsi="Times New Roman"/>
          <w:sz w:val="17"/>
          <w:szCs w:val="17"/>
          <w:color w:val="auto"/>
        </w:rPr>
        <w:t>This Agreement and each Warrant Certificate issued hereunder shall be governed by and construed in accordance with the laws of the State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New York.</w:t>
      </w:r>
    </w:p>
    <w:p>
      <w:pPr>
        <w:spacing w:after="0" w:line="119" w:lineRule="exact"/>
        <w:rPr>
          <w:sz w:val="20"/>
          <w:szCs w:val="20"/>
          <w:color w:val="auto"/>
        </w:rPr>
      </w:pPr>
    </w:p>
    <w:p>
      <w:pPr>
        <w:ind w:right="60" w:firstLine="496"/>
        <w:spacing w:after="0" w:line="251" w:lineRule="auto"/>
        <w:rPr>
          <w:sz w:val="20"/>
          <w:szCs w:val="20"/>
          <w:color w:val="auto"/>
        </w:rPr>
      </w:pPr>
      <w:r>
        <w:rPr>
          <w:rFonts w:ascii="Times New Roman" w:cs="Times New Roman" w:eastAsia="Times New Roman" w:hAnsi="Times New Roman"/>
          <w:sz w:val="17"/>
          <w:szCs w:val="17"/>
          <w:b w:val="1"/>
          <w:bCs w:val="1"/>
          <w:color w:val="auto"/>
        </w:rPr>
        <w:t xml:space="preserve">6.5Delivery of Prospectus. </w:t>
      </w:r>
      <w:r>
        <w:rPr>
          <w:rFonts w:ascii="Times New Roman" w:cs="Times New Roman" w:eastAsia="Times New Roman" w:hAnsi="Times New Roman"/>
          <w:sz w:val="17"/>
          <w:szCs w:val="17"/>
          <w:color w:val="auto"/>
        </w:rPr>
        <w:t>The Company shall furnish to the Warrant Agent sufficient copies of a prospectus meeting the requirements of the Securities Act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1933, as amended, relating to the Warrant Debt Securities deliverable upon exercise of the Warrants (the “</w:t>
      </w:r>
      <w:r>
        <w:rPr>
          <w:rFonts w:ascii="Times New Roman" w:cs="Times New Roman" w:eastAsia="Times New Roman" w:hAnsi="Times New Roman"/>
          <w:sz w:val="17"/>
          <w:szCs w:val="17"/>
          <w:b w:val="1"/>
          <w:bCs w:val="1"/>
          <w:i w:val="1"/>
          <w:iCs w:val="1"/>
          <w:color w:val="auto"/>
        </w:rPr>
        <w:t>Prospectus</w:t>
      </w:r>
      <w:r>
        <w:rPr>
          <w:rFonts w:ascii="Times New Roman" w:cs="Times New Roman" w:eastAsia="Times New Roman" w:hAnsi="Times New Roman"/>
          <w:sz w:val="17"/>
          <w:szCs w:val="17"/>
          <w:color w:val="auto"/>
        </w:rPr>
        <w:t>”), and the Warrant Agent agrees that upon the exercise of any Warrant, the Warrant Agent will deliver to the holder of the Warrant Certificate evidencing such Warrant, prior to or concurrently with the delivery of the Warrant Debt Securities issued upon such exercise, a Prospectus. The Warrant Agent shall not, by reason of any such delivery, assume any responsibility for the accuracy or adequacy of such Prospectus.</w:t>
      </w:r>
    </w:p>
    <w:p>
      <w:pPr>
        <w:spacing w:after="0" w:line="136" w:lineRule="exact"/>
        <w:rPr>
          <w:sz w:val="20"/>
          <w:szCs w:val="20"/>
          <w:color w:val="auto"/>
        </w:rPr>
      </w:pPr>
    </w:p>
    <w:p>
      <w:pPr>
        <w:ind w:right="40" w:firstLine="496"/>
        <w:spacing w:after="0" w:line="251" w:lineRule="auto"/>
        <w:rPr>
          <w:sz w:val="20"/>
          <w:szCs w:val="20"/>
          <w:color w:val="auto"/>
        </w:rPr>
      </w:pPr>
      <w:r>
        <w:rPr>
          <w:rFonts w:ascii="Times New Roman" w:cs="Times New Roman" w:eastAsia="Times New Roman" w:hAnsi="Times New Roman"/>
          <w:sz w:val="17"/>
          <w:szCs w:val="17"/>
          <w:b w:val="1"/>
          <w:bCs w:val="1"/>
          <w:color w:val="auto"/>
        </w:rPr>
        <w:t xml:space="preserve">6.6Obtaining of Governmental Approvals. </w:t>
      </w:r>
      <w:r>
        <w:rPr>
          <w:rFonts w:ascii="Times New Roman" w:cs="Times New Roman" w:eastAsia="Times New Roman" w:hAnsi="Times New Roman"/>
          <w:sz w:val="17"/>
          <w:szCs w:val="17"/>
          <w:color w:val="auto"/>
        </w:rPr>
        <w:t>The Company will from time to time take all action which may be necessary to obtain and keep effective any and 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permits, consents and approvals of governmental agencies and authorities and securities act filings under United States Federal and state laws (including without limitation a registration statement in respect of the Warrants and Warrant Debt Securities under the Securities Act of 1933, as amended), which may be or become requisite in connection with the issuance, sale, transfer, and delivery of the Warrant Debt Securities issued upon exercise of the Warrants, the issuance, sale, transfer and delivery of the Warrants or upon the expiration of the period during which the Warrants are exercisable.</w:t>
      </w:r>
    </w:p>
    <w:p>
      <w:pPr>
        <w:sectPr>
          <w:pgSz w:w="11900" w:h="16838" w:orient="portrait"/>
          <w:cols w:equalWidth="0" w:num="1">
            <w:col w:w="11280"/>
          </w:cols>
          <w:pgMar w:left="300" w:top="1118" w:right="319" w:bottom="1440" w:gutter="0" w:footer="0" w:header="0"/>
        </w:sectPr>
      </w:pPr>
    </w:p>
    <w:bookmarkStart w:id="152" w:name="page153"/>
    <w:bookmarkEnd w:id="152"/>
    <w:p>
      <w:pPr>
        <w:ind w:right="400" w:firstLine="496"/>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6.7Persons Having Rights Under the Agreement. </w:t>
      </w:r>
      <w:r>
        <w:rPr>
          <w:rFonts w:ascii="Times New Roman" w:cs="Times New Roman" w:eastAsia="Times New Roman" w:hAnsi="Times New Roman"/>
          <w:sz w:val="17"/>
          <w:szCs w:val="17"/>
          <w:color w:val="auto"/>
        </w:rPr>
        <w:t>Nothing in this Agreement shall give to any person other than the Company, the Warrant Agent and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holders of the Warrant Certificates any right, remedy or claim under or by reason of this Agreement.</w:t>
      </w:r>
    </w:p>
    <w:p>
      <w:pPr>
        <w:spacing w:after="0" w:line="119" w:lineRule="exact"/>
        <w:rPr>
          <w:sz w:val="20"/>
          <w:szCs w:val="20"/>
          <w:color w:val="auto"/>
        </w:rPr>
      </w:pPr>
    </w:p>
    <w:p>
      <w:pPr>
        <w:ind w:firstLine="496"/>
        <w:spacing w:after="0" w:line="283" w:lineRule="auto"/>
        <w:rPr>
          <w:sz w:val="20"/>
          <w:szCs w:val="20"/>
          <w:color w:val="auto"/>
        </w:rPr>
      </w:pPr>
      <w:r>
        <w:rPr>
          <w:rFonts w:ascii="Times New Roman" w:cs="Times New Roman" w:eastAsia="Times New Roman" w:hAnsi="Times New Roman"/>
          <w:sz w:val="17"/>
          <w:szCs w:val="17"/>
          <w:b w:val="1"/>
          <w:bCs w:val="1"/>
          <w:color w:val="auto"/>
        </w:rPr>
        <w:t xml:space="preserve">6.8Headings. </w:t>
      </w:r>
      <w:r>
        <w:rPr>
          <w:rFonts w:ascii="Times New Roman" w:cs="Times New Roman" w:eastAsia="Times New Roman" w:hAnsi="Times New Roman"/>
          <w:sz w:val="17"/>
          <w:szCs w:val="17"/>
          <w:color w:val="auto"/>
        </w:rPr>
        <w:t>The descriptive headings of the several Articles and Sections of this Agreement are inserted for convenience only and shall not control or affect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meaning or construction of any of the provisions hereof.</w:t>
      </w:r>
    </w:p>
    <w:p>
      <w:pPr>
        <w:spacing w:after="0" w:line="108" w:lineRule="exact"/>
        <w:rPr>
          <w:sz w:val="20"/>
          <w:szCs w:val="20"/>
          <w:color w:val="auto"/>
        </w:rPr>
      </w:pPr>
    </w:p>
    <w:p>
      <w:pPr>
        <w:ind w:right="320" w:firstLine="496"/>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6.9Counterparts. </w:t>
      </w:r>
      <w:r>
        <w:rPr>
          <w:rFonts w:ascii="Times New Roman" w:cs="Times New Roman" w:eastAsia="Times New Roman" w:hAnsi="Times New Roman"/>
          <w:sz w:val="17"/>
          <w:szCs w:val="17"/>
          <w:color w:val="auto"/>
        </w:rPr>
        <w:t>This Agreement may be executed in any number of counterparts, each of which as so executed shall be deemed to be an original, but such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counterparts shall together constitute but one and the same instrument.</w:t>
      </w:r>
    </w:p>
    <w:p>
      <w:pPr>
        <w:spacing w:after="0" w:line="119" w:lineRule="exact"/>
        <w:rPr>
          <w:sz w:val="20"/>
          <w:szCs w:val="20"/>
          <w:color w:val="auto"/>
        </w:rPr>
      </w:pPr>
    </w:p>
    <w:p>
      <w:pPr>
        <w:ind w:right="40" w:firstLine="496"/>
        <w:spacing w:after="0" w:line="302" w:lineRule="auto"/>
        <w:rPr>
          <w:sz w:val="20"/>
          <w:szCs w:val="20"/>
          <w:color w:val="auto"/>
        </w:rPr>
      </w:pPr>
      <w:r>
        <w:rPr>
          <w:rFonts w:ascii="Times New Roman" w:cs="Times New Roman" w:eastAsia="Times New Roman" w:hAnsi="Times New Roman"/>
          <w:sz w:val="16"/>
          <w:szCs w:val="16"/>
          <w:b w:val="1"/>
          <w:bCs w:val="1"/>
          <w:color w:val="auto"/>
        </w:rPr>
        <w:t xml:space="preserve">6.10Inspection of Agreement. </w:t>
      </w:r>
      <w:r>
        <w:rPr>
          <w:rFonts w:ascii="Times New Roman" w:cs="Times New Roman" w:eastAsia="Times New Roman" w:hAnsi="Times New Roman"/>
          <w:sz w:val="16"/>
          <w:szCs w:val="16"/>
          <w:color w:val="auto"/>
        </w:rPr>
        <w:t>A copy of this Agreement shall be available at all reasonable times at the principal corporate trust office of the Warrant Agent for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inspection by the holder of any Warrant Certificate. The Warrant Agent may require such holder to submit such holder’s Warrant Certificate for inspection by it.</w:t>
      </w:r>
    </w:p>
    <w:p>
      <w:pPr>
        <w:sectPr>
          <w:pgSz w:w="11900" w:h="16838" w:orient="portrait"/>
          <w:cols w:equalWidth="0" w:num="1">
            <w:col w:w="11200"/>
          </w:cols>
          <w:pgMar w:left="300" w:top="1118" w:right="399" w:bottom="1440" w:gutter="0" w:footer="0" w:header="0"/>
        </w:sectPr>
      </w:pPr>
    </w:p>
    <w:bookmarkStart w:id="153" w:name="page154"/>
    <w:bookmarkEnd w:id="153"/>
    <w:p>
      <w:pPr>
        <w:ind w:left="480"/>
        <w:spacing w:after="0"/>
        <w:rPr>
          <w:sz w:val="20"/>
          <w:szCs w:val="20"/>
          <w:color w:val="auto"/>
        </w:rPr>
      </w:pPr>
      <w:r>
        <w:rPr>
          <w:rFonts w:ascii="Times New Roman" w:cs="Times New Roman" w:eastAsia="Times New Roman" w:hAnsi="Times New Roman"/>
          <w:sz w:val="16"/>
          <w:szCs w:val="16"/>
          <w:b w:val="1"/>
          <w:bCs w:val="1"/>
          <w:color w:val="auto"/>
        </w:rPr>
        <w:t xml:space="preserve">IN WITNESS WHEREOF, </w:t>
      </w:r>
      <w:r>
        <w:rPr>
          <w:rFonts w:ascii="Times New Roman" w:cs="Times New Roman" w:eastAsia="Times New Roman" w:hAnsi="Times New Roman"/>
          <w:sz w:val="16"/>
          <w:szCs w:val="16"/>
          <w:color w:val="auto"/>
        </w:rPr>
        <w:t>the parties hereto have caused this Agreement to be duly executed as of the day and year first above written.</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Acumen Pharmaceuticals, Inc., as Company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2464435</wp:posOffset>
            </wp:positionH>
            <wp:positionV relativeFrom="paragraph">
              <wp:posOffset>-122555</wp:posOffset>
            </wp:positionV>
            <wp:extent cx="4688840"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4688840" cy="63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2464435</wp:posOffset>
            </wp:positionH>
            <wp:positionV relativeFrom="paragraph">
              <wp:posOffset>8255</wp:posOffset>
            </wp:positionV>
            <wp:extent cx="4688840"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4688840" cy="6350"/>
                    </a:xfrm>
                    <a:prstGeom prst="rect">
                      <a:avLst/>
                    </a:prstGeom>
                    <a:noFill/>
                  </pic:spPr>
                </pic:pic>
              </a:graphicData>
            </a:graphic>
          </wp:anchor>
        </w:drawing>
        <w:drawing>
          <wp:anchor simplePos="0" relativeHeight="251657728" behindDoc="1" locked="0" layoutInCell="0" allowOverlap="1">
            <wp:simplePos x="0" y="0"/>
            <wp:positionH relativeFrom="column">
              <wp:posOffset>2464435</wp:posOffset>
            </wp:positionH>
            <wp:positionV relativeFrom="paragraph">
              <wp:posOffset>-122555</wp:posOffset>
            </wp:positionV>
            <wp:extent cx="4688840"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4688840" cy="6350"/>
                    </a:xfrm>
                    <a:prstGeom prst="rect">
                      <a:avLst/>
                    </a:prstGeom>
                    <a:noFill/>
                  </pic:spPr>
                </pic:pic>
              </a:graphicData>
            </a:graphic>
          </wp:anchor>
        </w:drawing>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147320</wp:posOffset>
            </wp:positionV>
            <wp:extent cx="2305050"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extLst>
                        <a:ext uri="{28A0092B-C50C-407E-A947-70E740481C1C}"/>
                      </a:extLst>
                    </a:blip>
                    <a:srcRect/>
                    <a:stretch>
                      <a:fillRect/>
                    </a:stretch>
                  </pic:blipFill>
                  <pic:spPr bwMode="auto">
                    <a:xfrm>
                      <a:off x="0" y="0"/>
                      <a:ext cx="2305050" cy="635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16510</wp:posOffset>
            </wp:positionV>
            <wp:extent cx="230505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2305050" cy="635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COUNTERSIGNED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as Warrant Agent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2464435</wp:posOffset>
            </wp:positionH>
            <wp:positionV relativeFrom="paragraph">
              <wp:posOffset>-122555</wp:posOffset>
            </wp:positionV>
            <wp:extent cx="4688840"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4688840" cy="63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2464435</wp:posOffset>
            </wp:positionH>
            <wp:positionV relativeFrom="paragraph">
              <wp:posOffset>8255</wp:posOffset>
            </wp:positionV>
            <wp:extent cx="468884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5">
                      <a:extLst>
                        <a:ext uri="{28A0092B-C50C-407E-A947-70E740481C1C}"/>
                      </a:extLst>
                    </a:blip>
                    <a:srcRect/>
                    <a:stretch>
                      <a:fillRect/>
                    </a:stretch>
                  </pic:blipFill>
                  <pic:spPr bwMode="auto">
                    <a:xfrm>
                      <a:off x="0" y="0"/>
                      <a:ext cx="4688840" cy="6350"/>
                    </a:xfrm>
                    <a:prstGeom prst="rect">
                      <a:avLst/>
                    </a:prstGeom>
                    <a:noFill/>
                  </pic:spPr>
                </pic:pic>
              </a:graphicData>
            </a:graphic>
          </wp:anchor>
        </w:drawing>
        <w:drawing>
          <wp:anchor simplePos="0" relativeHeight="251657728" behindDoc="1" locked="0" layoutInCell="0" allowOverlap="1">
            <wp:simplePos x="0" y="0"/>
            <wp:positionH relativeFrom="column">
              <wp:posOffset>2464435</wp:posOffset>
            </wp:positionH>
            <wp:positionV relativeFrom="paragraph">
              <wp:posOffset>-122555</wp:posOffset>
            </wp:positionV>
            <wp:extent cx="4688840"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6">
                      <a:extLst>
                        <a:ext uri="{28A0092B-C50C-407E-A947-70E740481C1C}"/>
                      </a:extLst>
                    </a:blip>
                    <a:srcRect/>
                    <a:stretch>
                      <a:fillRect/>
                    </a:stretch>
                  </pic:blipFill>
                  <pic:spPr bwMode="auto">
                    <a:xfrm>
                      <a:off x="0" y="0"/>
                      <a:ext cx="4688840" cy="6350"/>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147320</wp:posOffset>
            </wp:positionV>
            <wp:extent cx="2305050"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7">
                      <a:extLst>
                        <a:ext uri="{28A0092B-C50C-407E-A947-70E740481C1C}"/>
                      </a:extLst>
                    </a:blip>
                    <a:srcRect/>
                    <a:stretch>
                      <a:fillRect/>
                    </a:stretch>
                  </pic:blipFill>
                  <pic:spPr bwMode="auto">
                    <a:xfrm>
                      <a:off x="0" y="0"/>
                      <a:ext cx="2305050" cy="635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16510</wp:posOffset>
            </wp:positionV>
            <wp:extent cx="2305050"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8">
                      <a:extLst>
                        <a:ext uri="{28A0092B-C50C-407E-A947-70E740481C1C}"/>
                      </a:extLst>
                    </a:blip>
                    <a:srcRect/>
                    <a:stretch>
                      <a:fillRect/>
                    </a:stretch>
                  </pic:blipFill>
                  <pic:spPr bwMode="auto">
                    <a:xfrm>
                      <a:off x="0" y="0"/>
                      <a:ext cx="230505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ind w:right="539"/>
        <w:spacing w:after="0"/>
        <w:rPr>
          <w:sz w:val="20"/>
          <w:szCs w:val="20"/>
          <w:color w:val="auto"/>
        </w:rPr>
      </w:pPr>
      <w:r>
        <w:rPr>
          <w:rFonts w:ascii="Times New Roman" w:cs="Times New Roman" w:eastAsia="Times New Roman" w:hAnsi="Times New Roman"/>
          <w:sz w:val="17"/>
          <w:szCs w:val="17"/>
          <w:color w:val="auto"/>
        </w:rPr>
        <w:t>[SIGNATURE PAGE TO ACUMEN PHARMACEUTICALS, INC. DEBT SECURITIES WARRANT AGREEMENT]</w:t>
      </w:r>
    </w:p>
    <w:p>
      <w:pPr>
        <w:sectPr>
          <w:pgSz w:w="11900" w:h="16838" w:orient="portrait"/>
          <w:cols w:equalWidth="0" w:num="1">
            <w:col w:w="10139"/>
          </w:cols>
          <w:pgMar w:left="320" w:top="1118" w:right="1440" w:bottom="1440" w:gutter="0" w:footer="0" w:header="0"/>
        </w:sectPr>
      </w:pPr>
    </w:p>
    <w:bookmarkStart w:id="154" w:name="page155"/>
    <w:bookmarkEnd w:id="154"/>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16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7"/>
          <w:szCs w:val="17"/>
          <w:b w:val="1"/>
          <w:bCs w:val="1"/>
          <w:color w:val="auto"/>
        </w:rPr>
        <w:t>FORM OF WARRANT CERTIFICATE</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7"/>
          <w:szCs w:val="17"/>
          <w:b w:val="1"/>
          <w:bCs w:val="1"/>
          <w:color w:val="auto"/>
        </w:rPr>
        <w:t>[FACE OF WARRANT CERTIFICATE]</w:t>
      </w:r>
    </w:p>
    <w:p>
      <w:pPr>
        <w:spacing w:after="0" w:line="341" w:lineRule="exact"/>
        <w:rPr>
          <w:sz w:val="20"/>
          <w:szCs w:val="20"/>
          <w:color w:val="auto"/>
        </w:rPr>
      </w:pPr>
    </w:p>
    <w:p>
      <w:pPr>
        <w:ind w:left="20"/>
        <w:spacing w:after="0"/>
        <w:tabs>
          <w:tab w:leader="none" w:pos="5060" w:val="left"/>
        </w:tabs>
        <w:rPr>
          <w:sz w:val="20"/>
          <w:szCs w:val="20"/>
          <w:color w:val="auto"/>
        </w:rPr>
      </w:pPr>
      <w:r>
        <w:rPr>
          <w:rFonts w:ascii="Times New Roman" w:cs="Times New Roman" w:eastAsia="Times New Roman" w:hAnsi="Times New Roman"/>
          <w:sz w:val="17"/>
          <w:szCs w:val="17"/>
          <w:b w:val="1"/>
          <w:bCs w:val="1"/>
          <w:i w:val="1"/>
          <w:iCs w:val="1"/>
          <w:color w:val="auto"/>
        </w:rPr>
        <w:t>[Form of Legend if Warrants are not immediately exercisable.]</w:t>
      </w:r>
      <w:r>
        <w:rPr>
          <w:sz w:val="20"/>
          <w:szCs w:val="20"/>
          <w:color w:val="auto"/>
        </w:rPr>
        <w:tab/>
      </w:r>
      <w:r>
        <w:rPr>
          <w:rFonts w:ascii="Times New Roman" w:cs="Times New Roman" w:eastAsia="Times New Roman" w:hAnsi="Times New Roman"/>
          <w:sz w:val="16"/>
          <w:szCs w:val="16"/>
          <w:color w:val="auto"/>
        </w:rPr>
        <w:t>[Prior to [•], Warrants evidenced by this Warrant Certificate cannot be exercised.]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EXERCISABLE ONLY IF COUNTERSIGNED BY THE WARRANT AGENT AS PROVIDED HEREIN</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VOID AFTER [•] P.M., [CITY] TIME, ON [•].</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ACUMEN PHARMACEUTICALS,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WARRANT CERTIFICATE REPRESENTING</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WARRANTS TO PURCHASE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[TITLE OF WARRANT DEBT SECURITIES]</w:t>
      </w:r>
    </w:p>
    <w:p>
      <w:pPr>
        <w:spacing w:after="0" w:line="169" w:lineRule="exact"/>
        <w:rPr>
          <w:sz w:val="20"/>
          <w:szCs w:val="20"/>
          <w:color w:val="auto"/>
        </w:rPr>
      </w:pPr>
    </w:p>
    <w:p>
      <w:pPr>
        <w:ind w:left="20"/>
        <w:spacing w:after="0"/>
        <w:tabs>
          <w:tab w:leader="none" w:pos="10440" w:val="left"/>
        </w:tabs>
        <w:rPr>
          <w:sz w:val="20"/>
          <w:szCs w:val="20"/>
          <w:color w:val="auto"/>
        </w:rPr>
      </w:pPr>
      <w:r>
        <w:rPr>
          <w:rFonts w:ascii="Times New Roman" w:cs="Times New Roman" w:eastAsia="Times New Roman" w:hAnsi="Times New Roman"/>
          <w:sz w:val="17"/>
          <w:szCs w:val="17"/>
          <w:color w:val="auto"/>
        </w:rPr>
        <w:t>No. [•]</w:t>
      </w:r>
      <w:r>
        <w:rPr>
          <w:sz w:val="20"/>
          <w:szCs w:val="20"/>
          <w:color w:val="auto"/>
        </w:rPr>
        <w:tab/>
      </w:r>
      <w:r>
        <w:rPr>
          <w:rFonts w:ascii="Times New Roman" w:cs="Times New Roman" w:eastAsia="Times New Roman" w:hAnsi="Times New Roman"/>
          <w:sz w:val="16"/>
          <w:szCs w:val="16"/>
          <w:color w:val="auto"/>
        </w:rPr>
        <w:t>[•] Warrants</w:t>
      </w:r>
    </w:p>
    <w:p>
      <w:pPr>
        <w:spacing w:after="0" w:line="249" w:lineRule="exact"/>
        <w:rPr>
          <w:sz w:val="20"/>
          <w:szCs w:val="20"/>
          <w:color w:val="auto"/>
        </w:rPr>
      </w:pPr>
    </w:p>
    <w:p>
      <w:pPr>
        <w:ind w:right="40" w:firstLine="496"/>
        <w:spacing w:after="0" w:line="261" w:lineRule="auto"/>
        <w:rPr>
          <w:sz w:val="20"/>
          <w:szCs w:val="20"/>
          <w:color w:val="auto"/>
        </w:rPr>
      </w:pPr>
      <w:r>
        <w:rPr>
          <w:rFonts w:ascii="Times New Roman" w:cs="Times New Roman" w:eastAsia="Times New Roman" w:hAnsi="Times New Roman"/>
          <w:sz w:val="16"/>
          <w:szCs w:val="16"/>
          <w:color w:val="auto"/>
        </w:rPr>
        <w:t>This certifies that [•] or registered assigns is the registered owner of the above indicated number of Warrants, each Warrant entitling such owner to purchase, at any time [after [•] p.m., [City] time, [on [•] and] on or before [•] p.m., [City] time, on [•], $[•] principal amount of [TITLE OF WARRANT DEBT SECURITIES] (the “</w:t>
      </w:r>
      <w:r>
        <w:rPr>
          <w:rFonts w:ascii="Times New Roman" w:cs="Times New Roman" w:eastAsia="Times New Roman" w:hAnsi="Times New Roman"/>
          <w:sz w:val="16"/>
          <w:szCs w:val="16"/>
          <w:b w:val="1"/>
          <w:bCs w:val="1"/>
          <w:i w:val="1"/>
          <w:iCs w:val="1"/>
          <w:color w:val="auto"/>
        </w:rPr>
        <w:t>Warrant Debt Securities</w:t>
      </w:r>
      <w:r>
        <w:rPr>
          <w:rFonts w:ascii="Times New Roman" w:cs="Times New Roman" w:eastAsia="Times New Roman" w:hAnsi="Times New Roman"/>
          <w:sz w:val="16"/>
          <w:szCs w:val="16"/>
          <w:color w:val="auto"/>
        </w:rPr>
        <w:t>”), of Acumen Pharmaceuticals, Inc.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issued or to be issued under the Indenture (as hereinafter defined), on the following basis: during the period from [•], through and including [•], each Warrant shall entitle the Holder thereof, subject to the provisions of this Agreement, to purchase the principal amount of Warrant Debt Securities stated in the Warrant Certificate at the warrant price (the “</w:t>
      </w:r>
      <w:r>
        <w:rPr>
          <w:rFonts w:ascii="Times New Roman" w:cs="Times New Roman" w:eastAsia="Times New Roman" w:hAnsi="Times New Roman"/>
          <w:sz w:val="16"/>
          <w:szCs w:val="16"/>
          <w:b w:val="1"/>
          <w:bCs w:val="1"/>
          <w:i w:val="1"/>
          <w:iCs w:val="1"/>
          <w:color w:val="auto"/>
        </w:rPr>
        <w:t>Warrant Price</w:t>
      </w:r>
      <w:r>
        <w:rPr>
          <w:rFonts w:ascii="Times New Roman" w:cs="Times New Roman" w:eastAsia="Times New Roman" w:hAnsi="Times New Roman"/>
          <w:sz w:val="16"/>
          <w:szCs w:val="16"/>
          <w:color w:val="auto"/>
        </w:rPr>
        <w:t>”) of [•]% of the principal amount thereof [plus accrued amortization, if any, of the original issue discount of the Warrant Debt Securities] [plus accrued interest, if any, from the most recent date from which interest shall have been paid on the Warrant Debt Securities or, if no interest shall have been paid on the Warrant Debt Securities, from the date of their original issuance]. [The original issue discount ($[•] for each $1,000 principal amount of Warrant Debt Securities) will be amortized at a [•]% annual rate, computed on a[n] [semi-]annual basis [using a 360-day year consisting of twelve 30-day months]. The Holder may exercise the Warrants evidenced hereby by providing certain information set forth on the back hereof and by paying in full, in lawful money of the United States of America, [in cash or by certified check or official bank check in New York Clearing House funds] [by bank wire transfer in immediately available funds], the Warrant Price for each Warrant Debt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Times New Roman" w:cs="Times New Roman" w:eastAsia="Times New Roman" w:hAnsi="Times New Roman"/>
          <w:sz w:val="16"/>
          <w:szCs w:val="16"/>
          <w:b w:val="1"/>
          <w:bCs w:val="1"/>
          <w:i w:val="1"/>
          <w:iCs w:val="1"/>
          <w:color w:val="auto"/>
        </w:rPr>
        <w:t>Warrant Agent</w:t>
      </w:r>
      <w:r>
        <w:rPr>
          <w:rFonts w:ascii="Times New Roman" w:cs="Times New Roman" w:eastAsia="Times New Roman" w:hAnsi="Times New Roman"/>
          <w:sz w:val="16"/>
          <w:szCs w:val="16"/>
          <w:color w:val="auto"/>
        </w:rPr>
        <w:t>”), which is, on the date hereof, at the address specified on the reverse hereof,</w:t>
      </w:r>
    </w:p>
    <w:p>
      <w:pPr>
        <w:sectPr>
          <w:pgSz w:w="11900" w:h="16838" w:orient="portrait"/>
          <w:cols w:equalWidth="0" w:num="1">
            <w:col w:w="11280"/>
          </w:cols>
          <w:pgMar w:left="300" w:top="1118" w:right="31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7"/>
          <w:szCs w:val="17"/>
          <w:color w:val="auto"/>
        </w:rPr>
        <w:t>and upon compliance with and subject to the conditions set forth herein and in the Warrant Agreement (as hereinafter defined).</w:t>
      </w:r>
    </w:p>
    <w:p>
      <w:pPr>
        <w:spacing w:after="0" w:line="162" w:lineRule="exact"/>
        <w:rPr>
          <w:sz w:val="20"/>
          <w:szCs w:val="20"/>
          <w:color w:val="auto"/>
        </w:rPr>
      </w:pPr>
    </w:p>
    <w:p>
      <w:pPr>
        <w:ind w:right="40" w:firstLine="496"/>
        <w:spacing w:after="0" w:line="270" w:lineRule="auto"/>
        <w:rPr>
          <w:sz w:val="20"/>
          <w:szCs w:val="20"/>
          <w:color w:val="auto"/>
        </w:rPr>
      </w:pPr>
      <w:r>
        <w:rPr>
          <w:rFonts w:ascii="Times New Roman" w:cs="Times New Roman" w:eastAsia="Times New Roman" w:hAnsi="Times New Roman"/>
          <w:sz w:val="17"/>
          <w:szCs w:val="17"/>
          <w:color w:val="auto"/>
        </w:rPr>
        <w:t>The term “</w:t>
      </w:r>
      <w:r>
        <w:rPr>
          <w:rFonts w:ascii="Times New Roman" w:cs="Times New Roman" w:eastAsia="Times New Roman" w:hAnsi="Times New Roman"/>
          <w:sz w:val="17"/>
          <w:szCs w:val="17"/>
          <w:b w:val="1"/>
          <w:bCs w:val="1"/>
          <w:i w:val="1"/>
          <w:iCs w:val="1"/>
          <w:color w:val="auto"/>
        </w:rPr>
        <w:t>Holder</w:t>
      </w:r>
      <w:r>
        <w:rPr>
          <w:rFonts w:ascii="Times New Roman" w:cs="Times New Roman" w:eastAsia="Times New Roman" w:hAnsi="Times New Roman"/>
          <w:sz w:val="17"/>
          <w:szCs w:val="17"/>
          <w:color w:val="auto"/>
        </w:rPr>
        <w:t>” as used herein shall mean the person in whose name at the time this Warrant Certificate shall be registered upon the books to be maintained by the Warrant Agent for that purpose pursuant to Section 4 of the Warrant Agreement.</w:t>
      </w:r>
    </w:p>
    <w:p>
      <w:pPr>
        <w:spacing w:after="0" w:line="133" w:lineRule="exact"/>
        <w:rPr>
          <w:sz w:val="20"/>
          <w:szCs w:val="20"/>
          <w:color w:val="auto"/>
        </w:rPr>
      </w:pPr>
    </w:p>
    <w:p>
      <w:pPr>
        <w:ind w:right="60" w:firstLine="496"/>
        <w:spacing w:after="0" w:line="253" w:lineRule="auto"/>
        <w:rPr>
          <w:sz w:val="20"/>
          <w:szCs w:val="20"/>
          <w:color w:val="auto"/>
        </w:rPr>
      </w:pPr>
      <w:r>
        <w:rPr>
          <w:rFonts w:ascii="Times New Roman" w:cs="Times New Roman" w:eastAsia="Times New Roman" w:hAnsi="Times New Roman"/>
          <w:sz w:val="17"/>
          <w:szCs w:val="17"/>
          <w:color w:val="auto"/>
        </w:rPr>
        <w:t>The Warrants evidenced by this Warrant Certificate may be exercised to purchase Warrant Debt Securities in the principal amount of $1,000 or any integral multiple thereof in registered form. Upon any exercise of fewer than all of the Warrants evidenced by this Warrant Certificate, there shall be issued to the Holder hereof a new Warrant Certificate evidencing Warrants for the aggregate principal amount of Warrant Debt Securities remaining unexercised.</w:t>
      </w:r>
    </w:p>
    <w:p>
      <w:pPr>
        <w:spacing w:after="0" w:line="133" w:lineRule="exact"/>
        <w:rPr>
          <w:sz w:val="20"/>
          <w:szCs w:val="20"/>
          <w:color w:val="auto"/>
        </w:rPr>
      </w:pPr>
    </w:p>
    <w:p>
      <w:pPr>
        <w:jc w:val="both"/>
        <w:ind w:right="40" w:firstLine="496"/>
        <w:spacing w:after="0" w:line="262" w:lineRule="auto"/>
        <w:rPr>
          <w:sz w:val="20"/>
          <w:szCs w:val="20"/>
          <w:color w:val="auto"/>
        </w:rPr>
      </w:pPr>
      <w:r>
        <w:rPr>
          <w:rFonts w:ascii="Times New Roman" w:cs="Times New Roman" w:eastAsia="Times New Roman" w:hAnsi="Times New Roman"/>
          <w:sz w:val="17"/>
          <w:szCs w:val="17"/>
          <w:color w:val="auto"/>
        </w:rPr>
        <w:t>This Warrant Certificate is issued under and in accordance with the Warrant Agreement dated as of [•] (the “</w:t>
      </w:r>
      <w:r>
        <w:rPr>
          <w:rFonts w:ascii="Times New Roman" w:cs="Times New Roman" w:eastAsia="Times New Roman" w:hAnsi="Times New Roman"/>
          <w:sz w:val="17"/>
          <w:szCs w:val="17"/>
          <w:b w:val="1"/>
          <w:bCs w:val="1"/>
          <w:i w:val="1"/>
          <w:iCs w:val="1"/>
          <w:color w:val="auto"/>
        </w:rPr>
        <w:t>Warrant Agreement</w:t>
      </w:r>
      <w:r>
        <w:rPr>
          <w:rFonts w:ascii="Times New Roman" w:cs="Times New Roman" w:eastAsia="Times New Roman" w:hAnsi="Times New Roman"/>
          <w:sz w:val="17"/>
          <w:szCs w:val="17"/>
          <w:color w:val="auto"/>
        </w:rPr>
        <w:t>”),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w:t>
      </w:r>
    </w:p>
    <w:p>
      <w:pPr>
        <w:spacing w:after="0" w:line="129" w:lineRule="exact"/>
        <w:rPr>
          <w:sz w:val="20"/>
          <w:szCs w:val="20"/>
          <w:color w:val="auto"/>
        </w:rPr>
      </w:pPr>
    </w:p>
    <w:p>
      <w:pPr>
        <w:ind w:firstLine="496"/>
        <w:spacing w:after="0" w:line="249" w:lineRule="auto"/>
        <w:rPr>
          <w:sz w:val="20"/>
          <w:szCs w:val="20"/>
          <w:color w:val="auto"/>
        </w:rPr>
      </w:pPr>
      <w:r>
        <w:rPr>
          <w:rFonts w:ascii="Times New Roman" w:cs="Times New Roman" w:eastAsia="Times New Roman" w:hAnsi="Times New Roman"/>
          <w:sz w:val="17"/>
          <w:szCs w:val="17"/>
          <w:color w:val="auto"/>
        </w:rPr>
        <w:t>The Warrant Debt Securities to be issued and delivered upon the exercise of Warrants evidenced by this Warrant Certificate will be issued under and in accordance with an Indenture, dated as of [•] (the “</w:t>
      </w:r>
      <w:r>
        <w:rPr>
          <w:rFonts w:ascii="Times New Roman" w:cs="Times New Roman" w:eastAsia="Times New Roman" w:hAnsi="Times New Roman"/>
          <w:sz w:val="17"/>
          <w:szCs w:val="17"/>
          <w:b w:val="1"/>
          <w:bCs w:val="1"/>
          <w:i w:val="1"/>
          <w:iCs w:val="1"/>
          <w:color w:val="auto"/>
        </w:rPr>
        <w:t>Indenture</w:t>
      </w:r>
      <w:r>
        <w:rPr>
          <w:rFonts w:ascii="Times New Roman" w:cs="Times New Roman" w:eastAsia="Times New Roman" w:hAnsi="Times New Roman"/>
          <w:sz w:val="17"/>
          <w:szCs w:val="17"/>
          <w:color w:val="auto"/>
        </w:rPr>
        <w:t>”), between the Company and [•], as trustee (such trustee, and any successors to such trustee, the “</w:t>
      </w:r>
      <w:r>
        <w:rPr>
          <w:rFonts w:ascii="Times New Roman" w:cs="Times New Roman" w:eastAsia="Times New Roman" w:hAnsi="Times New Roman"/>
          <w:sz w:val="17"/>
          <w:szCs w:val="17"/>
          <w:b w:val="1"/>
          <w:bCs w:val="1"/>
          <w:i w:val="1"/>
          <w:iCs w:val="1"/>
          <w:color w:val="auto"/>
        </w:rPr>
        <w:t>Trustee</w:t>
      </w:r>
      <w:r>
        <w:rPr>
          <w:rFonts w:ascii="Times New Roman" w:cs="Times New Roman" w:eastAsia="Times New Roman" w:hAnsi="Times New Roman"/>
          <w:sz w:val="17"/>
          <w:szCs w:val="17"/>
          <w:color w:val="auto"/>
        </w:rPr>
        <w:t>”)] and will be subject to the terms and provisions contained in the Warrant Debt Securities and in the Indenture. Copies of the Indenture, including the form of the Warrant Debt Securities, are on file at the corporate trust office of the Trustee.</w:t>
      </w:r>
    </w:p>
    <w:p>
      <w:pPr>
        <w:spacing w:after="0" w:line="140" w:lineRule="exact"/>
        <w:rPr>
          <w:sz w:val="20"/>
          <w:szCs w:val="20"/>
          <w:color w:val="auto"/>
        </w:rPr>
      </w:pPr>
    </w:p>
    <w:p>
      <w:pPr>
        <w:ind w:right="560" w:firstLine="496"/>
        <w:spacing w:after="0" w:line="278" w:lineRule="auto"/>
        <w:rPr>
          <w:sz w:val="20"/>
          <w:szCs w:val="20"/>
          <w:color w:val="auto"/>
        </w:rPr>
      </w:pPr>
      <w:r>
        <w:rPr>
          <w:rFonts w:ascii="Times New Roman" w:cs="Times New Roman" w:eastAsia="Times New Roman" w:hAnsi="Times New Roman"/>
          <w:sz w:val="17"/>
          <w:szCs w:val="17"/>
          <w:color w:val="auto"/>
        </w:rPr>
        <w:t>Transfer of this Warrant Certificate may be registered when this Warrant Certificate is surrendered at the corporate trust office of the Warrant Agent by the registered owner or such owner’s assigns, in the manner and subject to the limitations provided in the Warrant Agreement.</w:t>
      </w:r>
    </w:p>
    <w:p>
      <w:pPr>
        <w:spacing w:after="0" w:line="116" w:lineRule="exact"/>
        <w:rPr>
          <w:sz w:val="20"/>
          <w:szCs w:val="20"/>
          <w:color w:val="auto"/>
        </w:rPr>
      </w:pPr>
    </w:p>
    <w:p>
      <w:pPr>
        <w:ind w:right="300" w:firstLine="496"/>
        <w:spacing w:after="0" w:line="265" w:lineRule="auto"/>
        <w:rPr>
          <w:sz w:val="20"/>
          <w:szCs w:val="20"/>
          <w:color w:val="auto"/>
        </w:rPr>
      </w:pPr>
      <w:r>
        <w:rPr>
          <w:rFonts w:ascii="Times New Roman" w:cs="Times New Roman" w:eastAsia="Times New Roman" w:hAnsi="Times New Roman"/>
          <w:sz w:val="17"/>
          <w:szCs w:val="17"/>
          <w:color w:val="auto"/>
        </w:rPr>
        <w:t>After countersignature by the Warrant Agent and prior to the expiration of this Warrant Certificate, this Warrant Certificate may be exchanged at the corporate trust office of the Warrant Agent for Warrant Certificates representing Warrants for the same aggregate principal amount of Warrant Debt Securities.</w:t>
      </w:r>
    </w:p>
    <w:p>
      <w:pPr>
        <w:spacing w:after="0" w:line="127" w:lineRule="exact"/>
        <w:rPr>
          <w:sz w:val="20"/>
          <w:szCs w:val="20"/>
          <w:color w:val="auto"/>
        </w:rPr>
      </w:pPr>
    </w:p>
    <w:p>
      <w:pPr>
        <w:ind w:right="20" w:firstLine="496"/>
        <w:spacing w:after="0" w:line="265" w:lineRule="auto"/>
        <w:rPr>
          <w:sz w:val="20"/>
          <w:szCs w:val="20"/>
          <w:color w:val="auto"/>
        </w:rPr>
      </w:pPr>
      <w:r>
        <w:rPr>
          <w:rFonts w:ascii="Times New Roman" w:cs="Times New Roman" w:eastAsia="Times New Roman" w:hAnsi="Times New Roman"/>
          <w:sz w:val="17"/>
          <w:szCs w:val="17"/>
          <w:color w:val="auto"/>
        </w:rPr>
        <w:t>This Warrant Certificate shall not entitle the Holder hereof to any of the rights of a holder of the Warrant Debt Securities, including, without limitation, the right to receive payments of principal of (and premium, if any) or interest, if any, on the Warrant Debt Securities or to enforce any of the covenants of the Indenture.</w:t>
      </w:r>
    </w:p>
    <w:p>
      <w:pPr>
        <w:spacing w:after="0" w:line="137" w:lineRule="exact"/>
        <w:rPr>
          <w:sz w:val="20"/>
          <w:szCs w:val="20"/>
          <w:color w:val="auto"/>
        </w:rPr>
      </w:pPr>
    </w:p>
    <w:p>
      <w:pPr>
        <w:ind w:right="160" w:firstLine="496"/>
        <w:spacing w:after="0" w:line="265" w:lineRule="auto"/>
        <w:rPr>
          <w:sz w:val="20"/>
          <w:szCs w:val="20"/>
          <w:color w:val="auto"/>
        </w:rPr>
      </w:pPr>
      <w:r>
        <w:rPr>
          <w:rFonts w:ascii="Times New Roman" w:cs="Times New Roman" w:eastAsia="Times New Roman" w:hAnsi="Times New Roman"/>
          <w:sz w:val="17"/>
          <w:szCs w:val="17"/>
          <w:color w:val="auto"/>
        </w:rPr>
        <w:t>Reference is hereby made to the further provisions of this Warrant Certificate set forth on the reverse hereof, which further provisions shall for all purposes have the same effect as if set forth at this place.</w:t>
      </w:r>
    </w:p>
    <w:p>
      <w:pPr>
        <w:spacing w:after="0" w:line="1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This Warrant Certificate shall not be valid or obligatory for any purpose until countersigned by the Warrant Agent.</w:t>
      </w:r>
    </w:p>
    <w:p>
      <w:pPr>
        <w:sectPr>
          <w:pgSz w:w="11900" w:h="16838" w:orient="portrait"/>
          <w:cols w:equalWidth="0" w:num="1">
            <w:col w:w="11280"/>
          </w:cols>
          <w:pgMar w:left="300" w:top="1122" w:right="319" w:bottom="1440" w:gutter="0" w:footer="0" w:header="0"/>
        </w:sectPr>
      </w:pPr>
    </w:p>
    <w:bookmarkStart w:id="156" w:name="page157"/>
    <w:bookmarkEnd w:id="156"/>
    <w:p>
      <w:pPr>
        <w:ind w:firstLine="496"/>
        <w:spacing w:after="0" w:line="270" w:lineRule="auto"/>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Company has caused this Warrant to be executed in its name and on its behalf by the facsimile signatures of its duly authorized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officers.</w:t>
      </w:r>
    </w:p>
    <w:p>
      <w:pPr>
        <w:spacing w:after="0" w:line="1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Dated:</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 xml:space="preserve">Acumen Pharmaceuticals, Inc., </w:t>
      </w:r>
      <w:r>
        <w:rPr>
          <w:rFonts w:ascii="Times New Roman" w:cs="Times New Roman" w:eastAsia="Times New Roman" w:hAnsi="Times New Roman"/>
          <w:sz w:val="17"/>
          <w:szCs w:val="17"/>
          <w:color w:val="auto"/>
        </w:rPr>
        <w:t>as Company</w:t>
      </w:r>
    </w:p>
    <w:p>
      <w:pPr>
        <w:spacing w:after="0" w:line="2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5787390</wp:posOffset>
            </wp:positionH>
            <wp:positionV relativeFrom="paragraph">
              <wp:posOffset>-122555</wp:posOffset>
            </wp:positionV>
            <wp:extent cx="1379220"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9">
                      <a:extLst>
                        <a:ext uri="{28A0092B-C50C-407E-A947-70E740481C1C}"/>
                      </a:extLst>
                    </a:blip>
                    <a:srcRect/>
                    <a:stretch>
                      <a:fillRect/>
                    </a:stretch>
                  </pic:blipFill>
                  <pic:spPr bwMode="auto">
                    <a:xfrm>
                      <a:off x="0" y="0"/>
                      <a:ext cx="1379220" cy="63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5787390</wp:posOffset>
            </wp:positionH>
            <wp:positionV relativeFrom="paragraph">
              <wp:posOffset>8255</wp:posOffset>
            </wp:positionV>
            <wp:extent cx="1379220"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0">
                      <a:extLst>
                        <a:ext uri="{28A0092B-C50C-407E-A947-70E740481C1C}"/>
                      </a:extLst>
                    </a:blip>
                    <a:srcRect/>
                    <a:stretch>
                      <a:fillRect/>
                    </a:stretch>
                  </pic:blipFill>
                  <pic:spPr bwMode="auto">
                    <a:xfrm>
                      <a:off x="0" y="0"/>
                      <a:ext cx="1379220" cy="6350"/>
                    </a:xfrm>
                    <a:prstGeom prst="rect">
                      <a:avLst/>
                    </a:prstGeom>
                    <a:noFill/>
                  </pic:spPr>
                </pic:pic>
              </a:graphicData>
            </a:graphic>
          </wp:anchor>
        </w:drawing>
        <w:drawing>
          <wp:anchor simplePos="0" relativeHeight="251657728" behindDoc="1" locked="0" layoutInCell="0" allowOverlap="1">
            <wp:simplePos x="0" y="0"/>
            <wp:positionH relativeFrom="column">
              <wp:posOffset>5787390</wp:posOffset>
            </wp:positionH>
            <wp:positionV relativeFrom="paragraph">
              <wp:posOffset>-122555</wp:posOffset>
            </wp:positionV>
            <wp:extent cx="1379220"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1">
                      <a:extLst>
                        <a:ext uri="{28A0092B-C50C-407E-A947-70E740481C1C}"/>
                      </a:extLst>
                    </a:blip>
                    <a:srcRect/>
                    <a:stretch>
                      <a:fillRect/>
                    </a:stretch>
                  </pic:blipFill>
                  <pic:spPr bwMode="auto">
                    <a:xfrm>
                      <a:off x="0" y="0"/>
                      <a:ext cx="1379220" cy="6350"/>
                    </a:xfrm>
                    <a:prstGeom prst="rect">
                      <a:avLst/>
                    </a:prstGeom>
                    <a:noFill/>
                  </pic:spPr>
                </pic:pic>
              </a:graphicData>
            </a:graphic>
          </wp:anchor>
        </w:drawing>
      </w:r>
    </w:p>
    <w:p>
      <w:pPr>
        <w:spacing w:after="0" w:line="3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5787390</wp:posOffset>
            </wp:positionH>
            <wp:positionV relativeFrom="paragraph">
              <wp:posOffset>147320</wp:posOffset>
            </wp:positionV>
            <wp:extent cx="1379220"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2">
                      <a:extLst>
                        <a:ext uri="{28A0092B-C50C-407E-A947-70E740481C1C}"/>
                      </a:extLst>
                    </a:blip>
                    <a:srcRect/>
                    <a:stretch>
                      <a:fillRect/>
                    </a:stretch>
                  </pic:blipFill>
                  <pic:spPr bwMode="auto">
                    <a:xfrm>
                      <a:off x="0" y="0"/>
                      <a:ext cx="1379220" cy="6350"/>
                    </a:xfrm>
                    <a:prstGeom prst="rect">
                      <a:avLst/>
                    </a:prstGeom>
                    <a:noFill/>
                  </pic:spPr>
                </pic:pic>
              </a:graphicData>
            </a:graphic>
          </wp:anchor>
        </w:drawing>
        <w:drawing>
          <wp:anchor simplePos="0" relativeHeight="251657728" behindDoc="1" locked="0" layoutInCell="0" allowOverlap="1">
            <wp:simplePos x="0" y="0"/>
            <wp:positionH relativeFrom="column">
              <wp:posOffset>5787390</wp:posOffset>
            </wp:positionH>
            <wp:positionV relativeFrom="paragraph">
              <wp:posOffset>16510</wp:posOffset>
            </wp:positionV>
            <wp:extent cx="1379220"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3">
                      <a:extLst>
                        <a:ext uri="{28A0092B-C50C-407E-A947-70E740481C1C}"/>
                      </a:extLst>
                    </a:blip>
                    <a:srcRect/>
                    <a:stretch>
                      <a:fillRect/>
                    </a:stretch>
                  </pic:blipFill>
                  <pic:spPr bwMode="auto">
                    <a:xfrm>
                      <a:off x="0" y="0"/>
                      <a:ext cx="137922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COUNTERSIGNED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 as Warrant Agent</w:t>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5787390</wp:posOffset>
            </wp:positionH>
            <wp:positionV relativeFrom="paragraph">
              <wp:posOffset>-122555</wp:posOffset>
            </wp:positionV>
            <wp:extent cx="1379220"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4">
                      <a:extLst>
                        <a:ext uri="{28A0092B-C50C-407E-A947-70E740481C1C}"/>
                      </a:extLst>
                    </a:blip>
                    <a:srcRect/>
                    <a:stretch>
                      <a:fillRect/>
                    </a:stretch>
                  </pic:blipFill>
                  <pic:spPr bwMode="auto">
                    <a:xfrm>
                      <a:off x="0" y="0"/>
                      <a:ext cx="1379220" cy="63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5787390</wp:posOffset>
            </wp:positionH>
            <wp:positionV relativeFrom="paragraph">
              <wp:posOffset>8255</wp:posOffset>
            </wp:positionV>
            <wp:extent cx="1379220"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5">
                      <a:extLst>
                        <a:ext uri="{28A0092B-C50C-407E-A947-70E740481C1C}"/>
                      </a:extLst>
                    </a:blip>
                    <a:srcRect/>
                    <a:stretch>
                      <a:fillRect/>
                    </a:stretch>
                  </pic:blipFill>
                  <pic:spPr bwMode="auto">
                    <a:xfrm>
                      <a:off x="0" y="0"/>
                      <a:ext cx="1379220" cy="6350"/>
                    </a:xfrm>
                    <a:prstGeom prst="rect">
                      <a:avLst/>
                    </a:prstGeom>
                    <a:noFill/>
                  </pic:spPr>
                </pic:pic>
              </a:graphicData>
            </a:graphic>
          </wp:anchor>
        </w:drawing>
        <w:drawing>
          <wp:anchor simplePos="0" relativeHeight="251657728" behindDoc="1" locked="0" layoutInCell="0" allowOverlap="1">
            <wp:simplePos x="0" y="0"/>
            <wp:positionH relativeFrom="column">
              <wp:posOffset>5787390</wp:posOffset>
            </wp:positionH>
            <wp:positionV relativeFrom="paragraph">
              <wp:posOffset>-122555</wp:posOffset>
            </wp:positionV>
            <wp:extent cx="1379220"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6">
                      <a:extLst>
                        <a:ext uri="{28A0092B-C50C-407E-A947-70E740481C1C}"/>
                      </a:extLst>
                    </a:blip>
                    <a:srcRect/>
                    <a:stretch>
                      <a:fillRect/>
                    </a:stretch>
                  </pic:blipFill>
                  <pic:spPr bwMode="auto">
                    <a:xfrm>
                      <a:off x="0" y="0"/>
                      <a:ext cx="1379220" cy="6350"/>
                    </a:xfrm>
                    <a:prstGeom prst="rect">
                      <a:avLst/>
                    </a:prstGeom>
                    <a:noFill/>
                  </pic:spPr>
                </pic:pic>
              </a:graphicData>
            </a:graphic>
          </wp:anchor>
        </w:drawing>
      </w:r>
    </w:p>
    <w:p>
      <w:pPr>
        <w:spacing w:after="0" w:line="3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5787390</wp:posOffset>
            </wp:positionH>
            <wp:positionV relativeFrom="paragraph">
              <wp:posOffset>147320</wp:posOffset>
            </wp:positionV>
            <wp:extent cx="1379220"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7">
                      <a:extLst>
                        <a:ext uri="{28A0092B-C50C-407E-A947-70E740481C1C}"/>
                      </a:extLst>
                    </a:blip>
                    <a:srcRect/>
                    <a:stretch>
                      <a:fillRect/>
                    </a:stretch>
                  </pic:blipFill>
                  <pic:spPr bwMode="auto">
                    <a:xfrm>
                      <a:off x="0" y="0"/>
                      <a:ext cx="1379220" cy="6350"/>
                    </a:xfrm>
                    <a:prstGeom prst="rect">
                      <a:avLst/>
                    </a:prstGeom>
                    <a:noFill/>
                  </pic:spPr>
                </pic:pic>
              </a:graphicData>
            </a:graphic>
          </wp:anchor>
        </w:drawing>
        <w:drawing>
          <wp:anchor simplePos="0" relativeHeight="251657728" behindDoc="1" locked="0" layoutInCell="0" allowOverlap="1">
            <wp:simplePos x="0" y="0"/>
            <wp:positionH relativeFrom="column">
              <wp:posOffset>5787390</wp:posOffset>
            </wp:positionH>
            <wp:positionV relativeFrom="paragraph">
              <wp:posOffset>16510</wp:posOffset>
            </wp:positionV>
            <wp:extent cx="1379220"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8">
                      <a:extLst>
                        <a:ext uri="{28A0092B-C50C-407E-A947-70E740481C1C}"/>
                      </a:extLst>
                    </a:blip>
                    <a:srcRect/>
                    <a:stretch>
                      <a:fillRect/>
                    </a:stretch>
                  </pic:blipFill>
                  <pic:spPr bwMode="auto">
                    <a:xfrm>
                      <a:off x="0" y="0"/>
                      <a:ext cx="1379220" cy="6350"/>
                    </a:xfrm>
                    <a:prstGeom prst="rect">
                      <a:avLst/>
                    </a:prstGeom>
                    <a:noFill/>
                  </pic:spPr>
                </pic:pic>
              </a:graphicData>
            </a:graphic>
          </wp:anchor>
        </w:drawing>
      </w:r>
    </w:p>
    <w:p>
      <w:pPr>
        <w:sectPr>
          <w:pgSz w:w="11900" w:h="16838" w:orient="portrait"/>
          <w:cols w:equalWidth="0" w:num="1">
            <w:col w:w="11120"/>
          </w:cols>
          <w:pgMar w:left="300" w:top="1118" w:right="479" w:bottom="1440" w:gutter="0" w:footer="0" w:header="0"/>
        </w:sectPr>
      </w:pPr>
    </w:p>
    <w:bookmarkStart w:id="157" w:name="page158"/>
    <w:bookmarkEnd w:id="157"/>
    <w:p>
      <w:pPr>
        <w:ind w:left="4280"/>
        <w:spacing w:after="0"/>
        <w:rPr>
          <w:sz w:val="20"/>
          <w:szCs w:val="20"/>
          <w:color w:val="auto"/>
        </w:rPr>
      </w:pPr>
      <w:r>
        <w:rPr>
          <w:rFonts w:ascii="Times New Roman" w:cs="Times New Roman" w:eastAsia="Times New Roman" w:hAnsi="Times New Roman"/>
          <w:sz w:val="17"/>
          <w:szCs w:val="17"/>
          <w:b w:val="1"/>
          <w:bCs w:val="1"/>
          <w:color w:val="auto"/>
        </w:rPr>
        <w:t>[REVERSE OF WARRANT CERTIFICATE]</w:t>
      </w:r>
    </w:p>
    <w:p>
      <w:pPr>
        <w:spacing w:after="0" w:line="16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7"/>
          <w:szCs w:val="17"/>
          <w:b w:val="1"/>
          <w:bCs w:val="1"/>
          <w:color w:val="auto"/>
        </w:rPr>
        <w:t>(Instructions for Exercise of Warrant)</w:t>
      </w:r>
    </w:p>
    <w:p>
      <w:pPr>
        <w:spacing w:after="0" w:line="170" w:lineRule="exact"/>
        <w:rPr>
          <w:sz w:val="20"/>
          <w:szCs w:val="20"/>
          <w:color w:val="auto"/>
        </w:rPr>
      </w:pPr>
    </w:p>
    <w:p>
      <w:pPr>
        <w:ind w:firstLine="496"/>
        <w:spacing w:after="0" w:line="248" w:lineRule="auto"/>
        <w:rPr>
          <w:sz w:val="20"/>
          <w:szCs w:val="20"/>
          <w:color w:val="auto"/>
        </w:rPr>
      </w:pPr>
      <w:r>
        <w:rPr>
          <w:rFonts w:ascii="Times New Roman" w:cs="Times New Roman" w:eastAsia="Times New Roman" w:hAnsi="Times New Roman"/>
          <w:sz w:val="17"/>
          <w:szCs w:val="17"/>
          <w:color w:val="auto"/>
        </w:rPr>
        <w:t>To exercise any Warrants evidenced hereby for Warrant Debt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(To be executed upon exercise of Warrants)</w:t>
      </w:r>
    </w:p>
    <w:p>
      <w:pPr>
        <w:spacing w:after="0" w:line="1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The undersigned hereby irrevocably elects to exercise ______ Warrants, evidenced by this Warrant Certificate, to purchase _______ $[•] principal amount of the</w:t>
      </w:r>
    </w:p>
    <w:p>
      <w:pPr>
        <w:spacing w:after="0" w:line="31"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6"/>
          <w:szCs w:val="16"/>
          <w:color w:val="auto"/>
        </w:rPr>
        <w:t>[TITLE OF WARRANT DEBT SECURITIES] (the “</w:t>
      </w:r>
      <w:r>
        <w:rPr>
          <w:rFonts w:ascii="Times New Roman" w:cs="Times New Roman" w:eastAsia="Times New Roman" w:hAnsi="Times New Roman"/>
          <w:sz w:val="16"/>
          <w:szCs w:val="16"/>
          <w:b w:val="1"/>
          <w:bCs w:val="1"/>
          <w:i w:val="1"/>
          <w:iCs w:val="1"/>
          <w:color w:val="auto"/>
        </w:rPr>
        <w:t>Warrant Debt Securities</w:t>
      </w:r>
      <w:r>
        <w:rPr>
          <w:rFonts w:ascii="Times New Roman" w:cs="Times New Roman" w:eastAsia="Times New Roman" w:hAnsi="Times New Roman"/>
          <w:sz w:val="16"/>
          <w:szCs w:val="16"/>
          <w:color w:val="auto"/>
        </w:rPr>
        <w:t>”), of Acumen Pharmaceuticals, Inc. and represents that the undersigned has tendered payment for such Warrant Debt Securities, in lawful money of the United States of America, [in cash or by certified check or official bank check in New York Clearing House funds] [by bank wire transfer in immediately available funds], to the order of Acumen Pharmaceuticals, Inc., c/o [insert name and address of Warrant Agent], in the amount of $_________ in accordance with the terms hereof. The undersigned requests that said principal amount of Warrant Debt Securities be in fully registered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form in the authorized denominations, registered in such names and delivered all as specified in accordance with the instructions set forth below.</w:t>
      </w:r>
    </w:p>
    <w:p>
      <w:pPr>
        <w:spacing w:after="0" w:line="158" w:lineRule="exact"/>
        <w:rPr>
          <w:sz w:val="20"/>
          <w:szCs w:val="20"/>
          <w:color w:val="auto"/>
        </w:rPr>
      </w:pPr>
    </w:p>
    <w:p>
      <w:pPr>
        <w:ind w:right="420" w:firstLine="496"/>
        <w:spacing w:after="0" w:line="265" w:lineRule="auto"/>
        <w:rPr>
          <w:sz w:val="20"/>
          <w:szCs w:val="20"/>
          <w:color w:val="auto"/>
        </w:rPr>
      </w:pPr>
      <w:r>
        <w:rPr>
          <w:rFonts w:ascii="Times New Roman" w:cs="Times New Roman" w:eastAsia="Times New Roman" w:hAnsi="Times New Roman"/>
          <w:sz w:val="17"/>
          <w:szCs w:val="17"/>
          <w:color w:val="auto"/>
        </w:rPr>
        <w:t>If the number of Warrants exercised is less than all of the Warrants evidenced hereby, the undersigned requests that a new Warrant Certificate evidencing the Warrants for the aggregate</w:t>
      </w:r>
    </w:p>
    <w:p>
      <w:pPr>
        <w:sectPr>
          <w:pgSz w:w="11900" w:h="16838" w:orient="portrait"/>
          <w:cols w:equalWidth="0" w:num="1">
            <w:col w:w="11280"/>
          </w:cols>
          <w:pgMar w:left="300" w:top="1118" w:right="31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6"/>
          <w:szCs w:val="16"/>
          <w:color w:val="auto"/>
        </w:rPr>
        <w:t>principal amount of Warrant Debt Securities remaining unexercised be issued and delivered to the undersigned unless otherwise specified in the instructions below.</w:t>
      </w:r>
    </w:p>
    <w:p>
      <w:pPr>
        <w:spacing w:after="0" w:line="364" w:lineRule="exact"/>
        <w:rPr>
          <w:sz w:val="20"/>
          <w:szCs w:val="20"/>
          <w:color w:val="auto"/>
        </w:rPr>
      </w:pPr>
    </w:p>
    <w:p>
      <w:pPr>
        <w:ind w:left="20"/>
        <w:spacing w:after="0"/>
        <w:tabs>
          <w:tab w:leader="none" w:pos="3840" w:val="left"/>
        </w:tabs>
        <w:rPr>
          <w:sz w:val="20"/>
          <w:szCs w:val="20"/>
          <w:color w:val="auto"/>
        </w:rPr>
      </w:pPr>
      <w:r>
        <w:rPr>
          <w:rFonts w:ascii="Times New Roman" w:cs="Times New Roman" w:eastAsia="Times New Roman" w:hAnsi="Times New Roman"/>
          <w:sz w:val="17"/>
          <w:szCs w:val="17"/>
          <w:color w:val="auto"/>
        </w:rPr>
        <w:t>Dated:</w:t>
      </w:r>
      <w:r>
        <w:rPr>
          <w:sz w:val="20"/>
          <w:szCs w:val="20"/>
          <w:color w:val="auto"/>
        </w:rPr>
        <w:tab/>
      </w: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4119245</wp:posOffset>
            </wp:positionH>
            <wp:positionV relativeFrom="paragraph">
              <wp:posOffset>13970</wp:posOffset>
            </wp:positionV>
            <wp:extent cx="3046730"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9">
                      <a:extLst>
                        <a:ext uri="{28A0092B-C50C-407E-A947-70E740481C1C}"/>
                      </a:extLst>
                    </a:blip>
                    <a:srcRect/>
                    <a:stretch>
                      <a:fillRect/>
                    </a:stretch>
                  </pic:blipFill>
                  <pic:spPr bwMode="auto">
                    <a:xfrm>
                      <a:off x="0" y="0"/>
                      <a:ext cx="3046730" cy="6350"/>
                    </a:xfrm>
                    <a:prstGeom prst="rect">
                      <a:avLst/>
                    </a:prstGeom>
                    <a:noFill/>
                  </pic:spPr>
                </pic:pic>
              </a:graphicData>
            </a:graphic>
          </wp:anchor>
        </w:drawing>
        <w:drawing>
          <wp:anchor simplePos="0" relativeHeight="251657728" behindDoc="1" locked="0" layoutInCell="0" allowOverlap="1">
            <wp:simplePos x="0" y="0"/>
            <wp:positionH relativeFrom="column">
              <wp:posOffset>1761490</wp:posOffset>
            </wp:positionH>
            <wp:positionV relativeFrom="paragraph">
              <wp:posOffset>13970</wp:posOffset>
            </wp:positionV>
            <wp:extent cx="354330"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0">
                      <a:extLst>
                        <a:ext uri="{28A0092B-C50C-407E-A947-70E740481C1C}"/>
                      </a:extLst>
                    </a:blip>
                    <a:srcRect/>
                    <a:stretch>
                      <a:fillRect/>
                    </a:stretch>
                  </pic:blipFill>
                  <pic:spPr bwMode="auto">
                    <a:xfrm>
                      <a:off x="0" y="0"/>
                      <a:ext cx="354330" cy="6350"/>
                    </a:xfrm>
                    <a:prstGeom prst="rect">
                      <a:avLst/>
                    </a:prstGeom>
                    <a:noFill/>
                  </pic:spPr>
                </pic:pic>
              </a:graphicData>
            </a:graphic>
          </wp:anchor>
        </w:drawing>
      </w:r>
    </w:p>
    <w:p>
      <w:pPr>
        <w:spacing w:after="0" w:line="2"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7"/>
          <w:szCs w:val="17"/>
          <w:color w:val="auto"/>
        </w:rPr>
        <w:t>Please Print</w:t>
      </w: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164705"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(Insert Social Security or Other Identifying</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Number of Holder)</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Signature</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8255</wp:posOffset>
            </wp:positionV>
            <wp:extent cx="2298700"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2">
                      <a:extLst>
                        <a:ext uri="{28A0092B-C50C-407E-A947-70E740481C1C}"/>
                      </a:extLst>
                    </a:blip>
                    <a:srcRect/>
                    <a:stretch>
                      <a:fillRect/>
                    </a:stretch>
                  </pic:blipFill>
                  <pic:spPr bwMode="auto">
                    <a:xfrm>
                      <a:off x="0" y="0"/>
                      <a:ext cx="2298700" cy="6350"/>
                    </a:xfrm>
                    <a:prstGeom prst="rect">
                      <a:avLst/>
                    </a:prstGeom>
                    <a:noFill/>
                  </pic:spPr>
                </pic:pic>
              </a:graphicData>
            </a:graphic>
          </wp:anchor>
        </w:drawing>
      </w:r>
    </w:p>
    <w:p>
      <w:pPr>
        <w:ind w:left="8180"/>
        <w:spacing w:after="0"/>
        <w:rPr>
          <w:sz w:val="20"/>
          <w:szCs w:val="20"/>
          <w:color w:val="auto"/>
        </w:rPr>
      </w:pPr>
      <w:r>
        <w:rPr>
          <w:rFonts w:ascii="Times New Roman" w:cs="Times New Roman" w:eastAsia="Times New Roman" w:hAnsi="Times New Roman"/>
          <w:sz w:val="17"/>
          <w:szCs w:val="17"/>
          <w:color w:val="auto"/>
        </w:rPr>
        <w:t>Signature</w:t>
      </w:r>
    </w:p>
    <w:p>
      <w:pPr>
        <w:spacing w:after="0" w:line="249"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(Signature must conform in all respects to name of holder as specified on the face of this Warrant Certificate and must bear a signature guarantee by a FINRA member firm).</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Warrant may be exercised at the following addresses: By hand at: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mail at:</w:t>
      </w:r>
    </w:p>
    <w:p>
      <w:pPr>
        <w:spacing w:after="0" w:line="166"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7"/>
          <w:szCs w:val="17"/>
          <w:color w:val="auto"/>
        </w:rPr>
        <w:t>[Instructions as to form and delivery of Warrant Debt Securities and, if applicable, Warrant Certificates evidencing Warrants for the number of Warrant Debt Securities remaining unexercised—complete as appropriate.]</w:t>
      </w:r>
    </w:p>
    <w:p>
      <w:pPr>
        <w:sectPr>
          <w:pgSz w:w="11900" w:h="16838" w:orient="portrait"/>
          <w:cols w:equalWidth="0" w:num="1">
            <w:col w:w="11060"/>
          </w:cols>
          <w:pgMar w:left="300" w:top="1122" w:right="539" w:bottom="1440" w:gutter="0" w:footer="0" w:header="0"/>
        </w:sectPr>
      </w:pPr>
    </w:p>
    <w:bookmarkStart w:id="159" w:name="page160"/>
    <w:bookmarkEnd w:id="159"/>
    <w:p>
      <w:pPr>
        <w:ind w:left="5340"/>
        <w:spacing w:after="0"/>
        <w:rPr>
          <w:sz w:val="20"/>
          <w:szCs w:val="20"/>
          <w:color w:val="auto"/>
        </w:rPr>
      </w:pPr>
      <w:r>
        <w:rPr>
          <w:rFonts w:ascii="Times New Roman" w:cs="Times New Roman" w:eastAsia="Times New Roman" w:hAnsi="Times New Roman"/>
          <w:sz w:val="17"/>
          <w:szCs w:val="17"/>
          <w:b w:val="1"/>
          <w:bCs w:val="1"/>
          <w:color w:val="auto"/>
        </w:rPr>
        <w:t>ASSIGNMENT</w:t>
      </w:r>
    </w:p>
    <w:p>
      <w:pPr>
        <w:spacing w:after="0" w:line="17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7"/>
          <w:szCs w:val="17"/>
          <w:color w:val="auto"/>
        </w:rPr>
        <w:t>[Form of assignment to be executed if Warrant Holder desires to transfer Warrant]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FOR VALUE RECEIVED, </w:t>
      </w:r>
      <w:r>
        <w:rPr>
          <w:rFonts w:ascii="Times New Roman" w:cs="Times New Roman" w:eastAsia="Times New Roman" w:hAnsi="Times New Roman"/>
          <w:sz w:val="17"/>
          <w:szCs w:val="17"/>
          <w:color w:val="auto"/>
        </w:rPr>
        <w:t>______________ hereby sells, assigns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266065</wp:posOffset>
            </wp:positionV>
            <wp:extent cx="7164705"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pacing w:after="0" w:line="399" w:lineRule="exact"/>
        <w:rPr>
          <w:sz w:val="20"/>
          <w:szCs w:val="20"/>
          <w:color w:val="auto"/>
        </w:rPr>
      </w:pPr>
    </w:p>
    <w:p>
      <w:pPr>
        <w:ind w:left="20"/>
        <w:spacing w:after="0"/>
        <w:tabs>
          <w:tab w:leader="none" w:pos="5500" w:val="left"/>
        </w:tabs>
        <w:rPr>
          <w:sz w:val="20"/>
          <w:szCs w:val="20"/>
          <w:color w:val="auto"/>
        </w:rPr>
      </w:pPr>
      <w:r>
        <w:rPr>
          <w:rFonts w:ascii="Times New Roman" w:cs="Times New Roman" w:eastAsia="Times New Roman" w:hAnsi="Times New Roman"/>
          <w:sz w:val="17"/>
          <w:szCs w:val="17"/>
          <w:color w:val="auto"/>
        </w:rPr>
        <w:t>(Please print name and address including zip code)</w:t>
      </w:r>
      <w:r>
        <w:rPr>
          <w:sz w:val="20"/>
          <w:szCs w:val="20"/>
          <w:color w:val="auto"/>
        </w:rPr>
        <w:tab/>
      </w:r>
      <w:r>
        <w:rPr>
          <w:rFonts w:ascii="Times New Roman" w:cs="Times New Roman" w:eastAsia="Times New Roman" w:hAnsi="Times New Roman"/>
          <w:sz w:val="16"/>
          <w:szCs w:val="16"/>
          <w:color w:val="auto"/>
        </w:rPr>
        <w:t>Please print Social Security or other identifying number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right represented by the within Warrant to purchase ________ aggregate principal amount of [Title of Warrant Debt Securities] of Acumen Pharmaceuticals, Inc.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which the within Warrant relates and appoints ____________________ attorney to transfer such right on the books of the Warrant Agent with full power of substitution in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premises.</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7"/>
                <w:szCs w:val="17"/>
                <w:color w:val="auto"/>
              </w:rPr>
              <w:t>Dated:</w:t>
            </w:r>
          </w:p>
        </w:tc>
        <w:tc>
          <w:tcPr>
            <w:tcW w:w="700" w:type="dxa"/>
            <w:vAlign w:val="bottom"/>
          </w:tcPr>
          <w:p>
            <w:pPr>
              <w:spacing w:after="0"/>
              <w:rPr>
                <w:sz w:val="18"/>
                <w:szCs w:val="18"/>
                <w:color w:val="auto"/>
              </w:rPr>
            </w:pPr>
          </w:p>
        </w:tc>
        <w:tc>
          <w:tcPr>
            <w:tcW w:w="780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Name:</w:t>
            </w:r>
          </w:p>
        </w:tc>
      </w:tr>
      <w:tr>
        <w:trPr>
          <w:trHeight w:val="207"/>
        </w:trPr>
        <w:tc>
          <w:tcPr>
            <w:tcW w:w="276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580" w:type="dxa"/>
            <w:vAlign w:val="bottom"/>
          </w:tcPr>
          <w:p>
            <w:pPr>
              <w:spacing w:after="0"/>
              <w:rPr>
                <w:sz w:val="17"/>
                <w:szCs w:val="17"/>
                <w:color w:val="auto"/>
              </w:rPr>
            </w:pPr>
          </w:p>
        </w:tc>
        <w:tc>
          <w:tcPr>
            <w:tcW w:w="4220" w:type="dxa"/>
            <w:vAlign w:val="bottom"/>
            <w:tcBorders>
              <w:top w:val="single" w:sz="8" w:color="auto"/>
            </w:tcBorders>
          </w:tcPr>
          <w:p>
            <w:pPr>
              <w:ind w:left="1800"/>
              <w:spacing w:after="0"/>
              <w:rPr>
                <w:sz w:val="20"/>
                <w:szCs w:val="20"/>
                <w:color w:val="auto"/>
              </w:rPr>
            </w:pPr>
            <w:r>
              <w:rPr>
                <w:rFonts w:ascii="Times New Roman" w:cs="Times New Roman" w:eastAsia="Times New Roman" w:hAnsi="Times New Roman"/>
                <w:sz w:val="17"/>
                <w:szCs w:val="17"/>
                <w:color w:val="auto"/>
              </w:rPr>
              <w:t>Signature</w:t>
            </w: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must conform in all respects to name of holder as specified on the face of the Warrant)</w:t>
      </w: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144780</wp:posOffset>
            </wp:positionV>
            <wp:extent cx="7164705"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4">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1118" w:right="31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105410</wp:posOffset>
            </wp:positionV>
            <wp:extent cx="374015" cy="5518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5">
                      <a:extLst>
                        <a:ext uri="{28A0092B-C50C-407E-A947-70E740481C1C}"/>
                      </a:extLst>
                    </a:blip>
                    <a:srcRect/>
                    <a:stretch>
                      <a:fillRect/>
                    </a:stretch>
                  </pic:blipFill>
                  <pic:spPr bwMode="auto">
                    <a:xfrm>
                      <a:off x="0" y="0"/>
                      <a:ext cx="374015" cy="551815"/>
                    </a:xfrm>
                    <a:prstGeom prst="rect">
                      <a:avLst/>
                    </a:prstGeom>
                    <a:noFill/>
                  </pic:spPr>
                </pic:pic>
              </a:graphicData>
            </a:graphic>
          </wp:anchor>
        </w:drawing>
      </w:r>
    </w:p>
    <w:p>
      <w:pPr>
        <w:spacing w:after="0" w:line="247" w:lineRule="exact"/>
        <w:rPr>
          <w:sz w:val="20"/>
          <w:szCs w:val="20"/>
          <w:color w:val="auto"/>
        </w:rPr>
      </w:pPr>
    </w:p>
    <w:p>
      <w:pPr>
        <w:ind w:left="1380"/>
        <w:spacing w:after="0"/>
        <w:rPr>
          <w:sz w:val="20"/>
          <w:szCs w:val="20"/>
          <w:color w:val="auto"/>
        </w:rPr>
      </w:pPr>
      <w:r>
        <w:rPr>
          <w:rFonts w:ascii="Arial" w:cs="Arial" w:eastAsia="Arial" w:hAnsi="Arial"/>
          <w:sz w:val="10"/>
          <w:szCs w:val="10"/>
          <w:color w:val="auto"/>
        </w:rPr>
        <w:t>ROPES &amp; GRAY LLP</w:t>
      </w:r>
    </w:p>
    <w:p>
      <w:pPr>
        <w:spacing w:after="0" w:line="40" w:lineRule="exact"/>
        <w:rPr>
          <w:sz w:val="20"/>
          <w:szCs w:val="20"/>
          <w:color w:val="auto"/>
        </w:rPr>
      </w:pPr>
    </w:p>
    <w:p>
      <w:pPr>
        <w:ind w:left="1380"/>
        <w:spacing w:after="0"/>
        <w:rPr>
          <w:sz w:val="20"/>
          <w:szCs w:val="20"/>
          <w:color w:val="auto"/>
        </w:rPr>
      </w:pPr>
      <w:r>
        <w:rPr>
          <w:rFonts w:ascii="Arial" w:cs="Arial" w:eastAsia="Arial" w:hAnsi="Arial"/>
          <w:sz w:val="10"/>
          <w:szCs w:val="10"/>
          <w:color w:val="auto"/>
        </w:rPr>
        <w:t>PRUDENTIAL TOWER</w:t>
      </w:r>
    </w:p>
    <w:p>
      <w:pPr>
        <w:spacing w:after="0" w:line="30" w:lineRule="exact"/>
        <w:rPr>
          <w:sz w:val="20"/>
          <w:szCs w:val="20"/>
          <w:color w:val="auto"/>
        </w:rPr>
      </w:pPr>
    </w:p>
    <w:p>
      <w:pPr>
        <w:ind w:left="1380"/>
        <w:spacing w:after="0"/>
        <w:rPr>
          <w:sz w:val="20"/>
          <w:szCs w:val="20"/>
          <w:color w:val="auto"/>
        </w:rPr>
      </w:pPr>
      <w:r>
        <w:rPr>
          <w:rFonts w:ascii="Arial" w:cs="Arial" w:eastAsia="Arial" w:hAnsi="Arial"/>
          <w:sz w:val="10"/>
          <w:szCs w:val="10"/>
          <w:color w:val="auto"/>
        </w:rPr>
        <w:t>800 BOYLSTON STREET</w:t>
      </w:r>
    </w:p>
    <w:p>
      <w:pPr>
        <w:spacing w:after="0" w:line="40" w:lineRule="exact"/>
        <w:rPr>
          <w:sz w:val="20"/>
          <w:szCs w:val="20"/>
          <w:color w:val="auto"/>
        </w:rPr>
      </w:pPr>
    </w:p>
    <w:p>
      <w:pPr>
        <w:ind w:left="1380"/>
        <w:spacing w:after="0"/>
        <w:rPr>
          <w:sz w:val="20"/>
          <w:szCs w:val="20"/>
          <w:color w:val="auto"/>
        </w:rPr>
      </w:pPr>
      <w:r>
        <w:rPr>
          <w:rFonts w:ascii="Arial" w:cs="Arial" w:eastAsia="Arial" w:hAnsi="Arial"/>
          <w:sz w:val="10"/>
          <w:szCs w:val="10"/>
          <w:color w:val="auto"/>
        </w:rPr>
        <w:t>BOSTON, MA 02199-3600</w:t>
      </w:r>
    </w:p>
    <w:p>
      <w:pPr>
        <w:spacing w:after="0" w:line="40" w:lineRule="exact"/>
        <w:rPr>
          <w:sz w:val="20"/>
          <w:szCs w:val="20"/>
          <w:color w:val="auto"/>
        </w:rPr>
      </w:pPr>
    </w:p>
    <w:p>
      <w:pPr>
        <w:ind w:left="1380"/>
        <w:spacing w:after="0"/>
        <w:rPr>
          <w:sz w:val="20"/>
          <w:szCs w:val="20"/>
          <w:color w:val="auto"/>
        </w:rPr>
      </w:pPr>
      <w:r>
        <w:rPr>
          <w:rFonts w:ascii="Arial" w:cs="Arial" w:eastAsia="Arial" w:hAnsi="Arial"/>
          <w:sz w:val="10"/>
          <w:szCs w:val="10"/>
          <w:color w:val="auto"/>
        </w:rPr>
        <w:t>WWW.ROPESGRAY.COM</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October 26, 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Acumen Pharmaceuticals,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1210-1220 Washington St., Suite 210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Newton, MA 02465</w:t>
      </w:r>
    </w:p>
    <w:p>
      <w:pPr>
        <w:spacing w:after="0" w:line="230"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7"/>
          <w:szCs w:val="17"/>
          <w:color w:val="auto"/>
        </w:rPr>
        <w:t>Re:</w:t>
      </w:r>
      <w:r>
        <w:rPr>
          <w:sz w:val="20"/>
          <w:szCs w:val="20"/>
          <w:color w:val="auto"/>
        </w:rPr>
        <w:tab/>
      </w:r>
      <w:r>
        <w:rPr>
          <w:rFonts w:ascii="Times New Roman" w:cs="Times New Roman" w:eastAsia="Times New Roman" w:hAnsi="Times New Roman"/>
          <w:sz w:val="17"/>
          <w:szCs w:val="17"/>
          <w:color w:val="auto"/>
        </w:rPr>
        <w:t>Registration of Securities by Acumen Pharmaceuticals, Inc.</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197" w:lineRule="exact"/>
        <w:rPr>
          <w:sz w:val="20"/>
          <w:szCs w:val="20"/>
          <w:color w:val="auto"/>
        </w:rPr>
      </w:pPr>
    </w:p>
    <w:p>
      <w:pPr>
        <w:ind w:right="140" w:firstLine="496"/>
        <w:spacing w:after="0" w:line="249" w:lineRule="auto"/>
        <w:rPr>
          <w:sz w:val="20"/>
          <w:szCs w:val="20"/>
          <w:color w:val="auto"/>
        </w:rPr>
      </w:pPr>
      <w:r>
        <w:rPr>
          <w:rFonts w:ascii="Times New Roman" w:cs="Times New Roman" w:eastAsia="Times New Roman" w:hAnsi="Times New Roman"/>
          <w:sz w:val="17"/>
          <w:szCs w:val="17"/>
          <w:color w:val="auto"/>
        </w:rPr>
        <w:t>We have acted as counsel to Acumen Pharmaceuticals,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in connection with the registration statement on Form S-3 (the “</w:t>
      </w:r>
      <w:r>
        <w:rPr>
          <w:rFonts w:ascii="Times New Roman" w:cs="Times New Roman" w:eastAsia="Times New Roman" w:hAnsi="Times New Roman"/>
          <w:sz w:val="17"/>
          <w:szCs w:val="17"/>
          <w:u w:val="single" w:color="auto"/>
          <w:color w:val="auto"/>
        </w:rPr>
        <w:t>Registration Statement</w:t>
      </w:r>
      <w:r>
        <w:rPr>
          <w:rFonts w:ascii="Times New Roman" w:cs="Times New Roman" w:eastAsia="Times New Roman" w:hAnsi="Times New Roman"/>
          <w:sz w:val="17"/>
          <w:szCs w:val="17"/>
          <w:color w:val="auto"/>
        </w:rPr>
        <w:t>”) filed on the date hereof by the Company with the Securities and Exchange Commission (the “</w:t>
      </w:r>
      <w:r>
        <w:rPr>
          <w:rFonts w:ascii="Times New Roman" w:cs="Times New Roman" w:eastAsia="Times New Roman" w:hAnsi="Times New Roman"/>
          <w:sz w:val="17"/>
          <w:szCs w:val="17"/>
          <w:u w:val="single" w:color="auto"/>
          <w:color w:val="auto"/>
        </w:rPr>
        <w:t>Commission</w:t>
      </w:r>
      <w:r>
        <w:rPr>
          <w:rFonts w:ascii="Times New Roman" w:cs="Times New Roman" w:eastAsia="Times New Roman" w:hAnsi="Times New Roman"/>
          <w:sz w:val="17"/>
          <w:szCs w:val="17"/>
          <w:color w:val="auto"/>
        </w:rPr>
        <w:t>”) under the Securities Act of 1933, as amended (the “</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relating to the registration under the Securities Act, and the proposed issuance and sale from time to time pursuant to Rule 415 under the Securities Act, of an indeterminate amount of the following securities:</w:t>
      </w:r>
    </w:p>
    <w:p>
      <w:pPr>
        <w:spacing w:after="0" w:line="151" w:lineRule="exact"/>
        <w:rPr>
          <w:sz w:val="20"/>
          <w:szCs w:val="20"/>
          <w:color w:val="auto"/>
        </w:rPr>
      </w:pPr>
    </w:p>
    <w:p>
      <w:pPr>
        <w:ind w:left="700" w:hanging="201"/>
        <w:spacing w:after="0"/>
        <w:tabs>
          <w:tab w:leader="none" w:pos="70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common stock of the Company, $0.0001 par value per share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w:t>
      </w:r>
    </w:p>
    <w:p>
      <w:pPr>
        <w:spacing w:after="0" w:line="166" w:lineRule="exact"/>
        <w:rPr>
          <w:rFonts w:ascii="Times New Roman" w:cs="Times New Roman" w:eastAsia="Times New Roman" w:hAnsi="Times New Roman"/>
          <w:sz w:val="17"/>
          <w:szCs w:val="17"/>
          <w:color w:val="auto"/>
        </w:rPr>
      </w:pPr>
    </w:p>
    <w:p>
      <w:pPr>
        <w:ind w:left="740" w:hanging="241"/>
        <w:spacing w:after="0"/>
        <w:tabs>
          <w:tab w:leader="none" w:pos="74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preferred stock of the Company, $0.0001 par value per share (“</w:t>
      </w:r>
      <w:r>
        <w:rPr>
          <w:rFonts w:ascii="Times New Roman" w:cs="Times New Roman" w:eastAsia="Times New Roman" w:hAnsi="Times New Roman"/>
          <w:sz w:val="17"/>
          <w:szCs w:val="17"/>
          <w:u w:val="single" w:color="auto"/>
          <w:color w:val="auto"/>
        </w:rPr>
        <w:t>Preferred Stock</w:t>
      </w:r>
      <w:r>
        <w:rPr>
          <w:rFonts w:ascii="Times New Roman" w:cs="Times New Roman" w:eastAsia="Times New Roman" w:hAnsi="Times New Roman"/>
          <w:sz w:val="17"/>
          <w:szCs w:val="17"/>
          <w:color w:val="auto"/>
        </w:rPr>
        <w:t>”);</w:t>
      </w:r>
    </w:p>
    <w:p>
      <w:pPr>
        <w:spacing w:after="0" w:line="166" w:lineRule="exact"/>
        <w:rPr>
          <w:rFonts w:ascii="Times New Roman" w:cs="Times New Roman" w:eastAsia="Times New Roman" w:hAnsi="Times New Roman"/>
          <w:sz w:val="17"/>
          <w:szCs w:val="17"/>
          <w:color w:val="auto"/>
        </w:rPr>
      </w:pPr>
    </w:p>
    <w:p>
      <w:pPr>
        <w:jc w:val="both"/>
        <w:ind w:right="180" w:firstLine="499"/>
        <w:spacing w:after="0" w:line="253" w:lineRule="auto"/>
        <w:tabs>
          <w:tab w:leader="none" w:pos="786"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 or more series of debt securities of the Company (the “</w:t>
      </w:r>
      <w:r>
        <w:rPr>
          <w:rFonts w:ascii="Times New Roman" w:cs="Times New Roman" w:eastAsia="Times New Roman" w:hAnsi="Times New Roman"/>
          <w:sz w:val="17"/>
          <w:szCs w:val="17"/>
          <w:u w:val="single" w:color="auto"/>
          <w:color w:val="auto"/>
        </w:rPr>
        <w:t>Debt Securities</w:t>
      </w:r>
      <w:r>
        <w:rPr>
          <w:rFonts w:ascii="Times New Roman" w:cs="Times New Roman" w:eastAsia="Times New Roman" w:hAnsi="Times New Roman"/>
          <w:sz w:val="17"/>
          <w:szCs w:val="17"/>
          <w:color w:val="auto"/>
        </w:rPr>
        <w:t>”), which Debt Securities may include senior debt securities or subordinated debt securities issued under an indenture, including any supplemental indenture related thereto, and may be convertible into or exchangeable for shares of Common Stock or Preferred Stock; and</w:t>
      </w:r>
    </w:p>
    <w:p>
      <w:pPr>
        <w:spacing w:after="0" w:line="147" w:lineRule="exact"/>
        <w:rPr>
          <w:rFonts w:ascii="Times New Roman" w:cs="Times New Roman" w:eastAsia="Times New Roman" w:hAnsi="Times New Roman"/>
          <w:sz w:val="17"/>
          <w:szCs w:val="17"/>
          <w:color w:val="auto"/>
        </w:rPr>
      </w:pPr>
    </w:p>
    <w:p>
      <w:pPr>
        <w:ind w:left="780" w:hanging="281"/>
        <w:spacing w:after="0"/>
        <w:tabs>
          <w:tab w:leader="none" w:pos="78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warrants representing the right to purchase, upon exercise, a number of shares of Common Stock, shares of Preferred Stock and/or Debt Securities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Warrants</w:t>
      </w:r>
      <w:r>
        <w:rPr>
          <w:rFonts w:ascii="Times New Roman" w:cs="Times New Roman" w:eastAsia="Times New Roman" w:hAnsi="Times New Roman"/>
          <w:sz w:val="17"/>
          <w:szCs w:val="17"/>
          <w:color w:val="auto"/>
        </w:rPr>
        <w:t>”).</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Common Stock, the Preferred Stock, the Debt Securities and the Warrants are referred to herein collectively as the “</w:t>
      </w:r>
      <w:r>
        <w:rPr>
          <w:rFonts w:ascii="Times New Roman" w:cs="Times New Roman" w:eastAsia="Times New Roman" w:hAnsi="Times New Roman"/>
          <w:sz w:val="17"/>
          <w:szCs w:val="17"/>
          <w:u w:val="single" w:color="auto"/>
          <w:color w:val="auto"/>
        </w:rPr>
        <w:t>Securities</w:t>
      </w:r>
      <w:r>
        <w:rPr>
          <w:rFonts w:ascii="Times New Roman" w:cs="Times New Roman" w:eastAsia="Times New Roman" w:hAnsi="Times New Roman"/>
          <w:sz w:val="17"/>
          <w:szCs w:val="17"/>
          <w:color w:val="auto"/>
        </w:rPr>
        <w:t>.”</w:t>
      </w:r>
    </w:p>
    <w:p>
      <w:pPr>
        <w:spacing w:after="0" w:line="166" w:lineRule="exact"/>
        <w:rPr>
          <w:sz w:val="20"/>
          <w:szCs w:val="20"/>
          <w:color w:val="auto"/>
        </w:rPr>
      </w:pPr>
    </w:p>
    <w:p>
      <w:pPr>
        <w:jc w:val="both"/>
        <w:ind w:right="80" w:firstLine="496"/>
        <w:spacing w:after="0" w:line="259" w:lineRule="auto"/>
        <w:rPr>
          <w:sz w:val="20"/>
          <w:szCs w:val="20"/>
          <w:color w:val="auto"/>
        </w:rPr>
      </w:pPr>
      <w:r>
        <w:rPr>
          <w:rFonts w:ascii="Times New Roman" w:cs="Times New Roman" w:eastAsia="Times New Roman" w:hAnsi="Times New Roman"/>
          <w:sz w:val="17"/>
          <w:szCs w:val="17"/>
          <w:color w:val="auto"/>
        </w:rPr>
        <w:t>In connection with this opinion letter, we have examined such certificates, documents and records and have made such investigation of fact and such examination of law as we have deemed appropriate in order to enable us to render the opinions set forth herein. In conducting such investigation, we have relied, without independent verification, upon certificates of officers of the Company, public officials and other appropriate persons.</w:t>
      </w:r>
    </w:p>
    <w:p>
      <w:pPr>
        <w:sectPr>
          <w:pgSz w:w="11900" w:h="16838" w:orient="portrait"/>
          <w:cols w:equalWidth="0" w:num="1">
            <w:col w:w="11280"/>
          </w:cols>
          <w:pgMar w:left="300" w:top="123" w:right="319" w:bottom="1440" w:gutter="0" w:footer="0" w:header="0"/>
        </w:sectPr>
      </w:pPr>
    </w:p>
    <w:bookmarkStart w:id="161" w:name="page162"/>
    <w:bookmarkEnd w:id="161"/>
    <w:tbl>
      <w:tblPr>
        <w:tblLayout w:type="fixed"/>
        <w:tblInd w:w="57" w:type="dxa"/>
        <w:tblCellMar>
          <w:top w:w="0" w:type="dxa"/>
          <w:left w:w="0" w:type="dxa"/>
          <w:bottom w:w="0" w:type="dxa"/>
          <w:right w:w="0" w:type="dxa"/>
        </w:tblCellMar>
      </w:tblPr>
      <w:tr>
        <w:trPr>
          <w:trHeight w:val="215"/>
        </w:trPr>
        <w:tc>
          <w:tcPr>
            <w:tcW w:w="3680" w:type="dxa"/>
            <w:vAlign w:val="bottom"/>
          </w:tcPr>
          <w:p>
            <w:pPr>
              <w:spacing w:after="0"/>
              <w:rPr>
                <w:sz w:val="20"/>
                <w:szCs w:val="20"/>
                <w:color w:val="auto"/>
              </w:rPr>
            </w:pPr>
            <w:r>
              <w:rPr>
                <w:rFonts w:ascii="Times New Roman" w:cs="Times New Roman" w:eastAsia="Times New Roman" w:hAnsi="Times New Roman"/>
                <w:sz w:val="17"/>
                <w:szCs w:val="17"/>
                <w:color w:val="auto"/>
              </w:rPr>
              <w:t>Acumen Pharmaceuticals, Inc.</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- 2 -</w:t>
            </w:r>
          </w:p>
        </w:tc>
      </w:tr>
    </w:tbl>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97"/>
        <w:spacing w:after="0"/>
        <w:rPr>
          <w:sz w:val="20"/>
          <w:szCs w:val="20"/>
          <w:color w:val="auto"/>
        </w:rPr>
      </w:pPr>
      <w:r>
        <w:rPr>
          <w:rFonts w:ascii="Times New Roman" w:cs="Times New Roman" w:eastAsia="Times New Roman" w:hAnsi="Times New Roman"/>
          <w:sz w:val="17"/>
          <w:szCs w:val="17"/>
          <w:color w:val="auto"/>
        </w:rPr>
        <w:t>The opinions expressed below are limited to the laws of the State of New York and the Delaware General Corporation Law.</w:t>
      </w:r>
    </w:p>
    <w:p>
      <w:pPr>
        <w:spacing w:after="0" w:line="166" w:lineRule="exact"/>
        <w:rPr>
          <w:sz w:val="20"/>
          <w:szCs w:val="20"/>
          <w:color w:val="auto"/>
        </w:rPr>
      </w:pPr>
    </w:p>
    <w:p>
      <w:pPr>
        <w:ind w:left="497"/>
        <w:spacing w:after="0"/>
        <w:rPr>
          <w:sz w:val="20"/>
          <w:szCs w:val="20"/>
          <w:color w:val="auto"/>
        </w:rPr>
      </w:pPr>
      <w:r>
        <w:rPr>
          <w:rFonts w:ascii="Times New Roman" w:cs="Times New Roman" w:eastAsia="Times New Roman" w:hAnsi="Times New Roman"/>
          <w:sz w:val="17"/>
          <w:szCs w:val="17"/>
          <w:color w:val="auto"/>
        </w:rPr>
        <w:t>Based upon and subject to the foregoing and the assumptions, qualifications and limitations set forth below, we are of the opinion that:</w:t>
      </w:r>
    </w:p>
    <w:p>
      <w:pPr>
        <w:spacing w:after="0" w:line="166" w:lineRule="exact"/>
        <w:rPr>
          <w:sz w:val="20"/>
          <w:szCs w:val="20"/>
          <w:color w:val="auto"/>
        </w:rPr>
      </w:pPr>
    </w:p>
    <w:p>
      <w:pPr>
        <w:jc w:val="both"/>
        <w:ind w:left="-3" w:right="60" w:firstLine="499"/>
        <w:spacing w:after="0" w:line="250" w:lineRule="auto"/>
        <w:tabs>
          <w:tab w:leader="none" w:pos="990" w:val="left"/>
        </w:tabs>
        <w:numPr>
          <w:ilvl w:val="1"/>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(i) the issuance and sale of any shares of Common Stock have been duly authorized by all necessary corporate action of the Company and (ii) such shares have been issued and delivered against payment of the purchase price therefor (in an amount in excess of the par value thereof) in accordance with the applicable purchase, underwriting or other agreement, and as contemplated by the Registration Statement, such shares of Common Stock will be validly issued, fully paid and nonassessable. The Common Stock covered in the opinion in this paragraph includes any shares of Common Stock that may be issued upon exercise, conversion or exchange pursuant to the terms of any other Securities.</w:t>
      </w:r>
    </w:p>
    <w:p>
      <w:pPr>
        <w:spacing w:after="0" w:line="140" w:lineRule="exact"/>
        <w:rPr>
          <w:rFonts w:ascii="Times New Roman" w:cs="Times New Roman" w:eastAsia="Times New Roman" w:hAnsi="Times New Roman"/>
          <w:sz w:val="17"/>
          <w:szCs w:val="17"/>
          <w:color w:val="auto"/>
        </w:rPr>
      </w:pPr>
    </w:p>
    <w:p>
      <w:pPr>
        <w:ind w:left="-3" w:firstLine="499"/>
        <w:spacing w:after="0" w:line="248" w:lineRule="auto"/>
        <w:tabs>
          <w:tab w:leader="none" w:pos="990" w:val="left"/>
        </w:tabs>
        <w:numPr>
          <w:ilvl w:val="1"/>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(i) the terms of any Preferred Stock of a particular series and their issuance and sale have been duly authorized by all necessary corporate action of the Company, (ii) a certificate of designations with respect to such series of Preferred Stock has been duly adopted by the Company and filed with the Secretary of State of the State of Delaware and (iii) such shares of Preferred Stock have been issued and delivered against payment of the purchase price therefor (in an amount in excess of the par value thereof) in accordance with the applicable purchase, underwriting or other agreement, and as contemplated by the Registration Statement, such shares of Preferred Stock will be validly issued, fully paid and nonassessable. The Preferred Stock covered in the opinion in this paragraph includes any shares of Preferred Stock that may be issued upon exercise, conversion or exchange pursuant to the terms of any other Securities.</w:t>
      </w:r>
    </w:p>
    <w:p>
      <w:pPr>
        <w:spacing w:after="0" w:line="142" w:lineRule="exact"/>
        <w:rPr>
          <w:rFonts w:ascii="Times New Roman" w:cs="Times New Roman" w:eastAsia="Times New Roman" w:hAnsi="Times New Roman"/>
          <w:sz w:val="17"/>
          <w:szCs w:val="17"/>
          <w:color w:val="auto"/>
        </w:rPr>
      </w:pPr>
    </w:p>
    <w:p>
      <w:pPr>
        <w:ind w:left="997" w:hanging="501"/>
        <w:spacing w:after="0"/>
        <w:tabs>
          <w:tab w:leader="none" w:pos="997" w:val="left"/>
        </w:tabs>
        <w:numPr>
          <w:ilvl w:val="1"/>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(i) the terms of any Debt Securities and their issuance and sale have been duly authorized by all necessary corporate action of the Company and</w:t>
      </w:r>
    </w:p>
    <w:p>
      <w:pPr>
        <w:spacing w:after="0" w:line="31" w:lineRule="exact"/>
        <w:rPr>
          <w:rFonts w:ascii="Times New Roman" w:cs="Times New Roman" w:eastAsia="Times New Roman" w:hAnsi="Times New Roman"/>
          <w:sz w:val="16"/>
          <w:szCs w:val="16"/>
          <w:color w:val="auto"/>
        </w:rPr>
      </w:pPr>
    </w:p>
    <w:p>
      <w:pPr>
        <w:ind w:left="-3" w:firstLine="3"/>
        <w:spacing w:after="0" w:line="244" w:lineRule="auto"/>
        <w:tabs>
          <w:tab w:leader="none" w:pos="241"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Debt Securities have been duly executed, authenticated and delivered against payment of the purchase price therefor in accordance with the applicable definitive purchase, underwriting or similar agreement, as contemplated by the Registration Statement, and in the manner provided for in the applicable indenture, such Debt Securities will constitute valid and binding obligations of the Company enforceable against the Company in accordance with their respective terms. The Debt Securities covered in the opinion in this paragraph include any Debt Securities that may be issued upon exercise, conversion or exchange pursuant to the terms of any other Securities.</w:t>
      </w:r>
    </w:p>
    <w:p>
      <w:pPr>
        <w:spacing w:after="0" w:line="155" w:lineRule="exact"/>
        <w:rPr>
          <w:rFonts w:ascii="Times New Roman" w:cs="Times New Roman" w:eastAsia="Times New Roman" w:hAnsi="Times New Roman"/>
          <w:sz w:val="17"/>
          <w:szCs w:val="17"/>
          <w:color w:val="auto"/>
        </w:rPr>
      </w:pPr>
    </w:p>
    <w:p>
      <w:pPr>
        <w:jc w:val="both"/>
        <w:ind w:left="-3" w:right="60" w:firstLine="499"/>
        <w:spacing w:after="0" w:line="249" w:lineRule="auto"/>
        <w:tabs>
          <w:tab w:leader="none" w:pos="990" w:val="left"/>
        </w:tabs>
        <w:numPr>
          <w:ilvl w:val="1"/>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(i) the terms of any Warrants and their issuance and sale have been duly authorized by all necessary corporate action of the Company and (ii) such Warrants have been duly executed, countersigned and delivered in accordance with the applicable warrant agreement and against payment of the purchase price therefor in accordance with the applicable purchase, underwriting or other agreement, and as contemplated by the Registration Statement, such Warrants will constitute valid and binding obligations of the Company enforceable against the Company in accordance with their respective terms.</w:t>
      </w:r>
    </w:p>
    <w:p>
      <w:pPr>
        <w:sectPr>
          <w:pgSz w:w="11900" w:h="16838" w:orient="portrait"/>
          <w:cols w:equalWidth="0" w:num="1">
            <w:col w:w="11217"/>
          </w:cols>
          <w:pgMar w:left="303" w:top="171" w:right="379" w:bottom="1440" w:gutter="0" w:footer="0" w:header="0"/>
        </w:sectPr>
      </w:pPr>
    </w:p>
    <w:bookmarkStart w:id="162" w:name="page163"/>
    <w:bookmarkEnd w:id="162"/>
    <w:tbl>
      <w:tblPr>
        <w:tblLayout w:type="fixed"/>
        <w:tblInd w:w="60" w:type="dxa"/>
        <w:tblCellMar>
          <w:top w:w="0" w:type="dxa"/>
          <w:left w:w="0" w:type="dxa"/>
          <w:bottom w:w="0" w:type="dxa"/>
          <w:right w:w="0" w:type="dxa"/>
        </w:tblCellMar>
      </w:tblPr>
      <w:tr>
        <w:trPr>
          <w:trHeight w:val="215"/>
        </w:trPr>
        <w:tc>
          <w:tcPr>
            <w:tcW w:w="3680" w:type="dxa"/>
            <w:vAlign w:val="bottom"/>
          </w:tcPr>
          <w:p>
            <w:pPr>
              <w:spacing w:after="0"/>
              <w:rPr>
                <w:sz w:val="20"/>
                <w:szCs w:val="20"/>
                <w:color w:val="auto"/>
              </w:rPr>
            </w:pPr>
            <w:r>
              <w:rPr>
                <w:rFonts w:ascii="Times New Roman" w:cs="Times New Roman" w:eastAsia="Times New Roman" w:hAnsi="Times New Roman"/>
                <w:sz w:val="17"/>
                <w:szCs w:val="17"/>
                <w:color w:val="auto"/>
              </w:rPr>
              <w:t>Acumen Pharmaceuticals, Inc.</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- 3 -</w:t>
            </w:r>
          </w:p>
        </w:tc>
      </w:tr>
    </w:tbl>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60" w:firstLine="496"/>
        <w:spacing w:after="0" w:line="246" w:lineRule="auto"/>
        <w:rPr>
          <w:sz w:val="20"/>
          <w:szCs w:val="20"/>
          <w:color w:val="auto"/>
        </w:rPr>
      </w:pPr>
      <w:r>
        <w:rPr>
          <w:rFonts w:ascii="Times New Roman" w:cs="Times New Roman" w:eastAsia="Times New Roman" w:hAnsi="Times New Roman"/>
          <w:sz w:val="17"/>
          <w:szCs w:val="17"/>
          <w:color w:val="auto"/>
        </w:rPr>
        <w:t>In rendering the opinions set forth above, we have assumed that (i) the Registration Statement will have become effective under the Securities Act, a prospectus supplement will have been prepared and filed with the Commission describing the Securities offered thereby and such Securities will have been issued and sold in accordance with the terms of such prospectus supplement; (ii) a definitive purchase, underwriting, or similar agreement, and any applicable indenture (including any supplemental indenture) or warrant agreement, pursuant to which such Securities may be issued, will have been duly authorized, executed and delivered by the Company and the other parties thereto, and the specific terms of such Securities will have been duly established in conformity with the applicable agreement and the certificate of incorporation and bylaws of the Company (if applicable); (iii) at the time of the issuance of any Securities, the Company will be a validly existing corporation under the law of its jurisdiction of incorporation; (iv) the number of shares of Common Stock or Preferred Stock, as applicable, issued pursuant to the Registration Statement, together with the number of shares outstanding or reserved at the time of issuance, will not exceed the respective number of shares authorized by the Company’s certificate of incorporation in effect at the time of such issuance; and (v) all the foregoing actions to be taken by the Company will have been taken so as not to violate any applicable law and so as to comply with any requirement or restriction imposed by any court or governmental or regulatory body having jurisdiction over the Company or any of its property.</w:t>
      </w:r>
    </w:p>
    <w:p>
      <w:pPr>
        <w:spacing w:after="0" w:line="143" w:lineRule="exact"/>
        <w:rPr>
          <w:sz w:val="20"/>
          <w:szCs w:val="20"/>
          <w:color w:val="auto"/>
        </w:rPr>
      </w:pPr>
    </w:p>
    <w:p>
      <w:pPr>
        <w:ind w:firstLine="496"/>
        <w:spacing w:after="0" w:line="267" w:lineRule="auto"/>
        <w:rPr>
          <w:sz w:val="20"/>
          <w:szCs w:val="20"/>
          <w:color w:val="auto"/>
        </w:rPr>
      </w:pPr>
      <w:r>
        <w:rPr>
          <w:rFonts w:ascii="Times New Roman" w:cs="Times New Roman" w:eastAsia="Times New Roman" w:hAnsi="Times New Roman"/>
          <w:sz w:val="16"/>
          <w:szCs w:val="16"/>
          <w:color w:val="auto"/>
        </w:rPr>
        <w:t>Our opinions set forth above are subject to (a) bankruptcy, insolvency, reorganization, moratorium, fraudulent conveyance and similar laws affecting the rights and remedies of creditors generally and (b) general principles of equity. Our opinions are also subject to the qualification that the enforceability of provisions in any applicable indenture (including any supplemental indenture thereto) providing for indemnification or contribution, broadly worded waivers, waivers of rights to damages or defenses, waivers of unknown or future claims, and waivers of statutory, regulatory or constitutional rights may be limited on public policy or statutory grounds. In addition, we express no opinion with respect to the enforceability of rights to receive prepayment premiums or the unaccrued portion of original issue discount upon acceleration of any Debt Securities, in each case to the extent determined to be unreasonable or to constitute unmatured interest or judgment currency provisions.</w:t>
      </w:r>
    </w:p>
    <w:p>
      <w:pPr>
        <w:spacing w:after="0" w:line="127" w:lineRule="exact"/>
        <w:rPr>
          <w:sz w:val="20"/>
          <w:szCs w:val="20"/>
          <w:color w:val="auto"/>
        </w:rPr>
      </w:pPr>
    </w:p>
    <w:p>
      <w:pPr>
        <w:jc w:val="both"/>
        <w:ind w:right="220" w:firstLine="496"/>
        <w:spacing w:after="0" w:line="259" w:lineRule="auto"/>
        <w:rPr>
          <w:sz w:val="20"/>
          <w:szCs w:val="20"/>
          <w:color w:val="auto"/>
        </w:rPr>
      </w:pPr>
      <w:r>
        <w:rPr>
          <w:rFonts w:ascii="Times New Roman" w:cs="Times New Roman" w:eastAsia="Times New Roman" w:hAnsi="Times New Roman"/>
          <w:sz w:val="17"/>
          <w:szCs w:val="17"/>
          <w:color w:val="auto"/>
        </w:rPr>
        <w:t>We hereby consent to the filing of this opinion letter as an exhibit to the Registration Statement and to the use of our name therein and in the related prospectus under the caption “Legal Matters.” In giving such consent, we do not thereby admit that we are in the category of persons whose consent is required under Section 7 of the Securities Act or the rules and regulations of the Commission thereunder.</w:t>
      </w:r>
    </w:p>
    <w:p>
      <w:pPr>
        <w:spacing w:after="0" w:line="200" w:lineRule="exact"/>
        <w:rPr>
          <w:sz w:val="20"/>
          <w:szCs w:val="20"/>
          <w:color w:val="auto"/>
        </w:rPr>
      </w:pPr>
    </w:p>
    <w:p>
      <w:pPr>
        <w:spacing w:after="0" w:line="28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Very truly yours,</w:t>
      </w:r>
    </w:p>
    <w:p>
      <w:pPr>
        <w:spacing w:after="0" w:line="17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/s/ Ropes &amp; Gray LLP</w:t>
      </w:r>
    </w:p>
    <w:p>
      <w:pPr>
        <w:spacing w:after="0" w:line="177"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7"/>
          <w:szCs w:val="17"/>
          <w:color w:val="auto"/>
        </w:rPr>
        <w:t>Ropes &amp; Gray LLP</w:t>
      </w:r>
    </w:p>
    <w:p>
      <w:pPr>
        <w:sectPr>
          <w:pgSz w:w="11900" w:h="16838" w:orient="portrait"/>
          <w:cols w:equalWidth="0" w:num="1">
            <w:col w:w="11280"/>
          </w:cols>
          <w:pgMar w:left="300" w:top="171" w:right="31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Consent of Independent Registered Public Accounting Firm</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consent to the reference to our firm under the caption “Experts” in the Registration Statement (Form S-3) and related Prospectus of Acumen Pharmaceuticals, Inc. for the registration of its common stock, preferred stock, debt securities and warrants and to the incorporation by reference therein of our report dated March 26, 2026, with respect to the financial statements of Acumen Pharmaceuticals, Inc. included in its Annual Report (Form 10-K) for the year ended December 31, 2025, filed with the Securities and Exchange Commission.</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/s/ Ernst &amp; Young LLP</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4"/>
          <w:szCs w:val="14"/>
          <w:color w:val="auto"/>
        </w:rPr>
        <w:t>Philadelphia, Pennsylvania</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4"/>
          <w:szCs w:val="14"/>
          <w:color w:val="auto"/>
        </w:rPr>
        <w:t>October 26, 2026</w:t>
      </w:r>
    </w:p>
    <w:sectPr>
      <w:pgSz w:w="11900" w:h="16838" w:orient="portrait"/>
      <w:cols w:equalWidth="0" w:num="1">
        <w:col w:w="11280"/>
      </w:cols>
      <w:pgMar w:left="300" w:top="11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E0C57B1"/>
    <w:multiLevelType w:val="hybridMultilevel"/>
    <w:lvl w:ilvl="0">
      <w:lvlJc w:val="left"/>
      <w:lvlText w:val="•"/>
      <w:numFmt w:val="bullet"/>
      <w:start w:val="1"/>
    </w:lvl>
  </w:abstractNum>
  <w:abstractNum w:abstractNumId="1">
    <w:nsid w:val="77AE35EB"/>
    <w:multiLevelType w:val="hybridMultilevel"/>
    <w:lvl w:ilvl="0">
      <w:lvlJc w:val="left"/>
      <w:lvlText w:val="(%1)"/>
      <w:numFmt w:val="lowerRoman"/>
      <w:start w:val="4"/>
    </w:lvl>
  </w:abstractNum>
  <w:abstractNum w:abstractNumId="2">
    <w:nsid w:val="579BE4F1"/>
    <w:multiLevelType w:val="hybridMultilevel"/>
    <w:lvl w:ilvl="0">
      <w:lvlJc w:val="left"/>
      <w:lvlText w:val="•"/>
      <w:numFmt w:val="bullet"/>
      <w:start w:val="1"/>
    </w:lvl>
  </w:abstractNum>
  <w:abstractNum w:abstractNumId="3">
    <w:nsid w:val="310C50B3"/>
    <w:multiLevelType w:val="hybridMultilevel"/>
    <w:lvl w:ilvl="0">
      <w:lvlJc w:val="left"/>
      <w:lvlText w:val="•"/>
      <w:numFmt w:val="bullet"/>
      <w:start w:val="1"/>
    </w:lvl>
  </w:abstractNum>
  <w:abstractNum w:abstractNumId="4">
    <w:nsid w:val="5FF87E05"/>
    <w:multiLevelType w:val="hybridMultilevel"/>
    <w:lvl w:ilvl="0">
      <w:lvlJc w:val="left"/>
      <w:lvlText w:val="•"/>
      <w:numFmt w:val="bullet"/>
      <w:start w:val="1"/>
    </w:lvl>
  </w:abstractNum>
  <w:abstractNum w:abstractNumId="5">
    <w:nsid w:val="2F305DEF"/>
    <w:multiLevelType w:val="hybridMultilevel"/>
    <w:lvl w:ilvl="0">
      <w:lvlJc w:val="left"/>
      <w:lvlText w:val="•"/>
      <w:numFmt w:val="bullet"/>
      <w:start w:val="1"/>
    </w:lvl>
  </w:abstractNum>
  <w:abstractNum w:abstractNumId="6">
    <w:nsid w:val="25A70BF7"/>
    <w:multiLevelType w:val="hybridMultilevel"/>
    <w:lvl w:ilvl="0">
      <w:lvlJc w:val="left"/>
      <w:lvlText w:val="•"/>
      <w:numFmt w:val="bullet"/>
      <w:start w:val="1"/>
    </w:lvl>
  </w:abstractNum>
  <w:abstractNum w:abstractNumId="7">
    <w:nsid w:val="1DBABF00"/>
    <w:multiLevelType w:val="hybridMultilevel"/>
    <w:lvl w:ilvl="0">
      <w:lvlJc w:val="left"/>
      <w:lvlText w:val="•"/>
      <w:numFmt w:val="bullet"/>
      <w:start w:val="1"/>
    </w:lvl>
  </w:abstractNum>
  <w:abstractNum w:abstractNumId="8">
    <w:nsid w:val="4AD084E9"/>
    <w:multiLevelType w:val="hybridMultilevel"/>
    <w:lvl w:ilvl="0">
      <w:lvlJc w:val="left"/>
      <w:lvlText w:val="•"/>
      <w:numFmt w:val="bullet"/>
      <w:start w:val="1"/>
    </w:lvl>
  </w:abstractNum>
  <w:abstractNum w:abstractNumId="9">
    <w:nsid w:val="1F48EAA1"/>
    <w:multiLevelType w:val="hybridMultilevel"/>
    <w:lvl w:ilvl="0">
      <w:lvlJc w:val="left"/>
      <w:lvlText w:val="•"/>
      <w:numFmt w:val="bullet"/>
      <w:start w:val="1"/>
    </w:lvl>
  </w:abstractNum>
  <w:abstractNum w:abstractNumId="10">
    <w:nsid w:val="1381823A"/>
    <w:multiLevelType w:val="hybridMultilevel"/>
    <w:lvl w:ilvl="0">
      <w:lvlJc w:val="left"/>
      <w:lvlText w:val="•"/>
      <w:numFmt w:val="bullet"/>
      <w:start w:val="1"/>
    </w:lvl>
  </w:abstractNum>
  <w:abstractNum w:abstractNumId="11">
    <w:nsid w:val="5DB70AE5"/>
    <w:multiLevelType w:val="hybridMultilevel"/>
    <w:lvl w:ilvl="0">
      <w:lvlJc w:val="left"/>
      <w:lvlText w:val="•"/>
      <w:numFmt w:val="bullet"/>
      <w:start w:val="1"/>
    </w:lvl>
  </w:abstractNum>
  <w:abstractNum w:abstractNumId="12">
    <w:nsid w:val="100F8FCA"/>
    <w:multiLevelType w:val="hybridMultilevel"/>
    <w:lvl w:ilvl="0">
      <w:lvlJc w:val="left"/>
      <w:lvlText w:val="•"/>
      <w:numFmt w:val="bullet"/>
      <w:start w:val="1"/>
    </w:lvl>
  </w:abstractNum>
  <w:abstractNum w:abstractNumId="13">
    <w:nsid w:val="6590700B"/>
    <w:multiLevelType w:val="hybridMultilevel"/>
    <w:lvl w:ilvl="0">
      <w:lvlJc w:val="left"/>
      <w:lvlText w:val="•"/>
      <w:numFmt w:val="bullet"/>
      <w:start w:val="1"/>
    </w:lvl>
  </w:abstractNum>
  <w:abstractNum w:abstractNumId="14">
    <w:nsid w:val="15014ACB"/>
    <w:multiLevelType w:val="hybridMultilevel"/>
    <w:lvl w:ilvl="0">
      <w:lvlJc w:val="left"/>
      <w:lvlText w:val="•"/>
      <w:numFmt w:val="bullet"/>
      <w:start w:val="1"/>
    </w:lvl>
  </w:abstractNum>
  <w:abstractNum w:abstractNumId="15">
    <w:nsid w:val="5F5E7FD0"/>
    <w:multiLevelType w:val="hybridMultilevel"/>
    <w:lvl w:ilvl="0">
      <w:lvlJc w:val="left"/>
      <w:lvlText w:val="•"/>
      <w:numFmt w:val="bullet"/>
      <w:start w:val="1"/>
    </w:lvl>
  </w:abstractNum>
  <w:abstractNum w:abstractNumId="16">
    <w:nsid w:val="98A3148"/>
    <w:multiLevelType w:val="hybridMultilevel"/>
    <w:lvl w:ilvl="0">
      <w:lvlJc w:val="left"/>
      <w:lvlText w:val="•"/>
      <w:numFmt w:val="bullet"/>
      <w:start w:val="1"/>
    </w:lvl>
  </w:abstractNum>
  <w:abstractNum w:abstractNumId="17">
    <w:nsid w:val="799D0247"/>
    <w:multiLevelType w:val="hybridMultilevel"/>
    <w:lvl w:ilvl="0">
      <w:lvlJc w:val="left"/>
      <w:lvlText w:val="•"/>
      <w:numFmt w:val="bullet"/>
      <w:start w:val="1"/>
    </w:lvl>
  </w:abstractNum>
  <w:abstractNum w:abstractNumId="18">
    <w:nsid w:val="6B94764"/>
    <w:multiLevelType w:val="hybridMultilevel"/>
    <w:lvl w:ilvl="0">
      <w:lvlJc w:val="left"/>
      <w:lvlText w:val="•"/>
      <w:numFmt w:val="bullet"/>
      <w:start w:val="1"/>
    </w:lvl>
  </w:abstractNum>
  <w:abstractNum w:abstractNumId="19">
    <w:nsid w:val="42C296BD"/>
    <w:multiLevelType w:val="hybridMultilevel"/>
    <w:lvl w:ilvl="0">
      <w:lvlJc w:val="left"/>
      <w:lvlText w:val="•"/>
      <w:numFmt w:val="bullet"/>
      <w:start w:val="1"/>
    </w:lvl>
  </w:abstractNum>
  <w:abstractNum w:abstractNumId="20">
    <w:nsid w:val="168E121F"/>
    <w:multiLevelType w:val="hybridMultilevel"/>
    <w:lvl w:ilvl="0">
      <w:lvlJc w:val="left"/>
      <w:lvlText w:val="•"/>
      <w:numFmt w:val="bullet"/>
      <w:start w:val="1"/>
    </w:lvl>
  </w:abstractNum>
  <w:abstractNum w:abstractNumId="21">
    <w:nsid w:val="1EBA5D23"/>
    <w:multiLevelType w:val="hybridMultilevel"/>
    <w:lvl w:ilvl="0">
      <w:lvlJc w:val="left"/>
      <w:lvlText w:val="•"/>
      <w:numFmt w:val="bullet"/>
      <w:start w:val="1"/>
    </w:lvl>
  </w:abstractNum>
  <w:abstractNum w:abstractNumId="22">
    <w:nsid w:val="661E3F1E"/>
    <w:multiLevelType w:val="hybridMultilevel"/>
    <w:lvl w:ilvl="0">
      <w:lvlJc w:val="left"/>
      <w:lvlText w:val="•"/>
      <w:numFmt w:val="bullet"/>
      <w:start w:val="1"/>
    </w:lvl>
  </w:abstractNum>
  <w:abstractNum w:abstractNumId="23">
    <w:nsid w:val="5DC79EA8"/>
    <w:multiLevelType w:val="hybridMultilevel"/>
    <w:lvl w:ilvl="0">
      <w:lvlJc w:val="left"/>
      <w:lvlText w:val="•"/>
      <w:numFmt w:val="bullet"/>
      <w:start w:val="1"/>
    </w:lvl>
  </w:abstractNum>
  <w:abstractNum w:abstractNumId="24">
    <w:nsid w:val="540A471C"/>
    <w:multiLevelType w:val="hybridMultilevel"/>
    <w:lvl w:ilvl="0">
      <w:lvlJc w:val="left"/>
      <w:lvlText w:val="•"/>
      <w:numFmt w:val="bullet"/>
      <w:start w:val="1"/>
    </w:lvl>
  </w:abstractNum>
  <w:abstractNum w:abstractNumId="25">
    <w:nsid w:val="7BD3EE7B"/>
    <w:multiLevelType w:val="hybridMultilevel"/>
    <w:lvl w:ilvl="0">
      <w:lvlJc w:val="left"/>
      <w:lvlText w:val="•"/>
      <w:numFmt w:val="bullet"/>
      <w:start w:val="1"/>
    </w:lvl>
  </w:abstractNum>
  <w:abstractNum w:abstractNumId="26">
    <w:nsid w:val="51D9C564"/>
    <w:multiLevelType w:val="hybridMultilevel"/>
    <w:lvl w:ilvl="0">
      <w:lvlJc w:val="left"/>
      <w:lvlText w:val="•"/>
      <w:numFmt w:val="bullet"/>
      <w:start w:val="1"/>
    </w:lvl>
  </w:abstractNum>
  <w:abstractNum w:abstractNumId="27">
    <w:nsid w:val="613EFDC5"/>
    <w:multiLevelType w:val="hybridMultilevel"/>
    <w:lvl w:ilvl="0">
      <w:lvlJc w:val="left"/>
      <w:lvlText w:val="•"/>
      <w:numFmt w:val="bullet"/>
      <w:start w:val="1"/>
    </w:lvl>
  </w:abstractNum>
  <w:abstractNum w:abstractNumId="28">
    <w:nsid w:val="BF72B14"/>
    <w:multiLevelType w:val="hybridMultilevel"/>
    <w:lvl w:ilvl="0">
      <w:lvlJc w:val="left"/>
      <w:lvlText w:val="•"/>
      <w:numFmt w:val="bullet"/>
      <w:start w:val="1"/>
    </w:lvl>
  </w:abstractNum>
  <w:abstractNum w:abstractNumId="29">
    <w:nsid w:val="11447B73"/>
    <w:multiLevelType w:val="hybridMultilevel"/>
    <w:lvl w:ilvl="0">
      <w:lvlJc w:val="left"/>
      <w:lvlText w:val="•"/>
      <w:numFmt w:val="bullet"/>
      <w:start w:val="1"/>
    </w:lvl>
  </w:abstractNum>
  <w:abstractNum w:abstractNumId="30">
    <w:nsid w:val="42963E5A"/>
    <w:multiLevelType w:val="hybridMultilevel"/>
    <w:lvl w:ilvl="0">
      <w:lvlJc w:val="left"/>
      <w:lvlText w:val="•"/>
      <w:numFmt w:val="bullet"/>
      <w:start w:val="1"/>
    </w:lvl>
  </w:abstractNum>
  <w:abstractNum w:abstractNumId="31">
    <w:nsid w:val="A0382C5"/>
    <w:multiLevelType w:val="hybridMultilevel"/>
    <w:lvl w:ilvl="0">
      <w:lvlJc w:val="left"/>
      <w:lvlText w:val="•"/>
      <w:numFmt w:val="bullet"/>
      <w:start w:val="1"/>
    </w:lvl>
  </w:abstractNum>
  <w:abstractNum w:abstractNumId="32">
    <w:nsid w:val="8F2B15E"/>
    <w:multiLevelType w:val="hybridMultilevel"/>
    <w:lvl w:ilvl="0">
      <w:lvlJc w:val="left"/>
      <w:lvlText w:val="•"/>
      <w:numFmt w:val="bullet"/>
      <w:start w:val="1"/>
    </w:lvl>
  </w:abstractNum>
  <w:abstractNum w:abstractNumId="33">
    <w:nsid w:val="1A32234B"/>
    <w:multiLevelType w:val="hybridMultilevel"/>
    <w:lvl w:ilvl="0">
      <w:lvlJc w:val="left"/>
      <w:lvlText w:val="*"/>
      <w:numFmt w:val="bullet"/>
      <w:start w:val="1"/>
    </w:lvl>
  </w:abstractNum>
  <w:abstractNum w:abstractNumId="34">
    <w:nsid w:val="3B0FD379"/>
    <w:multiLevelType w:val="hybridMultilevel"/>
    <w:lvl w:ilvl="0">
      <w:lvlJc w:val="left"/>
      <w:lvlText w:val="$"/>
      <w:numFmt w:val="bullet"/>
      <w:start w:val="1"/>
    </w:lvl>
  </w:abstractNum>
  <w:abstractNum w:abstractNumId="35">
    <w:nsid w:val="68EB2F63"/>
    <w:multiLevelType w:val="hybridMultilevel"/>
    <w:lvl w:ilvl="0">
      <w:lvlJc w:val="left"/>
      <w:lvlText w:val="%1"/>
      <w:numFmt w:val="decimal"/>
      <w:start w:val="107"/>
    </w:lvl>
  </w:abstractNum>
  <w:abstractNum w:abstractNumId="36">
    <w:nsid w:val="4962813B"/>
    <w:multiLevelType w:val="hybridMultilevel"/>
    <w:lvl w:ilvl="0">
      <w:lvlJc w:val="left"/>
      <w:lvlText w:val="*"/>
      <w:numFmt w:val="bullet"/>
      <w:start w:val="1"/>
    </w:lvl>
  </w:abstractNum>
  <w:abstractNum w:abstractNumId="37">
    <w:nsid w:val="60B6DF70"/>
    <w:multiLevelType w:val="hybridMultilevel"/>
    <w:lvl w:ilvl="0">
      <w:lvlJc w:val="left"/>
      <w:lvlText w:val="**"/>
      <w:numFmt w:val="bullet"/>
      <w:start w:val="1"/>
    </w:lvl>
  </w:abstractNum>
  <w:abstractNum w:abstractNumId="38">
    <w:nsid w:val="6A5EE64"/>
    <w:multiLevelType w:val="hybridMultilevel"/>
    <w:lvl w:ilvl="0">
      <w:lvlJc w:val="left"/>
      <w:lvlText w:val="(%1)"/>
      <w:numFmt w:val="decimal"/>
      <w:start w:val="1"/>
    </w:lvl>
    <w:lvl w:ilvl="1">
      <w:lvlJc w:val="left"/>
      <w:lvlText w:val="(%2)"/>
      <w:numFmt w:val="lowerRoman"/>
      <w:start w:val="1"/>
    </w:lvl>
  </w:abstractNum>
  <w:abstractNum w:abstractNumId="39">
    <w:nsid w:val="14330624"/>
    <w:multiLevelType w:val="hybridMultilevel"/>
    <w:lvl w:ilvl="0">
      <w:lvlJc w:val="left"/>
      <w:lvlText w:val="(%1)"/>
      <w:numFmt w:val="lowerRoman"/>
      <w:start w:val="2"/>
    </w:lvl>
  </w:abstractNum>
  <w:abstractNum w:abstractNumId="40">
    <w:nsid w:val="7FFFCA11"/>
    <w:multiLevelType w:val="hybridMultilevel"/>
    <w:lvl w:ilvl="0">
      <w:lvlJc w:val="left"/>
      <w:lvlText w:val="(%1)"/>
      <w:numFmt w:val="decimal"/>
      <w:start w:val="2"/>
    </w:lvl>
    <w:lvl w:ilvl="1">
      <w:lvlJc w:val="left"/>
      <w:lvlText w:val="(%2)"/>
      <w:numFmt w:val="lowerRoman"/>
      <w:start w:val="1"/>
    </w:lvl>
  </w:abstractNum>
  <w:abstractNum w:abstractNumId="41">
    <w:nsid w:val="1A27709E"/>
    <w:multiLevelType w:val="hybridMultilevel"/>
    <w:lvl w:ilvl="0">
      <w:lvlJc w:val="left"/>
      <w:lvlText w:val="(%1)"/>
      <w:numFmt w:val="decimal"/>
      <w:start w:val="6"/>
    </w:lvl>
  </w:abstractNum>
  <w:abstractNum w:abstractNumId="42">
    <w:nsid w:val="71EA1109"/>
    <w:multiLevelType w:val="hybridMultilevel"/>
    <w:lvl w:ilvl="0">
      <w:lvlJc w:val="left"/>
      <w:lvlText w:val="(%1)"/>
      <w:numFmt w:val="lowerLetter"/>
      <w:start w:val="1"/>
    </w:lvl>
  </w:abstractNum>
  <w:abstractNum w:abstractNumId="43">
    <w:nsid w:val="100F59DC"/>
    <w:multiLevelType w:val="hybridMultilevel"/>
    <w:lvl w:ilvl="0">
      <w:lvlJc w:val="left"/>
      <w:lvlText w:val="(%1)"/>
      <w:numFmt w:val="lowerLetter"/>
      <w:start w:val="1"/>
    </w:lvl>
  </w:abstractNum>
  <w:abstractNum w:abstractNumId="44">
    <w:nsid w:val="7FB7E0AA"/>
    <w:multiLevelType w:val="hybridMultilevel"/>
    <w:lvl w:ilvl="0">
      <w:lvlJc w:val="left"/>
      <w:lvlText w:val="(%1)"/>
      <w:numFmt w:val="decimal"/>
      <w:start w:val="1"/>
    </w:lvl>
  </w:abstractNum>
  <w:abstractNum w:abstractNumId="45">
    <w:nsid w:val="6EB5BD4"/>
    <w:multiLevelType w:val="hybridMultilevel"/>
    <w:lvl w:ilvl="0">
      <w:lvlJc w:val="left"/>
      <w:lvlText w:val="(%1)"/>
      <w:numFmt w:val="decimal"/>
      <w:start w:val="3"/>
    </w:lvl>
  </w:abstractNum>
  <w:abstractNum w:abstractNumId="46">
    <w:nsid w:val="6F6DD9AC"/>
    <w:multiLevelType w:val="hybridMultilevel"/>
    <w:lvl w:ilvl="0">
      <w:lvlJc w:val="left"/>
      <w:lvlText w:val="(%1)"/>
      <w:numFmt w:val="decimal"/>
      <w:start w:val="8"/>
    </w:lvl>
  </w:abstractNum>
  <w:abstractNum w:abstractNumId="47">
    <w:nsid w:val="94211F2"/>
    <w:multiLevelType w:val="hybridMultilevel"/>
    <w:lvl w:ilvl="0">
      <w:lvlJc w:val="left"/>
      <w:lvlText w:val="(%1)"/>
      <w:numFmt w:val="decimal"/>
      <w:start w:val="16"/>
    </w:lvl>
  </w:abstractNum>
  <w:abstractNum w:abstractNumId="48">
    <w:nsid w:val="885E1B"/>
    <w:multiLevelType w:val="hybridMultilevel"/>
    <w:lvl w:ilvl="0">
      <w:lvlJc w:val="left"/>
      <w:lvlText w:val="(%1)"/>
      <w:numFmt w:val="decimal"/>
      <w:start w:val="27"/>
    </w:lvl>
  </w:abstractNum>
  <w:abstractNum w:abstractNumId="49">
    <w:nsid w:val="76272110"/>
    <w:multiLevelType w:val="hybridMultilevel"/>
    <w:lvl w:ilvl="0">
      <w:lvlJc w:val="left"/>
      <w:lvlText w:val="(%1)"/>
      <w:numFmt w:val="decimal"/>
      <w:start w:val="1"/>
    </w:lvl>
  </w:abstractNum>
  <w:abstractNum w:abstractNumId="50">
    <w:nsid w:val="4C04A8AF"/>
    <w:multiLevelType w:val="hybridMultilevel"/>
    <w:lvl w:ilvl="0">
      <w:lvlJc w:val="left"/>
      <w:lvlText w:val="(%1)"/>
      <w:numFmt w:val="lowerLetter"/>
      <w:start w:val="1"/>
    </w:lvl>
  </w:abstractNum>
  <w:abstractNum w:abstractNumId="51">
    <w:nsid w:val="1716703B"/>
    <w:multiLevelType w:val="hybridMultilevel"/>
    <w:lvl w:ilvl="0">
      <w:lvlJc w:val="left"/>
      <w:lvlText w:val="(%1)"/>
      <w:numFmt w:val="lowerLetter"/>
      <w:start w:val="2"/>
    </w:lvl>
  </w:abstractNum>
  <w:abstractNum w:abstractNumId="52">
    <w:nsid w:val="14E17E33"/>
    <w:multiLevelType w:val="hybridMultilevel"/>
    <w:lvl w:ilvl="0">
      <w:lvlJc w:val="left"/>
      <w:lvlText w:val="(%1)"/>
      <w:numFmt w:val="lowerLetter"/>
      <w:start w:val="3"/>
    </w:lvl>
  </w:abstractNum>
  <w:abstractNum w:abstractNumId="53">
    <w:nsid w:val="3222E7CD"/>
    <w:multiLevelType w:val="hybridMultilevel"/>
    <w:lvl w:ilvl="0">
      <w:lvlJc w:val="left"/>
      <w:lvlText w:val="(%1)"/>
      <w:numFmt w:val="lowerLetter"/>
      <w:start w:val="1"/>
    </w:lvl>
  </w:abstractNum>
  <w:abstractNum w:abstractNumId="54">
    <w:nsid w:val="74DE0EE3"/>
    <w:multiLevelType w:val="hybridMultilevel"/>
    <w:lvl w:ilvl="0">
      <w:lvlJc w:val="left"/>
      <w:lvlText w:val="(%1)"/>
      <w:numFmt w:val="lowerLetter"/>
      <w:start w:val="1"/>
    </w:lvl>
  </w:abstractNum>
  <w:abstractNum w:abstractNumId="55">
    <w:nsid w:val="68EBC550"/>
    <w:multiLevelType w:val="hybridMultilevel"/>
    <w:lvl w:ilvl="0">
      <w:lvlJc w:val="left"/>
      <w:lvlText w:val="(%1)"/>
      <w:numFmt w:val="lowerLetter"/>
      <w:start w:val="2"/>
    </w:lvl>
  </w:abstractNum>
  <w:abstractNum w:abstractNumId="56">
    <w:nsid w:val="2DF6D648"/>
    <w:multiLevelType w:val="hybridMultilevel"/>
    <w:lvl w:ilvl="0">
      <w:lvlJc w:val="left"/>
      <w:lvlText w:val="(%1)"/>
      <w:numFmt w:val="lowerLetter"/>
      <w:start w:val="1"/>
    </w:lvl>
  </w:abstractNum>
  <w:abstractNum w:abstractNumId="57">
    <w:nsid w:val="46B7D447"/>
    <w:multiLevelType w:val="hybridMultilevel"/>
    <w:lvl w:ilvl="0">
      <w:lvlJc w:val="left"/>
      <w:lvlText w:val="(%1)"/>
      <w:numFmt w:val="lowerLetter"/>
      <w:start w:val="1"/>
    </w:lvl>
  </w:abstractNum>
  <w:abstractNum w:abstractNumId="58">
    <w:nsid w:val="4A2AC315"/>
    <w:multiLevelType w:val="hybridMultilevel"/>
    <w:lvl w:ilvl="0">
      <w:lvlJc w:val="left"/>
      <w:lvlText w:val="(%1)"/>
      <w:numFmt w:val="decimal"/>
      <w:start w:val="1"/>
    </w:lvl>
  </w:abstractNum>
  <w:abstractNum w:abstractNumId="59">
    <w:nsid w:val="39EE015C"/>
    <w:multiLevelType w:val="hybridMultilevel"/>
    <w:lvl w:ilvl="0">
      <w:lvlJc w:val="left"/>
      <w:lvlText w:val="(%1)"/>
      <w:numFmt w:val="lowerLetter"/>
      <w:start w:val="2"/>
    </w:lvl>
  </w:abstractNum>
  <w:abstractNum w:abstractNumId="60">
    <w:nsid w:val="57FC4FBB"/>
    <w:multiLevelType w:val="hybridMultilevel"/>
    <w:lvl w:ilvl="0">
      <w:lvlJc w:val="left"/>
      <w:lvlText w:val="(%1)"/>
      <w:numFmt w:val="lowerLetter"/>
      <w:start w:val="1"/>
    </w:lvl>
  </w:abstractNum>
  <w:abstractNum w:abstractNumId="61">
    <w:nsid w:val="CC1016F"/>
    <w:multiLevelType w:val="hybridMultilevel"/>
    <w:lvl w:ilvl="0">
      <w:lvlJc w:val="left"/>
      <w:lvlText w:val="(%1)"/>
      <w:numFmt w:val="lowerLetter"/>
      <w:start w:val="1"/>
    </w:lvl>
  </w:abstractNum>
  <w:abstractNum w:abstractNumId="62">
    <w:nsid w:val="43F18422"/>
    <w:multiLevelType w:val="hybridMultilevel"/>
    <w:lvl w:ilvl="0">
      <w:lvlJc w:val="left"/>
      <w:lvlText w:val="(%1)"/>
      <w:numFmt w:val="lowerLetter"/>
      <w:start w:val="1"/>
    </w:lvl>
  </w:abstractNum>
  <w:abstractNum w:abstractNumId="63">
    <w:nsid w:val="60EF0119"/>
    <w:multiLevelType w:val="hybridMultilevel"/>
    <w:lvl w:ilvl="0">
      <w:lvlJc w:val="left"/>
      <w:lvlText w:val="(%1)"/>
      <w:numFmt w:val="lowerLetter"/>
      <w:start w:val="1"/>
    </w:lvl>
  </w:abstractNum>
  <w:abstractNum w:abstractNumId="64">
    <w:nsid w:val="26F324BA"/>
    <w:multiLevelType w:val="hybridMultilevel"/>
    <w:lvl w:ilvl="0">
      <w:lvlJc w:val="left"/>
      <w:lvlText w:val="%1"/>
      <w:numFmt w:val="decimal"/>
      <w:start w:val="1"/>
    </w:lvl>
    <w:lvl w:ilvl="1">
      <w:lvlJc w:val="left"/>
      <w:lvlText w:val="(%2)"/>
      <w:numFmt w:val="decimal"/>
      <w:start w:val="1"/>
    </w:lvl>
  </w:abstractNum>
  <w:abstractNum w:abstractNumId="65">
    <w:nsid w:val="7F01579B"/>
    <w:multiLevelType w:val="hybridMultilevel"/>
    <w:lvl w:ilvl="0">
      <w:lvlJc w:val="left"/>
      <w:lvlText w:val="(%1)"/>
      <w:numFmt w:val="decimal"/>
      <w:start w:val="5"/>
    </w:lvl>
    <w:lvl w:ilvl="1">
      <w:lvlJc w:val="left"/>
      <w:lvlText w:val="%2"/>
      <w:numFmt w:val="decimal"/>
      <w:start w:val="1"/>
    </w:lvl>
  </w:abstractNum>
  <w:abstractNum w:abstractNumId="66">
    <w:nsid w:val="49DA307D"/>
    <w:multiLevelType w:val="hybridMultilevel"/>
    <w:lvl w:ilvl="0">
      <w:lvlJc w:val="left"/>
      <w:lvlText w:val="(%1)"/>
      <w:numFmt w:val="lowerLetter"/>
      <w:start w:val="2"/>
    </w:lvl>
  </w:abstractNum>
  <w:abstractNum w:abstractNumId="67">
    <w:nsid w:val="7055A5F5"/>
    <w:multiLevelType w:val="hybridMultilevel"/>
    <w:lvl w:ilvl="0">
      <w:lvlJc w:val="left"/>
      <w:lvlText w:val="(%1)"/>
      <w:numFmt w:val="lowerLetter"/>
      <w:start w:val="3"/>
    </w:lvl>
  </w:abstractNum>
  <w:abstractNum w:abstractNumId="68">
    <w:nsid w:val="5FB8370B"/>
    <w:multiLevelType w:val="hybridMultilevel"/>
    <w:lvl w:ilvl="0">
      <w:lvlJc w:val="left"/>
      <w:lvlText w:val="(%1)"/>
      <w:numFmt w:val="lowerLetter"/>
      <w:start w:val="4"/>
    </w:lvl>
  </w:abstractNum>
  <w:abstractNum w:abstractNumId="69">
    <w:nsid w:val="50801EE1"/>
    <w:multiLevelType w:val="hybridMultilevel"/>
    <w:lvl w:ilvl="0">
      <w:lvlJc w:val="left"/>
      <w:lvlText w:val="(%1)"/>
      <w:numFmt w:val="lowerLetter"/>
      <w:start w:val="1"/>
    </w:lvl>
  </w:abstractNum>
  <w:abstractNum w:abstractNumId="70">
    <w:nsid w:val="488AC1A"/>
    <w:multiLevelType w:val="hybridMultilevel"/>
    <w:lvl w:ilvl="0">
      <w:lvlJc w:val="left"/>
      <w:lvlText w:val="(%1)"/>
      <w:numFmt w:val="lowerLetter"/>
      <w:start w:val="2"/>
    </w:lvl>
  </w:abstractNum>
  <w:abstractNum w:abstractNumId="71">
    <w:nsid w:val="5FB8011C"/>
    <w:multiLevelType w:val="hybridMultilevel"/>
    <w:lvl w:ilvl="0">
      <w:lvlJc w:val="left"/>
      <w:lvlText w:val="(%1)"/>
      <w:numFmt w:val="lowerLetter"/>
      <w:start w:val="1"/>
    </w:lvl>
  </w:abstractNum>
  <w:abstractNum w:abstractNumId="72">
    <w:nsid w:val="6AA78F7F"/>
    <w:multiLevelType w:val="hybridMultilevel"/>
    <w:lvl w:ilvl="0">
      <w:lvlJc w:val="left"/>
      <w:lvlText w:val="(%1)"/>
      <w:numFmt w:val="lowerLetter"/>
      <w:start w:val="1"/>
    </w:lvl>
  </w:abstractNum>
  <w:abstractNum w:abstractNumId="73">
    <w:nsid w:val="7672BD23"/>
    <w:multiLevelType w:val="hybridMultilevel"/>
    <w:lvl w:ilvl="0">
      <w:lvlJc w:val="left"/>
      <w:lvlText w:val="(%1)"/>
      <w:numFmt w:val="lowerLetter"/>
      <w:start w:val="2"/>
    </w:lvl>
  </w:abstractNum>
  <w:abstractNum w:abstractNumId="74">
    <w:nsid w:val="6FC75AF8"/>
    <w:multiLevelType w:val="hybridMultilevel"/>
    <w:lvl w:ilvl="0">
      <w:lvlJc w:val="left"/>
      <w:lvlText w:val="(%1)"/>
      <w:numFmt w:val="lowerRoman"/>
      <w:start w:val="1"/>
    </w:lvl>
  </w:abstractNum>
  <w:abstractNum w:abstractNumId="75">
    <w:nsid w:val="6A5F7029"/>
    <w:multiLevelType w:val="hybridMultilevel"/>
    <w:lvl w:ilvl="0">
      <w:lvlJc w:val="left"/>
      <w:lvlText w:val="(%1)"/>
      <w:numFmt w:val="upperLetter"/>
      <w:start w:val="1"/>
    </w:lvl>
  </w:abstractNum>
  <w:abstractNum w:abstractNumId="76">
    <w:nsid w:val="7D5E18F8"/>
    <w:multiLevelType w:val="hybridMultilevel"/>
    <w:lvl w:ilvl="0">
      <w:lvlJc w:val="left"/>
      <w:lvlText w:val="(%1)"/>
      <w:numFmt w:val="lowerRoman"/>
      <w:start w:val="2"/>
    </w:lvl>
  </w:abstractNum>
  <w:abstractNum w:abstractNumId="77">
    <w:nsid w:val="5F3534A4"/>
    <w:multiLevelType w:val="hybridMultilevel"/>
    <w:lvl w:ilvl="0">
      <w:lvlJc w:val="left"/>
      <w:lvlText w:val="(%1)"/>
      <w:numFmt w:val="lowerRoman"/>
      <w:start w:val="7"/>
    </w:lvl>
  </w:abstractNum>
  <w:abstractNum w:abstractNumId="78">
    <w:nsid w:val="73A1821B"/>
    <w:multiLevelType w:val="hybridMultilevel"/>
    <w:lvl w:ilvl="0">
      <w:lvlJc w:val="left"/>
      <w:lvlText w:val="(%1)"/>
      <w:numFmt w:val="lowerLetter"/>
      <w:start w:val="1"/>
    </w:lvl>
  </w:abstractNum>
  <w:abstractNum w:abstractNumId="79">
    <w:nsid w:val="7DE67713"/>
    <w:multiLevelType w:val="hybridMultilevel"/>
    <w:lvl w:ilvl="0">
      <w:lvlJc w:val="left"/>
      <w:lvlText w:val="(%1)"/>
      <w:numFmt w:val="lowerLetter"/>
      <w:start w:val="7"/>
    </w:lvl>
  </w:abstractNum>
  <w:abstractNum w:abstractNumId="80">
    <w:nsid w:val="555C55B5"/>
    <w:multiLevelType w:val="hybridMultilevel"/>
    <w:lvl w:ilvl="0">
      <w:lvlJc w:val="left"/>
      <w:lvlText w:val="(%1)"/>
      <w:numFmt w:val="lowerLetter"/>
      <w:start w:val="1"/>
    </w:lvl>
  </w:abstractNum>
  <w:abstractNum w:abstractNumId="81">
    <w:nsid w:val="3FA62ACA"/>
    <w:multiLevelType w:val="hybridMultilevel"/>
    <w:lvl w:ilvl="0">
      <w:lvlJc w:val="left"/>
      <w:lvlText w:val="(%1)"/>
      <w:numFmt w:val="lowerLetter"/>
      <w:start w:val="1"/>
    </w:lvl>
  </w:abstractNum>
  <w:abstractNum w:abstractNumId="82">
    <w:nsid w:val="14FCE74E"/>
    <w:multiLevelType w:val="hybridMultilevel"/>
    <w:lvl w:ilvl="0">
      <w:lvlJc w:val="left"/>
      <w:lvlText w:val="(%1)"/>
      <w:numFmt w:val="lowerLetter"/>
      <w:start w:val="2"/>
    </w:lvl>
  </w:abstractNum>
  <w:abstractNum w:abstractNumId="83">
    <w:nsid w:val="6A3DD3E8"/>
    <w:multiLevelType w:val="hybridMultilevel"/>
    <w:lvl w:ilvl="0">
      <w:lvlJc w:val="left"/>
      <w:lvlText w:val="(%1)"/>
      <w:numFmt w:val="lowerLetter"/>
      <w:start w:val="1"/>
    </w:lvl>
  </w:abstractNum>
  <w:abstractNum w:abstractNumId="84">
    <w:nsid w:val="71C91298"/>
    <w:multiLevelType w:val="hybridMultilevel"/>
    <w:lvl w:ilvl="0">
      <w:lvlJc w:val="left"/>
      <w:lvlText w:val="(%1)"/>
      <w:numFmt w:val="lowerRoman"/>
      <w:start w:val="1"/>
    </w:lvl>
  </w:abstractNum>
  <w:abstractNum w:abstractNumId="85">
    <w:nsid w:val="9DAF632"/>
    <w:multiLevelType w:val="hybridMultilevel"/>
    <w:lvl w:ilvl="0">
      <w:lvlJc w:val="left"/>
      <w:lvlText w:val="(%1)"/>
      <w:numFmt w:val="lowerLetter"/>
      <w:start w:val="3"/>
    </w:lvl>
  </w:abstractNum>
  <w:abstractNum w:abstractNumId="86">
    <w:nsid w:val="53299938"/>
    <w:multiLevelType w:val="hybridMultilevel"/>
    <w:lvl w:ilvl="0">
      <w:lvlJc w:val="left"/>
      <w:lvlText w:val="(%1)"/>
      <w:numFmt w:val="lowerLetter"/>
      <w:start w:val="1"/>
    </w:lvl>
  </w:abstractNum>
  <w:abstractNum w:abstractNumId="87">
    <w:nsid w:val="1FBFE8E0"/>
    <w:multiLevelType w:val="hybridMultilevel"/>
    <w:lvl w:ilvl="0">
      <w:lvlJc w:val="left"/>
      <w:lvlText w:val="(%1)"/>
      <w:numFmt w:val="lowerLetter"/>
      <w:start w:val="3"/>
    </w:lvl>
  </w:abstractNum>
  <w:abstractNum w:abstractNumId="88">
    <w:nsid w:val="5092CA79"/>
    <w:multiLevelType w:val="hybridMultilevel"/>
    <w:lvl w:ilvl="0">
      <w:lvlJc w:val="left"/>
      <w:lvlText w:val="(%1)"/>
      <w:numFmt w:val="lowerLetter"/>
      <w:start w:val="1"/>
    </w:lvl>
  </w:abstractNum>
  <w:abstractNum w:abstractNumId="89">
    <w:nsid w:val="1D545C4D"/>
    <w:multiLevelType w:val="hybridMultilevel"/>
    <w:lvl w:ilvl="0">
      <w:lvlJc w:val="left"/>
      <w:lvlText w:val="(%1)"/>
      <w:numFmt w:val="lowerLetter"/>
      <w:start w:val="1"/>
    </w:lvl>
  </w:abstractNum>
  <w:abstractNum w:abstractNumId="90">
    <w:nsid w:val="59ADEA3D"/>
    <w:multiLevelType w:val="hybridMultilevel"/>
    <w:lvl w:ilvl="0">
      <w:lvlJc w:val="left"/>
      <w:lvlText w:val="(%1)"/>
      <w:numFmt w:val="lowerLetter"/>
      <w:start w:val="8"/>
    </w:lvl>
  </w:abstractNum>
  <w:abstractNum w:abstractNumId="91">
    <w:nsid w:val="288F1A34"/>
    <w:multiLevelType w:val="hybridMultilevel"/>
    <w:lvl w:ilvl="0">
      <w:lvlJc w:val="left"/>
      <w:lvlText w:val="(%1)"/>
      <w:numFmt w:val="lowerLetter"/>
      <w:start w:val="1"/>
    </w:lvl>
  </w:abstractNum>
  <w:abstractNum w:abstractNumId="92">
    <w:nsid w:val="2A155DBC"/>
    <w:multiLevelType w:val="hybridMultilevel"/>
    <w:lvl w:ilvl="0">
      <w:lvlJc w:val="left"/>
      <w:lvlText w:val="(%1)"/>
      <w:numFmt w:val="lowerLetter"/>
      <w:start w:val="1"/>
    </w:lvl>
  </w:abstractNum>
  <w:abstractNum w:abstractNumId="93">
    <w:nsid w:val="1D9F6E5F"/>
    <w:multiLevelType w:val="hybridMultilevel"/>
    <w:lvl w:ilvl="0">
      <w:lvlJc w:val="left"/>
      <w:lvlText w:val="(%1)"/>
      <w:numFmt w:val="lowerLetter"/>
      <w:start w:val="2"/>
    </w:lvl>
  </w:abstractNum>
  <w:abstractNum w:abstractNumId="94">
    <w:nsid w:val="97E1B4E"/>
    <w:multiLevelType w:val="hybridMultilevel"/>
    <w:lvl w:ilvl="0">
      <w:lvlJc w:val="left"/>
      <w:lvlText w:val="(%1)"/>
      <w:numFmt w:val="lowerLetter"/>
      <w:start w:val="1"/>
    </w:lvl>
  </w:abstractNum>
  <w:abstractNum w:abstractNumId="95">
    <w:nsid w:val="51088277"/>
    <w:multiLevelType w:val="hybridMultilevel"/>
    <w:lvl w:ilvl="0">
      <w:lvlJc w:val="left"/>
      <w:lvlText w:val="(%1)"/>
      <w:numFmt w:val="lowerLetter"/>
      <w:start w:val="2"/>
    </w:lvl>
  </w:abstractNum>
  <w:abstractNum w:abstractNumId="96">
    <w:nsid w:val="1CA0C5FA"/>
    <w:multiLevelType w:val="hybridMultilevel"/>
    <w:lvl w:ilvl="0">
      <w:lvlJc w:val="left"/>
      <w:lvlText w:val="(%1)"/>
      <w:numFmt w:val="lowerLetter"/>
      <w:start w:val="1"/>
    </w:lvl>
  </w:abstractNum>
  <w:abstractNum w:abstractNumId="97">
    <w:nsid w:val="53584BCB"/>
    <w:multiLevelType w:val="hybridMultilevel"/>
    <w:lvl w:ilvl="0">
      <w:lvlJc w:val="left"/>
      <w:lvlText w:val="(%1)"/>
      <w:numFmt w:val="lowerLetter"/>
      <w:start w:val="2"/>
    </w:lvl>
    <w:lvl w:ilvl="1">
      <w:lvlJc w:val="left"/>
      <w:lvlText w:val="(%2)"/>
      <w:numFmt w:val="lowerRoman"/>
      <w:start w:val="1"/>
    </w:lvl>
  </w:abstractNum>
  <w:abstractNum w:abstractNumId="98">
    <w:nsid w:val="415E286C"/>
    <w:multiLevelType w:val="hybridMultilevel"/>
    <w:lvl w:ilvl="0">
      <w:lvlJc w:val="left"/>
      <w:lvlText w:val="(%1)"/>
      <w:numFmt w:val="lowerLetter"/>
      <w:start w:val="4"/>
    </w:lvl>
  </w:abstractNum>
  <w:abstractNum w:abstractNumId="99">
    <w:nsid w:val="7C58FD05"/>
    <w:multiLevelType w:val="hybridMultilevel"/>
    <w:lvl w:ilvl="0">
      <w:lvlJc w:val="left"/>
      <w:lvlText w:val="(%1)"/>
      <w:numFmt w:val="lowerLetter"/>
      <w:start w:val="7"/>
    </w:lvl>
  </w:abstractNum>
  <w:abstractNum w:abstractNumId="100">
    <w:nsid w:val="23D86AAC"/>
    <w:multiLevelType w:val="hybridMultilevel"/>
    <w:lvl w:ilvl="0">
      <w:lvlJc w:val="left"/>
      <w:lvlText w:val="(%1)"/>
      <w:numFmt w:val="lowerLetter"/>
      <w:start w:val="1"/>
    </w:lvl>
  </w:abstractNum>
  <w:abstractNum w:abstractNumId="101">
    <w:nsid w:val="45E6D486"/>
    <w:multiLevelType w:val="hybridMultilevel"/>
    <w:lvl w:ilvl="0">
      <w:lvlJc w:val="left"/>
      <w:lvlText w:val="(%1)"/>
      <w:numFmt w:val="lowerLetter"/>
      <w:start w:val="3"/>
    </w:lvl>
  </w:abstractNum>
  <w:abstractNum w:abstractNumId="102">
    <w:nsid w:val="5C10FE21"/>
    <w:multiLevelType w:val="hybridMultilevel"/>
    <w:lvl w:ilvl="0">
      <w:lvlJc w:val="left"/>
      <w:lvlText w:val="(%1)"/>
      <w:numFmt w:val="lowerLetter"/>
      <w:start w:val="1"/>
    </w:lvl>
  </w:abstractNum>
  <w:abstractNum w:abstractNumId="103">
    <w:nsid w:val="E7FFA2B"/>
    <w:multiLevelType w:val="hybridMultilevel"/>
    <w:lvl w:ilvl="0">
      <w:lvlJc w:val="left"/>
      <w:lvlText w:val="(%1)"/>
      <w:numFmt w:val="lowerLetter"/>
      <w:start w:val="7"/>
    </w:lvl>
  </w:abstractNum>
  <w:abstractNum w:abstractNumId="104">
    <w:nsid w:val="3C5991AA"/>
    <w:multiLevelType w:val="hybridMultilevel"/>
    <w:lvl w:ilvl="0">
      <w:lvlJc w:val="left"/>
      <w:lvlText w:val="(%1)"/>
      <w:numFmt w:val="lowerLetter"/>
      <w:start w:val="1"/>
    </w:lvl>
  </w:abstractNum>
  <w:abstractNum w:abstractNumId="105">
    <w:nsid w:val="4BD8591A"/>
    <w:multiLevelType w:val="hybridMultilevel"/>
    <w:lvl w:ilvl="0">
      <w:lvlJc w:val="left"/>
      <w:lvlText w:val="(%1)"/>
      <w:numFmt w:val="lowerLetter"/>
      <w:start w:val="4"/>
    </w:lvl>
  </w:abstractNum>
  <w:abstractNum w:abstractNumId="106">
    <w:nsid w:val="78DF6A55"/>
    <w:multiLevelType w:val="hybridMultilevel"/>
    <w:lvl w:ilvl="0">
      <w:lvlJc w:val="left"/>
      <w:lvlText w:val="[•]"/>
      <w:numFmt w:val="bullet"/>
      <w:start w:val="1"/>
    </w:lvl>
  </w:abstractNum>
  <w:abstractNum w:abstractNumId="107">
    <w:nsid w:val="39B7AAA2"/>
    <w:multiLevelType w:val="hybridMultilevel"/>
    <w:lvl w:ilvl="0">
      <w:lvlJc w:val="left"/>
      <w:lvlText w:val="(%1)"/>
      <w:numFmt w:val="lowerLetter"/>
      <w:start w:val="1"/>
    </w:lvl>
  </w:abstractNum>
  <w:abstractNum w:abstractNumId="108">
    <w:nsid w:val="2B0D8DBE"/>
    <w:multiLevelType w:val="hybridMultilevel"/>
    <w:lvl w:ilvl="0">
      <w:lvlJc w:val="left"/>
      <w:lvlText w:val="(%1)"/>
      <w:numFmt w:val="lowerLetter"/>
      <w:start w:val="3"/>
    </w:lvl>
  </w:abstractNum>
  <w:abstractNum w:abstractNumId="109">
    <w:nsid w:val="6C80EC70"/>
    <w:multiLevelType w:val="hybridMultilevel"/>
    <w:lvl w:ilvl="0">
      <w:lvlJc w:val="left"/>
      <w:lvlText w:val="(%1)"/>
      <w:numFmt w:val="lowerLetter"/>
      <w:start w:val="1"/>
    </w:lvl>
  </w:abstractNum>
  <w:abstractNum w:abstractNumId="110">
    <w:nsid w:val="379E21B5"/>
    <w:multiLevelType w:val="hybridMultilevel"/>
    <w:lvl w:ilvl="0">
      <w:lvlJc w:val="left"/>
      <w:lvlText w:val="(%1)"/>
      <w:numFmt w:val="lowerRoman"/>
      <w:start w:val="1"/>
    </w:lvl>
  </w:abstractNum>
  <w:abstractNum w:abstractNumId="111">
    <w:nsid w:val="69E373"/>
    <w:multiLevelType w:val="hybridMultilevel"/>
    <w:lvl w:ilvl="0">
      <w:lvlJc w:val="left"/>
      <w:lvlText w:val="(%1)"/>
      <w:numFmt w:val="lowerRoman"/>
      <w:start w:val="2"/>
    </w:lvl>
  </w:abstractNum>
  <w:abstractNum w:abstractNumId="112">
    <w:nsid w:val="2C27173B"/>
    <w:multiLevelType w:val="hybridMultilevel"/>
    <w:lvl w:ilvl="0">
      <w:lvlJc w:val="left"/>
      <w:lvlText w:val="(%1)"/>
      <w:numFmt w:val="lowerLetter"/>
      <w:start w:val="3"/>
    </w:lvl>
  </w:abstractNum>
  <w:abstractNum w:abstractNumId="113">
    <w:nsid w:val="4C9B0904"/>
    <w:multiLevelType w:val="hybridMultilevel"/>
    <w:lvl w:ilvl="0">
      <w:lvlJc w:val="left"/>
      <w:lvlText w:val="(%1)"/>
      <w:numFmt w:val="lowerLetter"/>
      <w:start w:val="4"/>
    </w:lvl>
  </w:abstractNum>
  <w:abstractNum w:abstractNumId="114">
    <w:nsid w:val="6AA7B75C"/>
    <w:multiLevelType w:val="hybridMultilevel"/>
    <w:lvl w:ilvl="0">
      <w:lvlJc w:val="left"/>
      <w:lvlText w:val="(%1)"/>
      <w:numFmt w:val="lowerLetter"/>
      <w:start w:val="7"/>
    </w:lvl>
  </w:abstractNum>
  <w:abstractNum w:abstractNumId="115">
    <w:nsid w:val="1DF029D3"/>
    <w:multiLevelType w:val="hybridMultilevel"/>
    <w:lvl w:ilvl="0">
      <w:lvlJc w:val="left"/>
      <w:lvlText w:val="(%1)"/>
      <w:numFmt w:val="lowerLetter"/>
      <w:start w:val="1"/>
    </w:lvl>
  </w:abstractNum>
  <w:abstractNum w:abstractNumId="116">
    <w:nsid w:val="5675FF36"/>
    <w:multiLevelType w:val="hybridMultilevel"/>
    <w:lvl w:ilvl="0">
      <w:lvlJc w:val="left"/>
      <w:lvlText w:val="(%1)"/>
      <w:numFmt w:val="lowerLetter"/>
      <w:start w:val="3"/>
    </w:lvl>
  </w:abstractNum>
  <w:abstractNum w:abstractNumId="117">
    <w:nsid w:val="3DD15094"/>
    <w:multiLevelType w:val="hybridMultilevel"/>
    <w:lvl w:ilvl="0">
      <w:lvlJc w:val="left"/>
      <w:lvlText w:val="(%1)"/>
      <w:numFmt w:val="lowerLetter"/>
      <w:start w:val="1"/>
    </w:lvl>
  </w:abstractNum>
  <w:abstractNum w:abstractNumId="118">
    <w:nsid w:val="3DB012B3"/>
    <w:multiLevelType w:val="hybridMultilevel"/>
    <w:lvl w:ilvl="0">
      <w:lvlJc w:val="left"/>
      <w:lvlText w:val="(%1)"/>
      <w:numFmt w:val="lowerLetter"/>
      <w:start w:val="7"/>
    </w:lvl>
  </w:abstractNum>
  <w:abstractNum w:abstractNumId="119">
    <w:nsid w:val="2708C9AF"/>
    <w:multiLevelType w:val="hybridMultilevel"/>
    <w:lvl w:ilvl="0">
      <w:lvlJc w:val="left"/>
      <w:lvlText w:val="(%1)"/>
      <w:numFmt w:val="lowerLetter"/>
      <w:start w:val="1"/>
    </w:lvl>
  </w:abstractNum>
  <w:abstractNum w:abstractNumId="120">
    <w:nsid w:val="5B25ACE2"/>
    <w:multiLevelType w:val="hybridMultilevel"/>
    <w:lvl w:ilvl="0">
      <w:lvlJc w:val="left"/>
      <w:lvlText w:val="(%1)"/>
      <w:numFmt w:val="lowerLetter"/>
      <w:start w:val="4"/>
    </w:lvl>
  </w:abstractNum>
  <w:abstractNum w:abstractNumId="121">
    <w:nsid w:val="175DFCF0"/>
    <w:multiLevelType w:val="hybridMultilevel"/>
    <w:lvl w:ilvl="0">
      <w:lvlJc w:val="left"/>
      <w:lvlText w:val="(%1)"/>
      <w:numFmt w:val="lowerRoman"/>
      <w:start w:val="1"/>
    </w:lvl>
  </w:abstractNum>
  <w:abstractNum w:abstractNumId="122">
    <w:nsid w:val="4F97E3E4"/>
    <w:multiLevelType w:val="hybridMultilevel"/>
    <w:lvl w:ilvl="0">
      <w:lvlJc w:val="left"/>
      <w:lvlText w:val="%1"/>
      <w:numFmt w:val="lowerRoman"/>
      <w:start w:val="1"/>
    </w:lvl>
    <w:lvl w:ilvl="1">
      <w:lvlJc w:val="left"/>
      <w:lvlText w:val="%2."/>
      <w:numFmt w:val="decimal"/>
      <w:start w:val="1"/>
    </w:lvl>
  </w:abstractNum>
  <w:abstractNum w:abstractNumId="123">
    <w:nsid w:val="53B0A9E"/>
    <w:multiLevelType w:val="hybridMultilevel"/>
    <w:lvl w:ilvl="0">
      <w:lvlJc w:val="left"/>
      <w:lvlText w:val="(%1)"/>
      <w:numFmt w:val="lowerRoman"/>
      <w:start w:val="2"/>
    </w:lvl>
    <w:lvl w:ilvl="1">
      <w:lvlJc w:val="left"/>
      <w:lvlText w:val="%2."/>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37" Type="http://schemas.openxmlformats.org/officeDocument/2006/relationships/image" Target="media/image22.jpe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105" Type="http://schemas.openxmlformats.org/officeDocument/2006/relationships/image" Target="media/image88.png"/><Relationship Id="rId106" Type="http://schemas.openxmlformats.org/officeDocument/2006/relationships/image" Target="media/image89.png"/><Relationship Id="rId107" Type="http://schemas.openxmlformats.org/officeDocument/2006/relationships/image" Target="media/image90.png"/><Relationship Id="rId108" Type="http://schemas.openxmlformats.org/officeDocument/2006/relationships/image" Target="media/image91.png"/><Relationship Id="rId109" Type="http://schemas.openxmlformats.org/officeDocument/2006/relationships/image" Target="media/image92.png"/><Relationship Id="rId110" Type="http://schemas.openxmlformats.org/officeDocument/2006/relationships/image" Target="media/image93.png"/><Relationship Id="rId111" Type="http://schemas.openxmlformats.org/officeDocument/2006/relationships/image" Target="media/image94.png"/><Relationship Id="rId112" Type="http://schemas.openxmlformats.org/officeDocument/2006/relationships/image" Target="media/image95.png"/><Relationship Id="rId113" Type="http://schemas.openxmlformats.org/officeDocument/2006/relationships/image" Target="media/image96.png"/><Relationship Id="rId114" Type="http://schemas.openxmlformats.org/officeDocument/2006/relationships/image" Target="media/image97.png"/><Relationship Id="rId115" Type="http://schemas.openxmlformats.org/officeDocument/2006/relationships/image" Target="media/image98.png"/><Relationship Id="rId116" Type="http://schemas.openxmlformats.org/officeDocument/2006/relationships/image" Target="media/image99.png"/><Relationship Id="rId117" Type="http://schemas.openxmlformats.org/officeDocument/2006/relationships/image" Target="media/image100.png"/><Relationship Id="rId118" Type="http://schemas.openxmlformats.org/officeDocument/2006/relationships/image" Target="media/image101.png"/><Relationship Id="rId119" Type="http://schemas.openxmlformats.org/officeDocument/2006/relationships/image" Target="media/image102.png"/><Relationship Id="rId120" Type="http://schemas.openxmlformats.org/officeDocument/2006/relationships/image" Target="media/image103.png"/><Relationship Id="rId121" Type="http://schemas.openxmlformats.org/officeDocument/2006/relationships/image" Target="media/image104.png"/><Relationship Id="rId122" Type="http://schemas.openxmlformats.org/officeDocument/2006/relationships/image" Target="media/image105.png"/><Relationship Id="rId123" Type="http://schemas.openxmlformats.org/officeDocument/2006/relationships/image" Target="media/image106.png"/><Relationship Id="rId124" Type="http://schemas.openxmlformats.org/officeDocument/2006/relationships/image" Target="media/image107.png"/><Relationship Id="rId125" Type="http://schemas.openxmlformats.org/officeDocument/2006/relationships/image" Target="media/image108.jpeg"/><Relationship Id="rId29" Type="http://schemas.openxmlformats.org/officeDocument/2006/relationships/hyperlink" Target="https://www.sec.gov/ix?doc=/Archives/edgar/data/0001576885/000162828026021413/abos-20251231.htm" TargetMode="External"/><Relationship Id="rId30" Type="http://schemas.openxmlformats.org/officeDocument/2006/relationships/hyperlink" Target="https://www.sec.gov/ix?doc=/Archives/edgar/data/0001576885/000162828026034204/abos-20260331.htm" TargetMode="External"/><Relationship Id="rId31" Type="http://schemas.openxmlformats.org/officeDocument/2006/relationships/hyperlink" Target="https://www.sec.gov/ix?doc=/Archives/edgar/data/0001576885/000162828026056199/abos-20260630.htm" TargetMode="External"/><Relationship Id="rId32" Type="http://schemas.openxmlformats.org/officeDocument/2006/relationships/hyperlink" Target="https://www.sec.gov/ix?doc=/Archives/edgar/data/1576885/000162828026067276/abos-20260930.htm" TargetMode="External"/><Relationship Id="rId33" Type="http://schemas.openxmlformats.org/officeDocument/2006/relationships/hyperlink" Target="https://www.sec.gov/ix?doc=/Archives/edgar/data/0001576885/000162828026017885/abos-20260313.htm" TargetMode="External"/><Relationship Id="rId34" Type="http://schemas.openxmlformats.org/officeDocument/2006/relationships/hyperlink" Target="https://www.sec.gov/ix?doc=/Archives/edgar/data/0001576885/000162828026040447/abos-20260603.htm" TargetMode="External"/><Relationship Id="rId35" Type="http://schemas.openxmlformats.org/officeDocument/2006/relationships/hyperlink" Target="https://www.sec.gov/ix?doc=/Archives/edgar/data/0001576885/000162828026043416/abos-20260612.htm" TargetMode="External"/><Relationship Id="rId36" Type="http://schemas.openxmlformats.org/officeDocument/2006/relationships/hyperlink" Target="https://www.sec.gov/Archives/edgar/data/1576885/000119312521201591/d148789d8a12b.htm" TargetMode="External"/><Relationship Id="rId43" Type="http://schemas.openxmlformats.org/officeDocument/2006/relationships/hyperlink" Target="https://www.sec.gov/Archives/edgar/data/1576885/000157688523000039/active_136401491x1xacume.htm" TargetMode="External"/><Relationship Id="rId44" Type="http://schemas.openxmlformats.org/officeDocument/2006/relationships/hyperlink" Target="https://www.sec.gov/Archives/edgar/data/1576885/000157688523000008/abos-20230309xex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2026-10-26T15:24:45Z</dcterms:created>
  <dcterms:modified xsi:type="dcterms:W3CDTF">2026-10-26T15:24:45Z</dcterms:modified>
</cp:coreProperties>
</file>