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449.xml.htm"/>
      <w:bookmarkStart w:id="1" w:name="kswkform4_17806914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Stalfort John A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ACUMEN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1210-1220 WASHINGTON STREET,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Acumen Pharmaceuticals, Inc.</w:t>
              </w:r>
            </w:hyperlink>
            <w:r>
              <w:rPr/>
              <w:t xml:space="preserve"> [ </w:t>
            </w:r>
            <w:r>
              <w:rPr>
                <w:rFonts w:ascii="Times;serif" w:hAnsi="Times;serif"/>
                <w:color w:val="0000FF"/>
                <w:sz w:val="24"/>
                <w:shd w:fill="FFFFFF" w:val="clear"/>
              </w:rPr>
              <w:t>ABOS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35,500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220,624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("RSU") award. Each RSU represents a contingent right to receive one share of the Issuer's Common Stock. The RSUs will vest in full on the earlier of the first anniversary of the date of grant or the 2027 annual stockholder meeting, subject to the Reporting Person's continuous service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the option will vest in full on the earlier of the first anniversary of the date of grant or the 2027 annual stockholder meeting, subject to the Reporting Person's continuous service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Derek Meisner,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9418" TargetMode="External"/><Relationship Id="rId5" Type="http://schemas.openxmlformats.org/officeDocument/2006/relationships/hyperlink" Target="http://www.sec.gov/cgi-bin/browse-edgar?action=getcompany&amp;CIK=00015768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3663</Characters>
  <CharactersWithSpaces>4272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